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4F22AF" w14:paraId="6C6BE036" w14:textId="77777777" w:rsidTr="007D53AF">
        <w:trPr>
          <w:trHeight w:val="1243"/>
        </w:trPr>
        <w:tc>
          <w:tcPr>
            <w:tcW w:w="1176" w:type="dxa"/>
          </w:tcPr>
          <w:p w14:paraId="66AC1340" w14:textId="77777777" w:rsidR="004F22AF" w:rsidRDefault="00290CC3" w:rsidP="007D53AF">
            <w:r w:rsidRPr="00EE17D1">
              <w:rPr>
                <w:noProof/>
              </w:rPr>
              <w:drawing>
                <wp:inline distT="0" distB="0" distL="0" distR="0" wp14:anchorId="0D8A6308" wp14:editId="1105DA2A">
                  <wp:extent cx="689719" cy="3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726B6580" w14:textId="77777777" w:rsidR="004F22AF" w:rsidRDefault="004F22AF" w:rsidP="007D53AF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D21C4E1" w14:textId="77777777" w:rsidR="004F22AF" w:rsidRPr="00722593" w:rsidRDefault="00BD2F81" w:rsidP="007D53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Temporary Traffic Control Signal</w:t>
            </w:r>
            <w:r w:rsidR="004F22AF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338ABC70" w14:textId="77777777" w:rsidR="004F22AF" w:rsidRPr="00722593" w:rsidRDefault="004F22AF" w:rsidP="0068674D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>
              <w:rPr>
                <w:rFonts w:ascii="Arial" w:hAnsi="Arial" w:cs="Arial"/>
                <w:sz w:val="17"/>
                <w:szCs w:val="17"/>
              </w:rPr>
              <w:t>ds the provisions of Section</w:t>
            </w:r>
            <w:r w:rsidR="005658F7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58F7">
              <w:rPr>
                <w:rFonts w:ascii="Arial" w:hAnsi="Arial" w:cs="Arial"/>
                <w:sz w:val="17"/>
                <w:szCs w:val="17"/>
              </w:rPr>
              <w:t xml:space="preserve">603 and </w:t>
            </w:r>
            <w:r>
              <w:rPr>
                <w:rFonts w:ascii="Arial" w:hAnsi="Arial" w:cs="Arial"/>
                <w:sz w:val="17"/>
                <w:szCs w:val="17"/>
              </w:rPr>
              <w:t xml:space="preserve">990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</w:t>
            </w:r>
            <w:r w:rsidRPr="005F7F97">
              <w:rPr>
                <w:rFonts w:ascii="Arial" w:hAnsi="Arial" w:cs="Arial"/>
                <w:sz w:val="17"/>
                <w:szCs w:val="17"/>
              </w:rPr>
              <w:t>the FDOT</w:t>
            </w:r>
            <w:r w:rsidRPr="005F7F97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 </w:t>
            </w:r>
            <w:r w:rsidRPr="005F7F97">
              <w:rPr>
                <w:rFonts w:ascii="Arial" w:hAnsi="Arial" w:cs="Arial"/>
                <w:sz w:val="17"/>
                <w:szCs w:val="17"/>
              </w:rPr>
              <w:t>and</w:t>
            </w:r>
            <w:r w:rsidRPr="00A663F4">
              <w:rPr>
                <w:rFonts w:ascii="Arial" w:hAnsi="Arial" w:cs="Arial"/>
                <w:sz w:val="17"/>
                <w:szCs w:val="17"/>
              </w:rPr>
              <w:t xml:space="preserve"> all implemented modifi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A663F4">
              <w:rPr>
                <w:rFonts w:ascii="Arial" w:hAnsi="Arial" w:cs="Arial"/>
                <w:sz w:val="17"/>
                <w:szCs w:val="17"/>
              </w:rPr>
              <w:t>ations.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>
              <w:rPr>
                <w:rFonts w:ascii="Arial" w:hAnsi="Arial" w:cs="Arial"/>
                <w:sz w:val="17"/>
                <w:szCs w:val="17"/>
              </w:rPr>
              <w:t>requirements listed on this matrix are derived from Section</w:t>
            </w:r>
            <w:r w:rsidR="005658F7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58F7">
              <w:rPr>
                <w:rFonts w:ascii="Arial" w:hAnsi="Arial" w:cs="Arial"/>
                <w:sz w:val="17"/>
                <w:szCs w:val="17"/>
              </w:rPr>
              <w:t xml:space="preserve">603 and </w:t>
            </w:r>
            <w:r>
              <w:rPr>
                <w:rFonts w:ascii="Arial" w:hAnsi="Arial" w:cs="Arial"/>
                <w:sz w:val="17"/>
                <w:szCs w:val="17"/>
              </w:rPr>
              <w:t>990</w:t>
            </w:r>
            <w:r w:rsidR="005658F7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1E70"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>
              <w:rPr>
                <w:rFonts w:ascii="Arial" w:hAnsi="Arial" w:cs="Arial"/>
                <w:sz w:val="17"/>
                <w:szCs w:val="17"/>
              </w:rPr>
              <w:t xml:space="preserve"> a product’s compliance and its acceptability for use on Florida’s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01857B6C" w14:textId="77777777" w:rsidR="004F22AF" w:rsidRDefault="004F22AF" w:rsidP="004F22AF">
      <w:pPr>
        <w:tabs>
          <w:tab w:val="left" w:pos="1080"/>
        </w:tabs>
        <w:sectPr w:rsidR="004F22AF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78DC7ED3" w14:textId="77777777" w:rsidR="009A51DD" w:rsidRDefault="009A51DD" w:rsidP="007D53AF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9A51D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4F22AF" w:rsidRPr="00722593" w14:paraId="3FA38AEC" w14:textId="77777777" w:rsidTr="007D53AF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6561" w14:textId="77777777" w:rsidR="004F22AF" w:rsidRPr="00722593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DED7871AB603473CBCC1F57400329B0D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A1021DD" w14:textId="77777777" w:rsidR="004F22AF" w:rsidRPr="001A7673" w:rsidRDefault="004F22AF" w:rsidP="007D53AF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EFFD24" w14:textId="77777777" w:rsidR="004F22AF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CF3075" w14:textId="77777777" w:rsidR="004F22AF" w:rsidRPr="00722593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2E54D" w14:textId="77777777" w:rsidR="004F22AF" w:rsidRPr="00722593" w:rsidRDefault="004F22AF" w:rsidP="007D53A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2AF" w:rsidRPr="00722593" w14:paraId="0BC62262" w14:textId="77777777" w:rsidTr="007D53AF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5524F" w14:textId="77777777" w:rsidR="004F22AF" w:rsidRPr="00722593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D035A9E" w14:textId="77777777" w:rsidR="004F22AF" w:rsidRPr="00E42DDF" w:rsidRDefault="00893317" w:rsidP="007D53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F22AF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4B848E7" w14:textId="77777777" w:rsidR="004F22AF" w:rsidRPr="00722593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7CD17D70" w14:textId="77777777" w:rsidR="004F22AF" w:rsidRPr="00E42DDF" w:rsidRDefault="00893317" w:rsidP="007D53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F22AF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4F22AF" w:rsidRPr="00722593" w14:paraId="12C37B74" w14:textId="77777777" w:rsidTr="007D53AF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1C445" w14:textId="77777777" w:rsidR="004F22AF" w:rsidRPr="00722593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69736D85" w14:textId="77777777" w:rsidR="004F22AF" w:rsidRPr="00E42DDF" w:rsidRDefault="00893317" w:rsidP="007D53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F22AF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D7B16" w14:textId="77777777" w:rsidR="004F22AF" w:rsidRPr="00722593" w:rsidRDefault="004F22AF" w:rsidP="007D53AF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2DA7A075" w14:textId="77777777" w:rsidR="004F22AF" w:rsidRPr="00E42DDF" w:rsidRDefault="00893317" w:rsidP="007D53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F22AF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2539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7063C789" w14:textId="77777777" w:rsidR="004F22AF" w:rsidRDefault="004F22AF" w:rsidP="004F22AF">
      <w:pPr>
        <w:tabs>
          <w:tab w:val="left" w:pos="1080"/>
        </w:tabs>
        <w:sectPr w:rsidR="004F22AF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p w14:paraId="3EEACE07" w14:textId="77777777" w:rsidR="009A51DD" w:rsidRDefault="009A51DD" w:rsidP="004F22AF">
      <w:pPr>
        <w:tabs>
          <w:tab w:val="left" w:pos="1080"/>
        </w:tabs>
        <w:spacing w:after="0"/>
        <w:rPr>
          <w:sz w:val="16"/>
          <w:szCs w:val="16"/>
        </w:rPr>
        <w:sectPr w:rsidR="009A51DD" w:rsidSect="00F82189"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50EEB4BD" w14:textId="77777777" w:rsidR="004F22AF" w:rsidRPr="00722593" w:rsidRDefault="004F22AF" w:rsidP="004F22AF">
      <w:pPr>
        <w:tabs>
          <w:tab w:val="left" w:pos="1080"/>
        </w:tabs>
        <w:spacing w:after="0"/>
        <w:rPr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4F22AF" w:rsidRPr="00722593" w14:paraId="0796A471" w14:textId="77777777" w:rsidTr="007D53AF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70989A76" w14:textId="77777777" w:rsidR="004F22AF" w:rsidRPr="00722593" w:rsidRDefault="004F22AF" w:rsidP="007D53A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96A9EF9" w14:textId="77777777" w:rsidR="004F22AF" w:rsidRPr="00722593" w:rsidRDefault="004F22AF" w:rsidP="007D53A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7A6184E7" w14:textId="77777777" w:rsidR="004F22AF" w:rsidRPr="00722593" w:rsidRDefault="004F22AF" w:rsidP="007D53A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A3498F1" w14:textId="50F9A18E" w:rsidR="004F22AF" w:rsidRDefault="004F22AF" w:rsidP="007D53AF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F069CB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C1551" w14:textId="77777777" w:rsidR="004F22AF" w:rsidRPr="00722593" w:rsidRDefault="004F22AF" w:rsidP="007D53A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7C2A8E01" w14:textId="77777777" w:rsidR="004F22AF" w:rsidRPr="00722593" w:rsidRDefault="004F22AF" w:rsidP="007D53A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942013" w:rsidRPr="00722593" w14:paraId="105BA338" w14:textId="77777777" w:rsidTr="00BD2F81">
        <w:trPr>
          <w:cantSplit/>
          <w:trHeight w:val="198"/>
        </w:trPr>
        <w:tc>
          <w:tcPr>
            <w:tcW w:w="468" w:type="dxa"/>
            <w:vMerge w:val="restart"/>
          </w:tcPr>
          <w:p w14:paraId="392F4211" w14:textId="77777777" w:rsidR="00942013" w:rsidRDefault="00942013" w:rsidP="0094201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F2DDB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50656CC" w14:textId="77777777" w:rsidR="00942013" w:rsidRPr="00722593" w:rsidRDefault="00942013" w:rsidP="0094201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D2F81">
              <w:rPr>
                <w:rFonts w:ascii="Arial" w:hAnsi="Arial" w:cs="Arial"/>
                <w:sz w:val="17"/>
                <w:szCs w:val="17"/>
              </w:rPr>
              <w:t>990-7.1</w:t>
            </w:r>
          </w:p>
        </w:tc>
        <w:tc>
          <w:tcPr>
            <w:tcW w:w="5130" w:type="dxa"/>
            <w:vMerge w:val="restart"/>
          </w:tcPr>
          <w:p w14:paraId="3F3CBB08" w14:textId="77777777" w:rsidR="00942013" w:rsidRDefault="00942013" w:rsidP="0094201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Unit meets the physical display and operational requirements of conventional traffic signal described in the MUTCD for portable traffic signals.</w:t>
            </w:r>
          </w:p>
        </w:tc>
        <w:tc>
          <w:tcPr>
            <w:tcW w:w="1260" w:type="dxa"/>
            <w:vMerge w:val="restart"/>
          </w:tcPr>
          <w:p w14:paraId="17E00377" w14:textId="59656D94" w:rsidR="00942013" w:rsidRPr="00722593" w:rsidRDefault="00F069CB" w:rsidP="0094201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07F1B2BE" w14:textId="77777777" w:rsidR="00942013" w:rsidRPr="00A663F4" w:rsidRDefault="00942013" w:rsidP="0094201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E62D393" w14:textId="77777777" w:rsidR="00942013" w:rsidRPr="001A6150" w:rsidRDefault="00942013" w:rsidP="0094201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942013" w:rsidRPr="00722593" w14:paraId="0D41E500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269155A4" w14:textId="77777777" w:rsidR="00942013" w:rsidRDefault="00942013" w:rsidP="0094201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8F3432" w14:textId="77777777" w:rsidR="00942013" w:rsidRPr="00BD2F81" w:rsidRDefault="00942013" w:rsidP="0094201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D21DD0" w14:textId="77777777" w:rsidR="00942013" w:rsidRPr="00BD2F81" w:rsidRDefault="00942013" w:rsidP="0094201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7CE5828" w14:textId="77777777" w:rsidR="00942013" w:rsidRDefault="00942013" w:rsidP="0094201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218B4B9" w14:textId="77777777" w:rsidR="00942013" w:rsidRDefault="00942013" w:rsidP="0094201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8D9F967" w14:textId="77777777" w:rsidR="00942013" w:rsidRDefault="00942013" w:rsidP="0094201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1379316A" w14:textId="77777777" w:rsidTr="00BD2F81">
        <w:trPr>
          <w:cantSplit/>
          <w:trHeight w:val="51"/>
        </w:trPr>
        <w:tc>
          <w:tcPr>
            <w:tcW w:w="468" w:type="dxa"/>
          </w:tcPr>
          <w:p w14:paraId="33FAD8CA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95B822B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69D7BB9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 xml:space="preserve">Signal head has three 12 inch vehicular signal indications (Red, </w:t>
            </w:r>
            <w:proofErr w:type="gramStart"/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Yellow</w:t>
            </w:r>
            <w:proofErr w:type="gramEnd"/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Green).</w:t>
            </w:r>
          </w:p>
        </w:tc>
        <w:tc>
          <w:tcPr>
            <w:tcW w:w="1260" w:type="dxa"/>
          </w:tcPr>
          <w:p w14:paraId="62A02259" w14:textId="1145B854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A4FB8"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452AEBD" w14:textId="77777777" w:rsidR="00F069CB" w:rsidRPr="00BD2F81" w:rsidRDefault="00F069CB" w:rsidP="00F069CB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BD2F81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BD2F81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3064C8B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Compliance Matrix Review and </w:t>
            </w:r>
          </w:p>
          <w:p w14:paraId="03B36011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F069CB" w:rsidRPr="00722593" w14:paraId="37549BAE" w14:textId="77777777" w:rsidTr="00BD2F81">
        <w:trPr>
          <w:cantSplit/>
          <w:trHeight w:val="51"/>
        </w:trPr>
        <w:tc>
          <w:tcPr>
            <w:tcW w:w="468" w:type="dxa"/>
          </w:tcPr>
          <w:p w14:paraId="2B695CB1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415BA16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14:paraId="509091EB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53AB97D" w14:textId="77777777" w:rsidR="00F069CB" w:rsidRPr="00A920CE" w:rsidRDefault="00F069CB" w:rsidP="00F069CB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A920CE">
              <w:rPr>
                <w:rFonts w:ascii="Arial" w:hAnsi="Arial" w:cs="Arial"/>
                <w:sz w:val="17"/>
                <w:szCs w:val="17"/>
              </w:rPr>
              <w:t>Assembly is configured with two signal heads for each direction of traffic.</w:t>
            </w:r>
          </w:p>
          <w:p w14:paraId="48EAD770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</w:tcPr>
          <w:p w14:paraId="7457B428" w14:textId="556208BB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3A765E1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D2F81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BD2F81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BD2F81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7FC529D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Compliance Matrix Review and </w:t>
            </w:r>
          </w:p>
          <w:p w14:paraId="15FA1DC4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F069CB" w:rsidRPr="00722593" w14:paraId="2334EE71" w14:textId="77777777" w:rsidTr="007D53AF">
        <w:trPr>
          <w:cantSplit/>
          <w:trHeight w:val="20"/>
        </w:trPr>
        <w:tc>
          <w:tcPr>
            <w:tcW w:w="468" w:type="dxa"/>
          </w:tcPr>
          <w:p w14:paraId="43E533E2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B043E7E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7CDE35FF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traffic signal head is approved by the Department.</w:t>
            </w:r>
          </w:p>
        </w:tc>
        <w:tc>
          <w:tcPr>
            <w:tcW w:w="1260" w:type="dxa"/>
          </w:tcPr>
          <w:p w14:paraId="73CA69C0" w14:textId="2CF5CDFE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747DD2B" w14:textId="77777777" w:rsidR="00F069CB" w:rsidRPr="00BD2F81" w:rsidRDefault="00F069CB" w:rsidP="00F069CB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Approved Product List number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Approved Product List number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AFC7C2F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F069CB" w:rsidRPr="00722593" w14:paraId="3227AFEC" w14:textId="77777777" w:rsidTr="00691FD4">
        <w:trPr>
          <w:cantSplit/>
          <w:trHeight w:val="330"/>
        </w:trPr>
        <w:tc>
          <w:tcPr>
            <w:tcW w:w="468" w:type="dxa"/>
            <w:vMerge w:val="restart"/>
          </w:tcPr>
          <w:p w14:paraId="40AC36F3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9C4D036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E74697A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Signal module</w:t>
            </w: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 xml:space="preserve"> is Department approved and installed in each section in accordance with the manufacturer’s permanent directional marking(s), that is, an “Up Arrow”, the word “UP” or “TOP,” for correct in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dexing and orientation within a </w:t>
            </w: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signal housing.</w:t>
            </w:r>
          </w:p>
        </w:tc>
        <w:tc>
          <w:tcPr>
            <w:tcW w:w="1260" w:type="dxa"/>
            <w:vMerge w:val="restart"/>
          </w:tcPr>
          <w:p w14:paraId="52FF608F" w14:textId="6CEC5DDD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2835E0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3A7A9BD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069CB" w:rsidRPr="00722593" w14:paraId="77F1DBAF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3794B8AB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7D39FB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226456C" w14:textId="77777777" w:rsidR="00F069CB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1422802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205C486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250FC76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6DB8ED1F" w14:textId="77777777" w:rsidTr="00691FD4">
        <w:trPr>
          <w:cantSplit/>
          <w:trHeight w:val="330"/>
        </w:trPr>
        <w:tc>
          <w:tcPr>
            <w:tcW w:w="468" w:type="dxa"/>
            <w:vMerge w:val="restart"/>
          </w:tcPr>
          <w:p w14:paraId="1485B7D9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8EAC031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0DC1921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masts supporting the traffic signal heads are manufactured with the lowest point of the vehicular signal head as follows: 1) Eight feet above finished grade at the point of their installation for “pedestal” type application or; 2) 17 to 19 feet above pavement grade at the center of roadway for “overhead” type application.</w:t>
            </w:r>
          </w:p>
        </w:tc>
        <w:tc>
          <w:tcPr>
            <w:tcW w:w="1260" w:type="dxa"/>
            <w:vMerge w:val="restart"/>
          </w:tcPr>
          <w:p w14:paraId="66BCCE18" w14:textId="42D9EA43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43B5704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3862EAA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F069CB" w:rsidRPr="00722593" w14:paraId="671C04FD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6A6DB565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DD4DCB4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23A647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4AED72D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281839B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  <w:highlight w:val="yellow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DA2BC3A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4F33AC49" w14:textId="77777777" w:rsidTr="00691FD4">
        <w:trPr>
          <w:cantSplit/>
          <w:trHeight w:val="299"/>
        </w:trPr>
        <w:tc>
          <w:tcPr>
            <w:tcW w:w="468" w:type="dxa"/>
            <w:vMerge w:val="restart"/>
          </w:tcPr>
          <w:p w14:paraId="38F84AEE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85F7151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08AF6A2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yellow clearance interval is programmed three seconds or more; the yellow clearance interval cannot be manually controlled under any condition; it is timed internally by the controller as per Department specifications.</w:t>
            </w:r>
          </w:p>
        </w:tc>
        <w:tc>
          <w:tcPr>
            <w:tcW w:w="1260" w:type="dxa"/>
            <w:vMerge w:val="restart"/>
          </w:tcPr>
          <w:p w14:paraId="1E248643" w14:textId="3CFCD34C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A3F70E8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EDB79CD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</w:p>
          <w:p w14:paraId="74DCA1AF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069CB" w:rsidRPr="00722593" w14:paraId="7F97C3A6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0C655426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659F14D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38AD2FD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FCD20B4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B6C8FB3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ED1BEF6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244A5D5B" w14:textId="77777777" w:rsidTr="00691FD4">
        <w:trPr>
          <w:cantSplit/>
          <w:trHeight w:val="132"/>
        </w:trPr>
        <w:tc>
          <w:tcPr>
            <w:tcW w:w="468" w:type="dxa"/>
            <w:vMerge w:val="restart"/>
          </w:tcPr>
          <w:p w14:paraId="7C39A0E0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9DDAF08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89090E9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green interval displays a minimum of five seconds before being advanced to the yellow clearance interval.</w:t>
            </w:r>
          </w:p>
        </w:tc>
        <w:tc>
          <w:tcPr>
            <w:tcW w:w="1260" w:type="dxa"/>
            <w:vMerge w:val="restart"/>
          </w:tcPr>
          <w:p w14:paraId="3D140DAA" w14:textId="4A42E4F9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3A2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3A2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73A23">
              <w:rPr>
                <w:rFonts w:ascii="Arial" w:hAnsi="Arial" w:cs="Arial"/>
                <w:sz w:val="17"/>
                <w:szCs w:val="17"/>
              </w:rPr>
            </w:r>
            <w:r w:rsidRPr="00D73A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55D167D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F348A2F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</w:p>
          <w:p w14:paraId="3DA5FF92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5E326A" w:rsidRPr="00722593" w14:paraId="33149567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53EC3351" w14:textId="77777777" w:rsidR="005E326A" w:rsidRPr="00385CA9" w:rsidRDefault="005E326A" w:rsidP="005E32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7797A4D" w14:textId="77777777" w:rsidR="005E326A" w:rsidRPr="00722593" w:rsidRDefault="005E326A" w:rsidP="005E326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A55A792" w14:textId="77777777" w:rsidR="005E326A" w:rsidRPr="00BD2F81" w:rsidRDefault="005E326A" w:rsidP="005E326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30A96CE" w14:textId="77777777" w:rsidR="005E326A" w:rsidRDefault="005E326A" w:rsidP="005E32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4845F7" w14:textId="77777777" w:rsidR="005E326A" w:rsidRPr="00BD2F81" w:rsidRDefault="005E326A" w:rsidP="005E326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  <w:highlight w:val="yellow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7B0C223" w14:textId="77777777" w:rsidR="005E326A" w:rsidRDefault="005E326A" w:rsidP="005E32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2CCADC33" w14:textId="77777777" w:rsidTr="00691FD4">
        <w:trPr>
          <w:cantSplit/>
          <w:trHeight w:val="299"/>
        </w:trPr>
        <w:tc>
          <w:tcPr>
            <w:tcW w:w="468" w:type="dxa"/>
            <w:vMerge w:val="restart"/>
          </w:tcPr>
          <w:p w14:paraId="37B45E58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D942C37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870F014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controller allows for a variable all red clearance interval from 0 to 999 seconds.</w:t>
            </w:r>
          </w:p>
        </w:tc>
        <w:tc>
          <w:tcPr>
            <w:tcW w:w="1260" w:type="dxa"/>
            <w:vMerge w:val="restart"/>
          </w:tcPr>
          <w:p w14:paraId="7FB70EA5" w14:textId="186B392D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CB9D8E9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0C33DFB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</w:p>
          <w:p w14:paraId="0D2DB023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069CB" w:rsidRPr="00722593" w14:paraId="259CA7F3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7D6E4DD1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BAC3B19" w14:textId="77777777" w:rsidR="00F069CB" w:rsidRPr="00722593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963DE69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758420E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FEAD9BE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  <w:highlight w:val="yellow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FB032E0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52521A65" w14:textId="77777777" w:rsidTr="00691FD4">
        <w:trPr>
          <w:cantSplit/>
          <w:trHeight w:val="264"/>
        </w:trPr>
        <w:tc>
          <w:tcPr>
            <w:tcW w:w="468" w:type="dxa"/>
            <w:vMerge w:val="restart"/>
          </w:tcPr>
          <w:p w14:paraId="05E3D066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BE9899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DF0DA42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Portable traffic control signals are either manually controlled or traffic actuated; indicator lights for monitoring the signal operation of each approach are supplied and visible from within the work zone area.</w:t>
            </w:r>
          </w:p>
        </w:tc>
        <w:tc>
          <w:tcPr>
            <w:tcW w:w="1260" w:type="dxa"/>
            <w:vMerge w:val="restart"/>
          </w:tcPr>
          <w:p w14:paraId="3BF1E40D" w14:textId="647D21F3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9C6AAE7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5973423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</w:p>
          <w:p w14:paraId="74B802D8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069CB" w:rsidRPr="00722593" w14:paraId="06DB510F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32CB6D55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12E2B26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33A1F68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7D3A104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CD4CDD3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  <w:highlight w:val="yellow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AE8FA68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3464C8B2" w14:textId="77777777" w:rsidTr="00691FD4">
        <w:trPr>
          <w:cantSplit/>
          <w:trHeight w:val="462"/>
        </w:trPr>
        <w:tc>
          <w:tcPr>
            <w:tcW w:w="468" w:type="dxa"/>
            <w:vMerge w:val="restart"/>
          </w:tcPr>
          <w:p w14:paraId="26C167DF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BA8B0F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375AF5D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When the portable traffic control signals are radio actuated the following apply: 1) the transmitter is FCC Type accepted and does not exceed 1 watt output per FCC, Part 90.17; the manufacturer complies with all “Specific limitations” noted in FCC Part 90.17; and 2) the controller forces the traffic signal to display red toward the traffic approach in case of radio failure or interference.</w:t>
            </w:r>
          </w:p>
        </w:tc>
        <w:tc>
          <w:tcPr>
            <w:tcW w:w="1260" w:type="dxa"/>
            <w:vMerge w:val="restart"/>
          </w:tcPr>
          <w:p w14:paraId="34D578B9" w14:textId="2F8C66BB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C85274C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B418380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  <w:p w14:paraId="3B5E86C3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2EC6A81B" w14:textId="77777777" w:rsidTr="00BD2F81">
        <w:trPr>
          <w:cantSplit/>
          <w:trHeight w:val="461"/>
        </w:trPr>
        <w:tc>
          <w:tcPr>
            <w:tcW w:w="468" w:type="dxa"/>
            <w:vMerge/>
          </w:tcPr>
          <w:p w14:paraId="1974370C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A708DCB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AFC74B1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215A33B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324153B" w14:textId="77777777" w:rsidR="00F069CB" w:rsidRPr="00691FD4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A4F4994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739C69B4" w14:textId="77777777" w:rsidTr="00897C81">
        <w:trPr>
          <w:cantSplit/>
          <w:trHeight w:val="299"/>
        </w:trPr>
        <w:tc>
          <w:tcPr>
            <w:tcW w:w="468" w:type="dxa"/>
            <w:vMerge w:val="restart"/>
          </w:tcPr>
          <w:p w14:paraId="162BD885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B1E2F73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00F0D0B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trailer and supports are painted construction/maintenance orange enamel in accordance with the MUTCD color.</w:t>
            </w:r>
          </w:p>
        </w:tc>
        <w:tc>
          <w:tcPr>
            <w:tcW w:w="1260" w:type="dxa"/>
            <w:vMerge w:val="restart"/>
          </w:tcPr>
          <w:p w14:paraId="1C7436AA" w14:textId="384DECA6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161DF2A" w14:textId="77777777" w:rsidR="00F069CB" w:rsidRPr="00897C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897C81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2BB2C12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19671E7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F069CB" w:rsidRPr="00722593" w14:paraId="050A58FD" w14:textId="77777777" w:rsidTr="00432FD4">
        <w:trPr>
          <w:cantSplit/>
          <w:trHeight w:val="288"/>
        </w:trPr>
        <w:tc>
          <w:tcPr>
            <w:tcW w:w="468" w:type="dxa"/>
            <w:vMerge/>
          </w:tcPr>
          <w:p w14:paraId="529026D6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F2EB0BC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3F2A10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B3D74C4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FB54B96" w14:textId="77777777" w:rsidR="00F069CB" w:rsidRPr="00897C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897C81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9217ECD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:rsidRPr="00722593" w14:paraId="1DD8DF04" w14:textId="77777777" w:rsidTr="00897C81">
        <w:trPr>
          <w:cantSplit/>
          <w:trHeight w:val="80"/>
        </w:trPr>
        <w:tc>
          <w:tcPr>
            <w:tcW w:w="468" w:type="dxa"/>
          </w:tcPr>
          <w:p w14:paraId="7904A591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250ACB4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BFE4724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FDOT certification number is engraved or labeled permanently on equipment.</w:t>
            </w:r>
          </w:p>
        </w:tc>
        <w:tc>
          <w:tcPr>
            <w:tcW w:w="1260" w:type="dxa"/>
          </w:tcPr>
          <w:p w14:paraId="54FBEA12" w14:textId="207C788B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F4FA501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897C81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D7A09DB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F069CB" w:rsidRPr="00722593" w14:paraId="41B6A9B0" w14:textId="77777777" w:rsidTr="007D53AF">
        <w:trPr>
          <w:cantSplit/>
          <w:trHeight w:val="20"/>
        </w:trPr>
        <w:tc>
          <w:tcPr>
            <w:tcW w:w="468" w:type="dxa"/>
          </w:tcPr>
          <w:p w14:paraId="23F068BB" w14:textId="77777777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8EEA453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622EE8D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D2F81">
              <w:rPr>
                <w:rFonts w:ascii="Arial" w:hAnsi="Arial" w:cs="Arial"/>
                <w:color w:val="000000"/>
                <w:sz w:val="17"/>
                <w:szCs w:val="17"/>
              </w:rPr>
              <w:t>The device has an external, visible, water resistant label with the following information: “Certification of this device by the Florida Department of Transportation allows for its use in Construction Zones Only.”</w:t>
            </w:r>
          </w:p>
        </w:tc>
        <w:tc>
          <w:tcPr>
            <w:tcW w:w="1260" w:type="dxa"/>
          </w:tcPr>
          <w:p w14:paraId="15266E5E" w14:textId="622936F9" w:rsidR="00F069CB" w:rsidRPr="00722593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E64C923" w14:textId="77777777" w:rsidR="00F069CB" w:rsidRPr="00BD2F81" w:rsidRDefault="00F069CB" w:rsidP="00F069CB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897C81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897C81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B853E5F" w14:textId="77777777" w:rsidR="00F069CB" w:rsidRPr="001A6150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F069CB" w:rsidRPr="00722593" w14:paraId="5B25C341" w14:textId="77777777" w:rsidTr="00DF2524">
        <w:trPr>
          <w:cantSplit/>
          <w:trHeight w:val="576"/>
        </w:trPr>
        <w:tc>
          <w:tcPr>
            <w:tcW w:w="468" w:type="dxa"/>
            <w:vMerge w:val="restart"/>
          </w:tcPr>
          <w:p w14:paraId="1798A36D" w14:textId="77777777" w:rsidR="00F069CB" w:rsidRPr="00385CA9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5C241F2" w14:textId="77777777" w:rsidR="00F069CB" w:rsidRPr="00C83A2E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868C758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electronic assemblies  operate as specified during and after being subjected to the operating performances conditions test described in NEMA TS-5-2017 Section 4. </w:t>
            </w:r>
          </w:p>
        </w:tc>
        <w:tc>
          <w:tcPr>
            <w:tcW w:w="1260" w:type="dxa"/>
            <w:vMerge w:val="restart"/>
          </w:tcPr>
          <w:p w14:paraId="06B43A10" w14:textId="622EDD6D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5F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E5F8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E5F8F">
              <w:rPr>
                <w:rFonts w:ascii="Arial" w:hAnsi="Arial" w:cs="Arial"/>
                <w:sz w:val="17"/>
                <w:szCs w:val="17"/>
              </w:rPr>
            </w:r>
            <w:r w:rsidRPr="006E5F8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B24290A" w14:textId="77777777" w:rsidR="00F069CB" w:rsidRPr="00897C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compliance with this requirement.  The test report must meet the requirements of FDOT Product Certification Handbook (PCH), section 7.2.</w:t>
            </w:r>
          </w:p>
        </w:tc>
        <w:tc>
          <w:tcPr>
            <w:tcW w:w="1980" w:type="dxa"/>
            <w:vMerge w:val="restart"/>
          </w:tcPr>
          <w:p w14:paraId="45474B6F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5E326A" w:rsidRPr="00722593" w14:paraId="726D3149" w14:textId="77777777" w:rsidTr="001E2340">
        <w:trPr>
          <w:cantSplit/>
          <w:trHeight w:val="288"/>
        </w:trPr>
        <w:tc>
          <w:tcPr>
            <w:tcW w:w="468" w:type="dxa"/>
            <w:vMerge/>
          </w:tcPr>
          <w:p w14:paraId="52C07DF6" w14:textId="77777777" w:rsidR="005E326A" w:rsidRDefault="005E326A" w:rsidP="005E32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DAD2F0B" w14:textId="77777777" w:rsidR="005E326A" w:rsidRPr="00C83A2E" w:rsidRDefault="005E326A" w:rsidP="005E326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7F28952" w14:textId="77777777" w:rsidR="005E326A" w:rsidRDefault="005E326A" w:rsidP="005E326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E8ADDD6" w14:textId="77777777" w:rsidR="005E326A" w:rsidRDefault="005E326A" w:rsidP="005E32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06D4CC8" w14:textId="77777777" w:rsidR="005E326A" w:rsidRPr="00691FD4" w:rsidRDefault="005E326A" w:rsidP="005E326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91FD4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91FD4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C27802D" w14:textId="77777777" w:rsidR="005E326A" w:rsidRDefault="005E326A" w:rsidP="005E32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14:paraId="6FB481EC" w14:textId="77777777" w:rsidTr="00316E60">
        <w:trPr>
          <w:trHeight w:val="72"/>
        </w:trPr>
        <w:tc>
          <w:tcPr>
            <w:tcW w:w="468" w:type="dxa"/>
            <w:vMerge w:val="restart"/>
          </w:tcPr>
          <w:p w14:paraId="6208AFC9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24C8C03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603-2.4</w:t>
            </w:r>
          </w:p>
        </w:tc>
        <w:tc>
          <w:tcPr>
            <w:tcW w:w="5130" w:type="dxa"/>
            <w:vMerge w:val="restart"/>
          </w:tcPr>
          <w:p w14:paraId="4DA40856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assembly hardware less than 5/8 inch in diameter is type 304 or 316 passivated stainless steel.  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Stainless steel bolts, screws and studs meet ASTM F593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n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uts meet ASTM F594.</w:t>
            </w:r>
          </w:p>
        </w:tc>
        <w:tc>
          <w:tcPr>
            <w:tcW w:w="1260" w:type="dxa"/>
            <w:vMerge w:val="restart"/>
          </w:tcPr>
          <w:p w14:paraId="28E09C65" w14:textId="09F8EE3B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DA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57DA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57DA4">
              <w:rPr>
                <w:rFonts w:ascii="Arial" w:hAnsi="Arial" w:cs="Arial"/>
                <w:sz w:val="17"/>
                <w:szCs w:val="17"/>
              </w:rPr>
            </w:r>
            <w:r w:rsidRPr="00957DA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BDC8E4E" w14:textId="77777777" w:rsidR="00F069CB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74C2857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335BE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069CB" w14:paraId="39B12DDF" w14:textId="77777777" w:rsidTr="00316E60">
        <w:trPr>
          <w:trHeight w:val="287"/>
        </w:trPr>
        <w:tc>
          <w:tcPr>
            <w:tcW w:w="468" w:type="dxa"/>
            <w:vMerge/>
          </w:tcPr>
          <w:p w14:paraId="7AE91F49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C622ABB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0E2179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226FB1E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C7C97C7" w14:textId="77777777" w:rsidR="00F069CB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2D753A9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14:paraId="28B3C5AC" w14:textId="77777777" w:rsidTr="00316E60">
        <w:trPr>
          <w:trHeight w:val="72"/>
        </w:trPr>
        <w:tc>
          <w:tcPr>
            <w:tcW w:w="468" w:type="dxa"/>
            <w:vMerge w:val="restart"/>
          </w:tcPr>
          <w:p w14:paraId="5D3995AF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53033F8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</w:tcPr>
          <w:p w14:paraId="254658F5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6CF7AC2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 xml:space="preserve">All assembly hardware greater than or equal to 5/8 inch in diameter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 xml:space="preserve"> galvanized. Bolts, studs, and threaded rod meet ASTM A307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s</w:t>
            </w:r>
            <w:r w:rsidRPr="00C71597">
              <w:rPr>
                <w:rFonts w:ascii="Arial" w:hAnsi="Arial" w:cs="Arial"/>
                <w:color w:val="000000"/>
                <w:sz w:val="17"/>
                <w:szCs w:val="17"/>
              </w:rPr>
              <w:t>tructural bolts meet ASTM A325.</w:t>
            </w:r>
          </w:p>
        </w:tc>
        <w:tc>
          <w:tcPr>
            <w:tcW w:w="1260" w:type="dxa"/>
            <w:vMerge w:val="restart"/>
          </w:tcPr>
          <w:p w14:paraId="30A53075" w14:textId="2DD7F466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DA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57DA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57DA4">
              <w:rPr>
                <w:rFonts w:ascii="Arial" w:hAnsi="Arial" w:cs="Arial"/>
                <w:sz w:val="17"/>
                <w:szCs w:val="17"/>
              </w:rPr>
            </w:r>
            <w:r w:rsidRPr="00957DA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C40B306" w14:textId="77777777" w:rsidR="00F069CB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920C1B2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335BE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069CB" w14:paraId="3D8D6AEC" w14:textId="77777777" w:rsidTr="001E2340">
        <w:trPr>
          <w:trHeight w:val="288"/>
        </w:trPr>
        <w:tc>
          <w:tcPr>
            <w:tcW w:w="468" w:type="dxa"/>
            <w:vMerge/>
          </w:tcPr>
          <w:p w14:paraId="13B32291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A41C84D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8AE1195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8E55247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0923CC4" w14:textId="77777777" w:rsidR="00F069CB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5321647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9CB" w14:paraId="009E6C87" w14:textId="77777777" w:rsidTr="001E2340">
        <w:trPr>
          <w:trHeight w:val="288"/>
        </w:trPr>
        <w:tc>
          <w:tcPr>
            <w:tcW w:w="468" w:type="dxa"/>
          </w:tcPr>
          <w:p w14:paraId="754BC45C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6B8FB73" w14:textId="77777777" w:rsidR="00F069CB" w:rsidRPr="00BD2F81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603-6</w:t>
            </w:r>
          </w:p>
        </w:tc>
        <w:tc>
          <w:tcPr>
            <w:tcW w:w="5130" w:type="dxa"/>
          </w:tcPr>
          <w:p w14:paraId="319358B3" w14:textId="77777777" w:rsidR="00F069CB" w:rsidRPr="00BD2F81" w:rsidRDefault="00F069CB" w:rsidP="00F069C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 xml:space="preserve">An operator’s manual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24B4F">
              <w:rPr>
                <w:rFonts w:ascii="Arial" w:hAnsi="Arial" w:cs="Arial"/>
                <w:color w:val="000000"/>
                <w:sz w:val="17"/>
                <w:szCs w:val="17"/>
              </w:rPr>
              <w:t>furnished with each unit.</w:t>
            </w:r>
          </w:p>
        </w:tc>
        <w:tc>
          <w:tcPr>
            <w:tcW w:w="1260" w:type="dxa"/>
          </w:tcPr>
          <w:p w14:paraId="7CBE907C" w14:textId="50C7C8E8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DA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57DA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57DA4">
              <w:rPr>
                <w:rFonts w:ascii="Arial" w:hAnsi="Arial" w:cs="Arial"/>
                <w:sz w:val="17"/>
                <w:szCs w:val="17"/>
              </w:rPr>
            </w:r>
            <w:r w:rsidRPr="00957DA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5B9CD7F" w14:textId="77777777" w:rsidR="00F069CB" w:rsidRDefault="00F069CB" w:rsidP="00F069C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40D6312" w14:textId="77777777" w:rsidR="00F069CB" w:rsidRDefault="00F069CB" w:rsidP="00F069C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335BE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</w:tbl>
    <w:p w14:paraId="58B6395A" w14:textId="77777777" w:rsidR="00316E60" w:rsidRDefault="00316E60" w:rsidP="00B2568D">
      <w:pPr>
        <w:sectPr w:rsidR="00316E60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61C32862" w14:textId="77777777" w:rsidR="00316E60" w:rsidRPr="0091508F" w:rsidRDefault="00316E60" w:rsidP="00316E60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16F1121E" w14:textId="77777777" w:rsidR="00316E60" w:rsidRPr="002B2984" w:rsidRDefault="00316E60" w:rsidP="00316E60">
      <w:pPr>
        <w:rPr>
          <w:b/>
          <w:bCs/>
          <w:sz w:val="28"/>
          <w:szCs w:val="28"/>
          <w:lang w:val="en-IN"/>
        </w:rPr>
      </w:pPr>
      <w:r w:rsidRPr="005658F7">
        <w:rPr>
          <w:b/>
          <w:bCs/>
          <w:sz w:val="28"/>
          <w:szCs w:val="28"/>
          <w:lang w:val="en-IN"/>
        </w:rPr>
        <w:t>T</w:t>
      </w:r>
      <w:r w:rsidR="005658F7" w:rsidRPr="005658F7">
        <w:rPr>
          <w:b/>
          <w:bCs/>
          <w:sz w:val="28"/>
          <w:szCs w:val="28"/>
          <w:lang w:val="en-IN"/>
        </w:rPr>
        <w:t>emp</w:t>
      </w:r>
      <w:r w:rsidR="005658F7">
        <w:rPr>
          <w:b/>
          <w:bCs/>
          <w:sz w:val="28"/>
          <w:szCs w:val="28"/>
          <w:lang w:val="en-IN"/>
        </w:rPr>
        <w:t>orary Traffic Control Signal</w:t>
      </w:r>
      <w:r>
        <w:rPr>
          <w:b/>
          <w:bCs/>
          <w:sz w:val="28"/>
          <w:szCs w:val="28"/>
          <w:lang w:val="en-IN"/>
        </w:rPr>
        <w:t xml:space="preserve">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316E60" w:rsidRPr="00230CFF" w14:paraId="638C000A" w14:textId="77777777" w:rsidTr="00701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3950CC8F" w14:textId="77777777" w:rsidR="00316E60" w:rsidRPr="00467937" w:rsidRDefault="00316E60" w:rsidP="004224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6BC4649C" w14:textId="77777777" w:rsidR="00316E60" w:rsidRPr="00467937" w:rsidRDefault="00316E6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6854ACA1" w14:textId="77777777" w:rsidR="00316E60" w:rsidRPr="00467937" w:rsidRDefault="00316E6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36F955A" w14:textId="77777777" w:rsidR="00316E60" w:rsidRPr="00467937" w:rsidRDefault="00316E6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AC150A6" w14:textId="77777777" w:rsidR="00316E60" w:rsidRPr="00467937" w:rsidRDefault="00316E6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53FB790" w14:textId="77777777" w:rsidR="00316E60" w:rsidRPr="00467937" w:rsidRDefault="00316E6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871DF30" w14:textId="77777777" w:rsidR="00316E60" w:rsidRPr="00467937" w:rsidRDefault="00316E6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316E60" w:rsidRPr="00230CFF" w14:paraId="7626B303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CEA640A" w14:textId="77777777" w:rsidR="00316E60" w:rsidRPr="00467937" w:rsidRDefault="00316E60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70C9666" w14:textId="77777777" w:rsidR="00316E60" w:rsidRPr="00467937" w:rsidRDefault="00701E0A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Conversion from Excel to Word and adding evaluation criteria.</w:t>
            </w:r>
          </w:p>
        </w:tc>
        <w:tc>
          <w:tcPr>
            <w:tcW w:w="1260" w:type="dxa"/>
          </w:tcPr>
          <w:p w14:paraId="58F27476" w14:textId="77777777" w:rsidR="00316E60" w:rsidRPr="00467937" w:rsidRDefault="00701E0A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686AAF8D" w14:textId="77777777" w:rsidR="00316E60" w:rsidRDefault="003001C8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5FDDA882" w14:textId="77777777" w:rsidR="003001C8" w:rsidRPr="00467937" w:rsidRDefault="003001C8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5967FD5" w14:textId="77777777" w:rsidR="00316E60" w:rsidRPr="00467937" w:rsidRDefault="003001C8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09B2EAD8" w14:textId="77777777" w:rsidR="00316E60" w:rsidRPr="00467937" w:rsidRDefault="003001C8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01/28/2013</w:t>
            </w:r>
          </w:p>
        </w:tc>
        <w:tc>
          <w:tcPr>
            <w:tcW w:w="1170" w:type="dxa"/>
          </w:tcPr>
          <w:p w14:paraId="2FE8197E" w14:textId="77777777" w:rsidR="00316E60" w:rsidRPr="00467937" w:rsidRDefault="00701E0A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01E0A" w:rsidRPr="00230CFF" w14:paraId="6D3E1578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5AE7BCA" w14:textId="77777777" w:rsidR="00701E0A" w:rsidRPr="00467937" w:rsidRDefault="00701E0A" w:rsidP="00701E0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51CFDE68" w14:textId="77777777" w:rsidR="00701E0A" w:rsidRPr="00467937" w:rsidRDefault="00701E0A" w:rsidP="00701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Modified disclaimer to indicate compliance matrix is governing document and referencing PCH section 7.2 in place of A601-3.</w:t>
            </w:r>
          </w:p>
        </w:tc>
        <w:tc>
          <w:tcPr>
            <w:tcW w:w="1260" w:type="dxa"/>
          </w:tcPr>
          <w:p w14:paraId="2E941672" w14:textId="77777777" w:rsidR="00701E0A" w:rsidRPr="00467937" w:rsidRDefault="00701E0A" w:rsidP="00701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022DE504" w14:textId="77777777" w:rsidR="00701E0A" w:rsidRPr="00467937" w:rsidRDefault="001E2340" w:rsidP="00701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5B77683" w14:textId="77777777" w:rsidR="00701E0A" w:rsidRPr="00467937" w:rsidRDefault="001E2340" w:rsidP="00701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A4A51F0" w14:textId="77777777" w:rsidR="00701E0A" w:rsidRPr="00467937" w:rsidRDefault="003001C8" w:rsidP="00701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70364691" w14:textId="77777777" w:rsidR="00701E0A" w:rsidRPr="00467937" w:rsidRDefault="00701E0A" w:rsidP="00701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477AEC9C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1CA92E9" w14:textId="77777777" w:rsidR="001E2340" w:rsidRPr="00467937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5372A0ED" w14:textId="77777777" w:rsidR="001E2340" w:rsidRPr="00467937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701E0A">
              <w:rPr>
                <w:rFonts w:ascii="Arial" w:hAnsi="Arial" w:cs="Arial"/>
                <w:sz w:val="18"/>
                <w:szCs w:val="18"/>
              </w:rPr>
              <w:t>evised document approver title.</w:t>
            </w:r>
          </w:p>
        </w:tc>
        <w:tc>
          <w:tcPr>
            <w:tcW w:w="1260" w:type="dxa"/>
          </w:tcPr>
          <w:p w14:paraId="6F948B59" w14:textId="77777777" w:rsidR="001E2340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  <w:p w14:paraId="30B2D1B7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57242109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0144205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43574EF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11/03/2014</w:t>
            </w:r>
          </w:p>
        </w:tc>
        <w:tc>
          <w:tcPr>
            <w:tcW w:w="1170" w:type="dxa"/>
          </w:tcPr>
          <w:p w14:paraId="51D3DABA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309AD62C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1D3EABF" w14:textId="77777777" w:rsidR="001E2340" w:rsidRPr="00467937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49E18591" w14:textId="77777777" w:rsidR="001E2340" w:rsidRPr="00467937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Spec is currently out for FHWA approval, but there are no proposed changes in temporary traffic control signal area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6BCDDFE5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54133453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FCB2FC9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0F537D8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09/09/2015</w:t>
            </w:r>
          </w:p>
        </w:tc>
        <w:tc>
          <w:tcPr>
            <w:tcW w:w="1170" w:type="dxa"/>
          </w:tcPr>
          <w:p w14:paraId="4A6C1CD4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0B1C8300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F1711B4" w14:textId="77777777" w:rsidR="001E2340" w:rsidRPr="00467937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730EF74F" w14:textId="77777777" w:rsidR="001E2340" w:rsidRPr="00467937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Updated to reflect latest FA approval date of 8-11-15.</w:t>
            </w:r>
          </w:p>
        </w:tc>
        <w:tc>
          <w:tcPr>
            <w:tcW w:w="1260" w:type="dxa"/>
          </w:tcPr>
          <w:p w14:paraId="2032987F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50111149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9D0EC7F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F0D88D9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02/05/2016</w:t>
            </w:r>
          </w:p>
        </w:tc>
        <w:tc>
          <w:tcPr>
            <w:tcW w:w="1170" w:type="dxa"/>
          </w:tcPr>
          <w:p w14:paraId="6547B5F6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369D0C4C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FDA484D" w14:textId="77777777" w:rsidR="001E2340" w:rsidRPr="00467937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54149FBE" w14:textId="77777777" w:rsidR="001E2340" w:rsidRPr="00467937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Included visor/egg create specification to reflect changes to FA date of 8/20/18.</w:t>
            </w:r>
          </w:p>
        </w:tc>
        <w:tc>
          <w:tcPr>
            <w:tcW w:w="1260" w:type="dxa"/>
          </w:tcPr>
          <w:p w14:paraId="364119D6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</w:tcPr>
          <w:p w14:paraId="7A88EA19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189CC99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E7AEBD0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12/13/2018</w:t>
            </w:r>
          </w:p>
        </w:tc>
        <w:tc>
          <w:tcPr>
            <w:tcW w:w="1170" w:type="dxa"/>
          </w:tcPr>
          <w:p w14:paraId="5CB5697F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4664913D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ED8D4F" w14:textId="77777777" w:rsidR="001E2340" w:rsidRPr="00467937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5152F766" w14:textId="77777777" w:rsidR="001E2340" w:rsidRPr="00467937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Updated to reflect latest FA approval date of 10-31-19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76E9ECE0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7315200" w14:textId="77777777" w:rsidR="001E2340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A2390F6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17CE15F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EDEAF3B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04/03/2020</w:t>
            </w:r>
          </w:p>
        </w:tc>
        <w:tc>
          <w:tcPr>
            <w:tcW w:w="1170" w:type="dxa"/>
          </w:tcPr>
          <w:p w14:paraId="3FF573B4" w14:textId="77777777" w:rsidR="001E2340" w:rsidRPr="00467937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6991D26F" w14:textId="77777777" w:rsidTr="005C4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24AAA1" w14:textId="77777777" w:rsidR="001E2340" w:rsidRPr="0091508F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  <w:vAlign w:val="center"/>
          </w:tcPr>
          <w:p w14:paraId="68B29151" w14:textId="77777777" w:rsidR="001E2340" w:rsidRPr="00701E0A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>Minor revision to reflect new FA Date of 7-9-20.</w:t>
            </w:r>
          </w:p>
        </w:tc>
        <w:tc>
          <w:tcPr>
            <w:tcW w:w="1260" w:type="dxa"/>
          </w:tcPr>
          <w:p w14:paraId="257DBE6C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W.Geitz</w:t>
            </w:r>
          </w:p>
        </w:tc>
        <w:tc>
          <w:tcPr>
            <w:tcW w:w="1170" w:type="dxa"/>
          </w:tcPr>
          <w:p w14:paraId="63FF0196" w14:textId="77777777" w:rsidR="001E2340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48ECB4DA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3BE2F579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CEFFA7A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12/30/2020</w:t>
            </w:r>
          </w:p>
        </w:tc>
        <w:tc>
          <w:tcPr>
            <w:tcW w:w="1170" w:type="dxa"/>
          </w:tcPr>
          <w:p w14:paraId="6D68D3CA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340" w:rsidRPr="00230CFF" w14:paraId="32E2102A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A42D574" w14:textId="77777777" w:rsidR="001E2340" w:rsidRPr="0091508F" w:rsidRDefault="001E2340" w:rsidP="001E23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9.0</w:t>
            </w:r>
          </w:p>
        </w:tc>
        <w:tc>
          <w:tcPr>
            <w:tcW w:w="3060" w:type="dxa"/>
          </w:tcPr>
          <w:p w14:paraId="1103708D" w14:textId="77777777" w:rsidR="001E2340" w:rsidRDefault="001E2340" w:rsidP="001E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1E0A">
              <w:rPr>
                <w:rFonts w:ascii="Arial" w:hAnsi="Arial" w:cs="Arial"/>
                <w:sz w:val="18"/>
                <w:szCs w:val="18"/>
              </w:rPr>
              <w:t xml:space="preserve">Minor revision to reflect FA </w:t>
            </w:r>
            <w:r w:rsidR="007D6498">
              <w:rPr>
                <w:rFonts w:ascii="Arial" w:hAnsi="Arial" w:cs="Arial"/>
                <w:sz w:val="18"/>
                <w:szCs w:val="18"/>
              </w:rPr>
              <w:t>2</w:t>
            </w:r>
            <w:r w:rsidRPr="00701E0A">
              <w:rPr>
                <w:rFonts w:ascii="Arial" w:hAnsi="Arial" w:cs="Arial"/>
                <w:sz w:val="18"/>
                <w:szCs w:val="18"/>
              </w:rPr>
              <w:t>-</w:t>
            </w:r>
            <w:r w:rsidR="007D6498">
              <w:rPr>
                <w:rFonts w:ascii="Arial" w:hAnsi="Arial" w:cs="Arial"/>
                <w:sz w:val="18"/>
                <w:szCs w:val="18"/>
              </w:rPr>
              <w:t>22</w:t>
            </w:r>
            <w:r w:rsidRPr="00701E0A">
              <w:rPr>
                <w:rFonts w:ascii="Arial" w:hAnsi="Arial" w:cs="Arial"/>
                <w:sz w:val="18"/>
                <w:szCs w:val="18"/>
              </w:rPr>
              <w:t>-21 with no changes to this CM.</w:t>
            </w:r>
          </w:p>
        </w:tc>
        <w:tc>
          <w:tcPr>
            <w:tcW w:w="1260" w:type="dxa"/>
          </w:tcPr>
          <w:p w14:paraId="4C01878C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W.Geitz</w:t>
            </w:r>
          </w:p>
        </w:tc>
        <w:tc>
          <w:tcPr>
            <w:tcW w:w="1170" w:type="dxa"/>
          </w:tcPr>
          <w:p w14:paraId="71B9D3C8" w14:textId="77777777" w:rsidR="001E2340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00FE9C44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42BD92E0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DB881BA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09/21/2021</w:t>
            </w:r>
          </w:p>
        </w:tc>
        <w:tc>
          <w:tcPr>
            <w:tcW w:w="1170" w:type="dxa"/>
          </w:tcPr>
          <w:p w14:paraId="2A55A685" w14:textId="77777777" w:rsidR="001E2340" w:rsidRPr="009F6AD3" w:rsidRDefault="001E2340" w:rsidP="001E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5E9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592D88D" w14:textId="77777777" w:rsidR="005B100D" w:rsidRPr="004F22AF" w:rsidRDefault="005B100D" w:rsidP="00B2568D"/>
    <w:sectPr w:rsidR="005B100D" w:rsidRPr="004F22AF" w:rsidSect="00316E60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A3C2" w14:textId="77777777" w:rsidR="000F2DDB" w:rsidRDefault="000F2DDB" w:rsidP="006014C2">
      <w:pPr>
        <w:spacing w:after="0" w:line="240" w:lineRule="auto"/>
      </w:pPr>
      <w:r>
        <w:separator/>
      </w:r>
    </w:p>
  </w:endnote>
  <w:endnote w:type="continuationSeparator" w:id="0">
    <w:p w14:paraId="561A88C0" w14:textId="77777777" w:rsidR="000F2DDB" w:rsidRDefault="000F2DDB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8FDF" w14:textId="77777777" w:rsidR="004A2952" w:rsidRPr="006014C2" w:rsidRDefault="004A4FB8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30135603"/>
        <w:docPartObj>
          <w:docPartGallery w:val="Page Numbers (Top of Page)"/>
          <w:docPartUnique/>
        </w:docPartObj>
      </w:sdtPr>
      <w:sdtEndPr/>
      <w:sdtContent>
        <w:r w:rsidR="004A2952" w:rsidRPr="006014C2">
          <w:rPr>
            <w:sz w:val="16"/>
            <w:szCs w:val="16"/>
          </w:rPr>
          <w:t xml:space="preserve">Page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PAGE </w:instrText>
        </w:r>
        <w:r w:rsidR="00893317" w:rsidRPr="006014C2">
          <w:rPr>
            <w:sz w:val="16"/>
            <w:szCs w:val="16"/>
          </w:rPr>
          <w:fldChar w:fldCharType="separate"/>
        </w:r>
        <w:r w:rsidR="00DE0C30">
          <w:rPr>
            <w:noProof/>
            <w:sz w:val="16"/>
            <w:szCs w:val="16"/>
          </w:rPr>
          <w:t>2</w:t>
        </w:r>
        <w:r w:rsidR="00893317" w:rsidRPr="006014C2">
          <w:rPr>
            <w:sz w:val="16"/>
            <w:szCs w:val="16"/>
          </w:rPr>
          <w:fldChar w:fldCharType="end"/>
        </w:r>
        <w:r w:rsidR="004A2952" w:rsidRPr="006014C2">
          <w:rPr>
            <w:sz w:val="16"/>
            <w:szCs w:val="16"/>
          </w:rPr>
          <w:t xml:space="preserve"> of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NUMPAGES  </w:instrText>
        </w:r>
        <w:r w:rsidR="00893317" w:rsidRPr="006014C2">
          <w:rPr>
            <w:sz w:val="16"/>
            <w:szCs w:val="16"/>
          </w:rPr>
          <w:fldChar w:fldCharType="separate"/>
        </w:r>
        <w:r w:rsidR="00DE0C30">
          <w:rPr>
            <w:noProof/>
            <w:sz w:val="16"/>
            <w:szCs w:val="16"/>
          </w:rPr>
          <w:t>3</w:t>
        </w:r>
        <w:r w:rsidR="00893317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035" w14:textId="77777777" w:rsidR="004A2952" w:rsidRDefault="004A4FB8" w:rsidP="001B2C7F">
    <w:pPr>
      <w:pStyle w:val="Footer"/>
      <w:jc w:val="center"/>
    </w:pPr>
    <w:sdt>
      <w:sdtPr>
        <w:rPr>
          <w:sz w:val="16"/>
          <w:szCs w:val="16"/>
        </w:rPr>
        <w:id w:val="30135604"/>
        <w:docPartObj>
          <w:docPartGallery w:val="Page Numbers (Top of Page)"/>
          <w:docPartUnique/>
        </w:docPartObj>
      </w:sdtPr>
      <w:sdtEndPr/>
      <w:sdtContent>
        <w:r w:rsidR="004A2952" w:rsidRPr="006014C2">
          <w:rPr>
            <w:sz w:val="16"/>
            <w:szCs w:val="16"/>
          </w:rPr>
          <w:t xml:space="preserve">Page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PAGE </w:instrText>
        </w:r>
        <w:r w:rsidR="00893317" w:rsidRPr="006014C2">
          <w:rPr>
            <w:sz w:val="16"/>
            <w:szCs w:val="16"/>
          </w:rPr>
          <w:fldChar w:fldCharType="separate"/>
        </w:r>
        <w:r w:rsidR="00DE0C30">
          <w:rPr>
            <w:noProof/>
            <w:sz w:val="16"/>
            <w:szCs w:val="16"/>
          </w:rPr>
          <w:t>1</w:t>
        </w:r>
        <w:r w:rsidR="00893317" w:rsidRPr="006014C2">
          <w:rPr>
            <w:sz w:val="16"/>
            <w:szCs w:val="16"/>
          </w:rPr>
          <w:fldChar w:fldCharType="end"/>
        </w:r>
        <w:r w:rsidR="004A2952" w:rsidRPr="006014C2">
          <w:rPr>
            <w:sz w:val="16"/>
            <w:szCs w:val="16"/>
          </w:rPr>
          <w:t xml:space="preserve"> of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NUMPAGES  </w:instrText>
        </w:r>
        <w:r w:rsidR="00893317" w:rsidRPr="006014C2">
          <w:rPr>
            <w:sz w:val="16"/>
            <w:szCs w:val="16"/>
          </w:rPr>
          <w:fldChar w:fldCharType="separate"/>
        </w:r>
        <w:r w:rsidR="00DE0C30">
          <w:rPr>
            <w:noProof/>
            <w:sz w:val="16"/>
            <w:szCs w:val="16"/>
          </w:rPr>
          <w:t>3</w:t>
        </w:r>
        <w:r w:rsidR="00893317" w:rsidRPr="006014C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6CDA" w14:textId="77777777" w:rsidR="004A2952" w:rsidRPr="006014C2" w:rsidRDefault="004A4FB8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4A2952" w:rsidRPr="006014C2">
          <w:rPr>
            <w:sz w:val="16"/>
            <w:szCs w:val="16"/>
          </w:rPr>
          <w:t xml:space="preserve">Page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PAGE </w:instrText>
        </w:r>
        <w:r w:rsidR="00893317" w:rsidRPr="006014C2">
          <w:rPr>
            <w:sz w:val="16"/>
            <w:szCs w:val="16"/>
          </w:rPr>
          <w:fldChar w:fldCharType="separate"/>
        </w:r>
        <w:r w:rsidR="00DE0C30">
          <w:rPr>
            <w:noProof/>
            <w:sz w:val="16"/>
            <w:szCs w:val="16"/>
          </w:rPr>
          <w:t>3</w:t>
        </w:r>
        <w:r w:rsidR="00893317" w:rsidRPr="006014C2">
          <w:rPr>
            <w:sz w:val="16"/>
            <w:szCs w:val="16"/>
          </w:rPr>
          <w:fldChar w:fldCharType="end"/>
        </w:r>
        <w:r w:rsidR="004A2952" w:rsidRPr="006014C2">
          <w:rPr>
            <w:sz w:val="16"/>
            <w:szCs w:val="16"/>
          </w:rPr>
          <w:t xml:space="preserve"> of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NUMPAGES  </w:instrText>
        </w:r>
        <w:r w:rsidR="00893317" w:rsidRPr="006014C2">
          <w:rPr>
            <w:sz w:val="16"/>
            <w:szCs w:val="16"/>
          </w:rPr>
          <w:fldChar w:fldCharType="separate"/>
        </w:r>
        <w:r w:rsidR="00DE0C30">
          <w:rPr>
            <w:noProof/>
            <w:sz w:val="16"/>
            <w:szCs w:val="16"/>
          </w:rPr>
          <w:t>3</w:t>
        </w:r>
        <w:r w:rsidR="00893317" w:rsidRPr="006014C2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D78" w14:textId="77777777" w:rsidR="004A2952" w:rsidRDefault="004A4FB8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4A2952" w:rsidRPr="006014C2">
          <w:rPr>
            <w:sz w:val="16"/>
            <w:szCs w:val="16"/>
          </w:rPr>
          <w:t xml:space="preserve">Page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PAGE </w:instrText>
        </w:r>
        <w:r w:rsidR="00893317" w:rsidRPr="006014C2">
          <w:rPr>
            <w:sz w:val="16"/>
            <w:szCs w:val="16"/>
          </w:rPr>
          <w:fldChar w:fldCharType="separate"/>
        </w:r>
        <w:r w:rsidR="004A2952">
          <w:rPr>
            <w:noProof/>
            <w:sz w:val="16"/>
            <w:szCs w:val="16"/>
          </w:rPr>
          <w:t>1</w:t>
        </w:r>
        <w:r w:rsidR="00893317" w:rsidRPr="006014C2">
          <w:rPr>
            <w:sz w:val="16"/>
            <w:szCs w:val="16"/>
          </w:rPr>
          <w:fldChar w:fldCharType="end"/>
        </w:r>
        <w:r w:rsidR="004A2952" w:rsidRPr="006014C2">
          <w:rPr>
            <w:sz w:val="16"/>
            <w:szCs w:val="16"/>
          </w:rPr>
          <w:t xml:space="preserve"> of </w:t>
        </w:r>
        <w:r w:rsidR="00893317" w:rsidRPr="006014C2">
          <w:rPr>
            <w:sz w:val="16"/>
            <w:szCs w:val="16"/>
          </w:rPr>
          <w:fldChar w:fldCharType="begin"/>
        </w:r>
        <w:r w:rsidR="004A2952" w:rsidRPr="006014C2">
          <w:rPr>
            <w:sz w:val="16"/>
            <w:szCs w:val="16"/>
          </w:rPr>
          <w:instrText xml:space="preserve"> NUMPAGES  </w:instrText>
        </w:r>
        <w:r w:rsidR="00893317" w:rsidRPr="006014C2">
          <w:rPr>
            <w:sz w:val="16"/>
            <w:szCs w:val="16"/>
          </w:rPr>
          <w:fldChar w:fldCharType="separate"/>
        </w:r>
        <w:r w:rsidR="004A2952">
          <w:rPr>
            <w:noProof/>
            <w:sz w:val="16"/>
            <w:szCs w:val="16"/>
          </w:rPr>
          <w:t>2</w:t>
        </w:r>
        <w:r w:rsidR="00893317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2FD6" w14:textId="77777777" w:rsidR="000F2DDB" w:rsidRDefault="000F2DDB" w:rsidP="006014C2">
      <w:pPr>
        <w:spacing w:after="0" w:line="240" w:lineRule="auto"/>
      </w:pPr>
      <w:r>
        <w:separator/>
      </w:r>
    </w:p>
  </w:footnote>
  <w:footnote w:type="continuationSeparator" w:id="0">
    <w:p w14:paraId="4233A5CC" w14:textId="77777777" w:rsidR="000F2DDB" w:rsidRDefault="000F2DDB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4515" w14:textId="77777777" w:rsidR="004A2952" w:rsidRPr="006014C2" w:rsidRDefault="004A2952" w:rsidP="00316E60">
    <w:pPr>
      <w:pStyle w:val="Header"/>
      <w:tabs>
        <w:tab w:val="clear" w:pos="4680"/>
        <w:tab w:val="clear" w:pos="9360"/>
        <w:tab w:val="left" w:pos="0"/>
        <w:tab w:val="right" w:pos="14400"/>
      </w:tabs>
      <w:jc w:val="right"/>
      <w:rPr>
        <w:sz w:val="18"/>
        <w:szCs w:val="18"/>
      </w:rPr>
    </w:pPr>
    <w:r>
      <w:rPr>
        <w:sz w:val="18"/>
        <w:szCs w:val="18"/>
      </w:rPr>
      <w:t xml:space="preserve">FDOT Matrix Derived from </w:t>
    </w:r>
    <w:r w:rsidR="005D5371">
      <w:rPr>
        <w:sz w:val="18"/>
        <w:szCs w:val="18"/>
      </w:rPr>
      <w:t>Specification</w:t>
    </w:r>
    <w:r w:rsidR="00316E60">
      <w:rPr>
        <w:sz w:val="18"/>
        <w:szCs w:val="18"/>
      </w:rPr>
      <w:t>s 603 (FA</w:t>
    </w:r>
    <w:r w:rsidR="005658F7">
      <w:rPr>
        <w:sz w:val="18"/>
        <w:szCs w:val="18"/>
      </w:rPr>
      <w:t xml:space="preserve"> </w:t>
    </w:r>
    <w:r w:rsidR="00CB57B5">
      <w:rPr>
        <w:sz w:val="18"/>
        <w:szCs w:val="18"/>
      </w:rPr>
      <w:t>11-29-16</w:t>
    </w:r>
    <w:r w:rsidR="005658F7">
      <w:rPr>
        <w:sz w:val="18"/>
        <w:szCs w:val="18"/>
      </w:rPr>
      <w:t>) and</w:t>
    </w:r>
    <w:r w:rsidR="005D5371">
      <w:rPr>
        <w:sz w:val="18"/>
        <w:szCs w:val="18"/>
      </w:rPr>
      <w:t xml:space="preserve"> 990 (FA </w:t>
    </w:r>
    <w:r w:rsidR="00463959">
      <w:rPr>
        <w:sz w:val="18"/>
        <w:szCs w:val="18"/>
      </w:rPr>
      <w:t>2-22-21</w:t>
    </w:r>
    <w:r w:rsidRPr="004A2952">
      <w:rPr>
        <w:sz w:val="18"/>
        <w:szCs w:val="18"/>
      </w:rPr>
      <w:t>)</w:t>
    </w:r>
    <w:r w:rsidR="00290CC3">
      <w:rPr>
        <w:sz w:val="18"/>
        <w:szCs w:val="18"/>
      </w:rPr>
      <w:t xml:space="preserve"> </w:t>
    </w:r>
    <w:r w:rsidR="00AA1EFB" w:rsidRPr="00AA1EFB">
      <w:rPr>
        <w:rFonts w:cs="Arial"/>
        <w:sz w:val="18"/>
        <w:szCs w:val="18"/>
      </w:rPr>
      <w:t>CM-990-7.1-01</w:t>
    </w:r>
    <w:r w:rsidR="00AA1EFB">
      <w:rPr>
        <w:rFonts w:cs="Arial"/>
        <w:sz w:val="18"/>
        <w:szCs w:val="18"/>
      </w:rPr>
      <w:t xml:space="preserve"> </w:t>
    </w:r>
    <w:r w:rsidR="00290CC3" w:rsidRPr="00AA1EFB">
      <w:rPr>
        <w:sz w:val="18"/>
        <w:szCs w:val="18"/>
      </w:rPr>
      <w:t>Rev</w:t>
    </w:r>
    <w:r w:rsidR="005D5371">
      <w:rPr>
        <w:sz w:val="18"/>
        <w:szCs w:val="18"/>
      </w:rPr>
      <w:t xml:space="preserve"> </w:t>
    </w:r>
    <w:r w:rsidR="001E2340">
      <w:rPr>
        <w:sz w:val="18"/>
        <w:szCs w:val="18"/>
      </w:rPr>
      <w:t>9</w:t>
    </w:r>
    <w:r w:rsidR="00A12478">
      <w:rPr>
        <w:sz w:val="18"/>
        <w:szCs w:val="18"/>
      </w:rPr>
      <w:t>.</w:t>
    </w:r>
    <w:r w:rsidR="001E2340">
      <w:rPr>
        <w:sz w:val="18"/>
        <w:szCs w:val="18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451D" w14:textId="77777777" w:rsidR="004A2952" w:rsidRDefault="004A2952" w:rsidP="001B2C7F">
    <w:pPr>
      <w:pStyle w:val="Header"/>
      <w:jc w:val="right"/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E283" w14:textId="77777777" w:rsidR="004A2952" w:rsidRDefault="004A2952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2354">
    <w:abstractNumId w:val="1"/>
  </w:num>
  <w:num w:numId="2" w16cid:durableId="188193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bDQ+icaCCIia/scgUfT661abP5zXXfdqNMmQJONEg/F6ehjSCoHDu6VNPZ99m58bqkCkMImQaWgdumr7ZpjYA==" w:salt="1jKG0m3aGfmnJ/QcyVXVO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2DDB"/>
    <w:rsid w:val="00000E38"/>
    <w:rsid w:val="00023A0A"/>
    <w:rsid w:val="00036558"/>
    <w:rsid w:val="000373E7"/>
    <w:rsid w:val="0003747F"/>
    <w:rsid w:val="00050FF5"/>
    <w:rsid w:val="0005539C"/>
    <w:rsid w:val="00057145"/>
    <w:rsid w:val="000610E5"/>
    <w:rsid w:val="000704F4"/>
    <w:rsid w:val="00070EC7"/>
    <w:rsid w:val="00082542"/>
    <w:rsid w:val="000A266F"/>
    <w:rsid w:val="000C7475"/>
    <w:rsid w:val="000D78F9"/>
    <w:rsid w:val="000E5ED6"/>
    <w:rsid w:val="000F2DDB"/>
    <w:rsid w:val="00106232"/>
    <w:rsid w:val="001546A3"/>
    <w:rsid w:val="0016062C"/>
    <w:rsid w:val="00164F13"/>
    <w:rsid w:val="00173045"/>
    <w:rsid w:val="00173CD9"/>
    <w:rsid w:val="00186097"/>
    <w:rsid w:val="001A2815"/>
    <w:rsid w:val="001A6150"/>
    <w:rsid w:val="001A7673"/>
    <w:rsid w:val="001B2C7F"/>
    <w:rsid w:val="001D28B5"/>
    <w:rsid w:val="001E2340"/>
    <w:rsid w:val="00205040"/>
    <w:rsid w:val="00211B05"/>
    <w:rsid w:val="0023469D"/>
    <w:rsid w:val="0024658B"/>
    <w:rsid w:val="00270CBF"/>
    <w:rsid w:val="0028625C"/>
    <w:rsid w:val="00290CC3"/>
    <w:rsid w:val="002A79EB"/>
    <w:rsid w:val="002A7DCC"/>
    <w:rsid w:val="002C4BBC"/>
    <w:rsid w:val="002D73FC"/>
    <w:rsid w:val="002F08DC"/>
    <w:rsid w:val="002F08E9"/>
    <w:rsid w:val="002F1CC8"/>
    <w:rsid w:val="002F63F0"/>
    <w:rsid w:val="003001C8"/>
    <w:rsid w:val="00306D09"/>
    <w:rsid w:val="0031028C"/>
    <w:rsid w:val="00316728"/>
    <w:rsid w:val="00316E60"/>
    <w:rsid w:val="0032780F"/>
    <w:rsid w:val="0034348D"/>
    <w:rsid w:val="00344ADF"/>
    <w:rsid w:val="00347620"/>
    <w:rsid w:val="00351B98"/>
    <w:rsid w:val="00352F06"/>
    <w:rsid w:val="003643E6"/>
    <w:rsid w:val="003712AC"/>
    <w:rsid w:val="0037228F"/>
    <w:rsid w:val="00381867"/>
    <w:rsid w:val="00381E71"/>
    <w:rsid w:val="003842D9"/>
    <w:rsid w:val="0038787D"/>
    <w:rsid w:val="00393FC5"/>
    <w:rsid w:val="003A06FC"/>
    <w:rsid w:val="003A1B79"/>
    <w:rsid w:val="003A3108"/>
    <w:rsid w:val="003A79D6"/>
    <w:rsid w:val="003D2C94"/>
    <w:rsid w:val="003E5A07"/>
    <w:rsid w:val="00410CD8"/>
    <w:rsid w:val="00414551"/>
    <w:rsid w:val="00414AF1"/>
    <w:rsid w:val="0042045A"/>
    <w:rsid w:val="004302F3"/>
    <w:rsid w:val="00432FD4"/>
    <w:rsid w:val="00463959"/>
    <w:rsid w:val="004706EB"/>
    <w:rsid w:val="00482CD8"/>
    <w:rsid w:val="00496905"/>
    <w:rsid w:val="004A0190"/>
    <w:rsid w:val="004A2952"/>
    <w:rsid w:val="004A4FB8"/>
    <w:rsid w:val="004D32AE"/>
    <w:rsid w:val="004D684C"/>
    <w:rsid w:val="004E0FE4"/>
    <w:rsid w:val="004E234D"/>
    <w:rsid w:val="004E5945"/>
    <w:rsid w:val="004F22AF"/>
    <w:rsid w:val="004F52A0"/>
    <w:rsid w:val="00531453"/>
    <w:rsid w:val="00535999"/>
    <w:rsid w:val="00537808"/>
    <w:rsid w:val="005522D4"/>
    <w:rsid w:val="0055686C"/>
    <w:rsid w:val="00560B9E"/>
    <w:rsid w:val="005658F7"/>
    <w:rsid w:val="0057674D"/>
    <w:rsid w:val="0058474B"/>
    <w:rsid w:val="00597CA9"/>
    <w:rsid w:val="005B100D"/>
    <w:rsid w:val="005B2037"/>
    <w:rsid w:val="005B5946"/>
    <w:rsid w:val="005B594C"/>
    <w:rsid w:val="005B7838"/>
    <w:rsid w:val="005C4DBF"/>
    <w:rsid w:val="005D5371"/>
    <w:rsid w:val="005E326A"/>
    <w:rsid w:val="005E3A64"/>
    <w:rsid w:val="005E545D"/>
    <w:rsid w:val="006014C2"/>
    <w:rsid w:val="00625356"/>
    <w:rsid w:val="00640234"/>
    <w:rsid w:val="0064262C"/>
    <w:rsid w:val="00654144"/>
    <w:rsid w:val="006724AE"/>
    <w:rsid w:val="0068674D"/>
    <w:rsid w:val="00691FD4"/>
    <w:rsid w:val="006B4CD5"/>
    <w:rsid w:val="006D15D7"/>
    <w:rsid w:val="006D2E1A"/>
    <w:rsid w:val="006D5344"/>
    <w:rsid w:val="006E22CE"/>
    <w:rsid w:val="00700C53"/>
    <w:rsid w:val="00701E0A"/>
    <w:rsid w:val="00712922"/>
    <w:rsid w:val="007219F6"/>
    <w:rsid w:val="00722593"/>
    <w:rsid w:val="007246C4"/>
    <w:rsid w:val="00725395"/>
    <w:rsid w:val="007657D5"/>
    <w:rsid w:val="007658B7"/>
    <w:rsid w:val="007726D2"/>
    <w:rsid w:val="00775425"/>
    <w:rsid w:val="00783B77"/>
    <w:rsid w:val="007B73B4"/>
    <w:rsid w:val="007C30BE"/>
    <w:rsid w:val="007D53AF"/>
    <w:rsid w:val="007D5B0C"/>
    <w:rsid w:val="007D6498"/>
    <w:rsid w:val="00805229"/>
    <w:rsid w:val="008152F0"/>
    <w:rsid w:val="00822D87"/>
    <w:rsid w:val="0083296D"/>
    <w:rsid w:val="008368F7"/>
    <w:rsid w:val="008470CD"/>
    <w:rsid w:val="00851FDA"/>
    <w:rsid w:val="00883CC5"/>
    <w:rsid w:val="00893317"/>
    <w:rsid w:val="00897C81"/>
    <w:rsid w:val="008A709C"/>
    <w:rsid w:val="008B0F1E"/>
    <w:rsid w:val="008B1691"/>
    <w:rsid w:val="008B4A8E"/>
    <w:rsid w:val="008C016F"/>
    <w:rsid w:val="008C27B6"/>
    <w:rsid w:val="008D0A46"/>
    <w:rsid w:val="008D47E1"/>
    <w:rsid w:val="009021B4"/>
    <w:rsid w:val="009115DD"/>
    <w:rsid w:val="00913E01"/>
    <w:rsid w:val="0092461D"/>
    <w:rsid w:val="00941AC3"/>
    <w:rsid w:val="00942013"/>
    <w:rsid w:val="00973770"/>
    <w:rsid w:val="00980AA5"/>
    <w:rsid w:val="00986CA6"/>
    <w:rsid w:val="0099333E"/>
    <w:rsid w:val="009A17F9"/>
    <w:rsid w:val="009A51DD"/>
    <w:rsid w:val="009B25DD"/>
    <w:rsid w:val="009B3E7C"/>
    <w:rsid w:val="009D045A"/>
    <w:rsid w:val="009D79F1"/>
    <w:rsid w:val="009E5EB4"/>
    <w:rsid w:val="009E7D13"/>
    <w:rsid w:val="009F157F"/>
    <w:rsid w:val="009F74D1"/>
    <w:rsid w:val="00A07D76"/>
    <w:rsid w:val="00A12478"/>
    <w:rsid w:val="00A13A09"/>
    <w:rsid w:val="00A2276D"/>
    <w:rsid w:val="00A23806"/>
    <w:rsid w:val="00A27608"/>
    <w:rsid w:val="00A27DDD"/>
    <w:rsid w:val="00A338D0"/>
    <w:rsid w:val="00A4080A"/>
    <w:rsid w:val="00A409F8"/>
    <w:rsid w:val="00A42FF2"/>
    <w:rsid w:val="00A51845"/>
    <w:rsid w:val="00A6128B"/>
    <w:rsid w:val="00A663F4"/>
    <w:rsid w:val="00A7181A"/>
    <w:rsid w:val="00A731D8"/>
    <w:rsid w:val="00A920CE"/>
    <w:rsid w:val="00AA0A22"/>
    <w:rsid w:val="00AA0E53"/>
    <w:rsid w:val="00AA1EFB"/>
    <w:rsid w:val="00AA317B"/>
    <w:rsid w:val="00AA7B1E"/>
    <w:rsid w:val="00AB2F0A"/>
    <w:rsid w:val="00AD6204"/>
    <w:rsid w:val="00AE28AF"/>
    <w:rsid w:val="00AF0572"/>
    <w:rsid w:val="00AF2B5C"/>
    <w:rsid w:val="00B2568D"/>
    <w:rsid w:val="00B44C7F"/>
    <w:rsid w:val="00B52BBC"/>
    <w:rsid w:val="00B66588"/>
    <w:rsid w:val="00B720BD"/>
    <w:rsid w:val="00B96C31"/>
    <w:rsid w:val="00BA5D52"/>
    <w:rsid w:val="00BB5CAD"/>
    <w:rsid w:val="00BD2F81"/>
    <w:rsid w:val="00BD7AB0"/>
    <w:rsid w:val="00BE2E32"/>
    <w:rsid w:val="00C0003A"/>
    <w:rsid w:val="00C063BE"/>
    <w:rsid w:val="00C201D5"/>
    <w:rsid w:val="00C37AD7"/>
    <w:rsid w:val="00C42BD5"/>
    <w:rsid w:val="00C55A73"/>
    <w:rsid w:val="00C66694"/>
    <w:rsid w:val="00C70BD9"/>
    <w:rsid w:val="00C7194A"/>
    <w:rsid w:val="00C81AA0"/>
    <w:rsid w:val="00C83A2E"/>
    <w:rsid w:val="00C83FB5"/>
    <w:rsid w:val="00CA79E2"/>
    <w:rsid w:val="00CB0C67"/>
    <w:rsid w:val="00CB57B5"/>
    <w:rsid w:val="00CB62FC"/>
    <w:rsid w:val="00CC0797"/>
    <w:rsid w:val="00CD3053"/>
    <w:rsid w:val="00CE2A01"/>
    <w:rsid w:val="00D03AE6"/>
    <w:rsid w:val="00D04887"/>
    <w:rsid w:val="00D06210"/>
    <w:rsid w:val="00D412E0"/>
    <w:rsid w:val="00D4176D"/>
    <w:rsid w:val="00D431BE"/>
    <w:rsid w:val="00D73919"/>
    <w:rsid w:val="00D77D9D"/>
    <w:rsid w:val="00D84FDA"/>
    <w:rsid w:val="00D95784"/>
    <w:rsid w:val="00DA230E"/>
    <w:rsid w:val="00DA7882"/>
    <w:rsid w:val="00DB3D89"/>
    <w:rsid w:val="00DB5FE0"/>
    <w:rsid w:val="00DD2D95"/>
    <w:rsid w:val="00DE0C30"/>
    <w:rsid w:val="00DE2667"/>
    <w:rsid w:val="00DF2524"/>
    <w:rsid w:val="00DF714B"/>
    <w:rsid w:val="00E04DB0"/>
    <w:rsid w:val="00E07F90"/>
    <w:rsid w:val="00E14226"/>
    <w:rsid w:val="00E14976"/>
    <w:rsid w:val="00E42DDF"/>
    <w:rsid w:val="00E54190"/>
    <w:rsid w:val="00E6030C"/>
    <w:rsid w:val="00E71FCA"/>
    <w:rsid w:val="00EA0B28"/>
    <w:rsid w:val="00EB594F"/>
    <w:rsid w:val="00EC1E70"/>
    <w:rsid w:val="00ED0284"/>
    <w:rsid w:val="00EE0697"/>
    <w:rsid w:val="00EE17D1"/>
    <w:rsid w:val="00EE2F57"/>
    <w:rsid w:val="00F03CC4"/>
    <w:rsid w:val="00F0598E"/>
    <w:rsid w:val="00F069CB"/>
    <w:rsid w:val="00F06FF4"/>
    <w:rsid w:val="00F21901"/>
    <w:rsid w:val="00F21E82"/>
    <w:rsid w:val="00F25848"/>
    <w:rsid w:val="00F33675"/>
    <w:rsid w:val="00F35496"/>
    <w:rsid w:val="00F37D7B"/>
    <w:rsid w:val="00F532E2"/>
    <w:rsid w:val="00F62BCF"/>
    <w:rsid w:val="00F6468B"/>
    <w:rsid w:val="00F64784"/>
    <w:rsid w:val="00F65F43"/>
    <w:rsid w:val="00F82189"/>
    <w:rsid w:val="00F85A38"/>
    <w:rsid w:val="00F8747E"/>
    <w:rsid w:val="00F93C39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66DFF"/>
  <w15:docId w15:val="{081FCB6A-D801-4B41-90D0-717B7A3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customStyle="1" w:styleId="FDOT-Table1">
    <w:name w:val="FDOT-Table1"/>
    <w:basedOn w:val="TableNormal"/>
    <w:uiPriority w:val="99"/>
    <w:qFormat/>
    <w:rsid w:val="00432FD4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31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0-7.1-01%20Temporary%20Traffic%20Control%20Sig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7871AB603473CBCC1F5740032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0E7-2FDB-4F5E-AEAC-483FDFEB6E65}"/>
      </w:docPartPr>
      <w:docPartBody>
        <w:p w:rsidR="00BE3520" w:rsidRDefault="00BE3520">
          <w:pPr>
            <w:pStyle w:val="DED7871AB603473CBCC1F57400329B0D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20"/>
    <w:rsid w:val="00B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D7871AB603473CBCC1F57400329B0D">
    <w:name w:val="DED7871AB603473CBCC1F57400329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 xsi:nil="true"/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e229276-0242-43fd-ae1c-9005d8cb82af"/>
    <ds:schemaRef ds:uri="b143206f-a859-4af7-99ad-262ed23c3b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6B83D0-7906-49D6-9789-720AAD6DF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2B864-4B46-482B-A4C7-0547268D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CM-990-7.1-01 Temporary Traffic Control Signal</Template>
  <TotalTime>2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Armelle</cp:lastModifiedBy>
  <cp:revision>3</cp:revision>
  <cp:lastPrinted>2012-02-27T19:36:00Z</cp:lastPrinted>
  <dcterms:created xsi:type="dcterms:W3CDTF">2022-09-29T20:36:00Z</dcterms:created>
  <dcterms:modified xsi:type="dcterms:W3CDTF">2023-10-05T20:34:00Z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71f4bc11-7eaf-4f02-a556-85aa4110a3a5,4;71f4bc11-7eaf-4f02-a556-85aa4110a3a5,6;71f4bc11-7eaf-4f02-a556-85aa4110a3a5,8;71f4bc11-7eaf-4f02-a556-85aa4110a3a5,8;71f4bc11-7eaf-4f02-a556-85aa4110a3a5,11;71f4bc11-7eaf-4f02-a556-85aa4110a3a5,13;71f4bc11-7eaf-4f02-</vt:lpwstr>
  </property>
  <property fmtid="{D5CDD505-2E9C-101B-9397-08002B2CF9AE}" pid="5" name="Order">
    <vt:r8>70100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10;#DeWitt, Matthew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18;#Vollmer, Derek</vt:lpwstr>
  </property>
  <property fmtid="{D5CDD505-2E9C-101B-9397-08002B2CF9AE}" pid="23" name="Reviewer 1">
    <vt:lpwstr>1193;#Raimer, Cheryl</vt:lpwstr>
  </property>
  <property fmtid="{D5CDD505-2E9C-101B-9397-08002B2CF9AE}" pid="24" name="Reviewer 2">
    <vt:lpwstr>10;#DeWitt, Matthew</vt:lpwstr>
  </property>
  <property fmtid="{D5CDD505-2E9C-101B-9397-08002B2CF9AE}" pid="25" name="_ExtendedDescription">
    <vt:lpwstr/>
  </property>
  <property fmtid="{D5CDD505-2E9C-101B-9397-08002B2CF9AE}" pid="26" name="FHWA Date">
    <vt:filetime>2021-02-22T05:00:00Z</vt:filetime>
  </property>
  <property fmtid="{D5CDD505-2E9C-101B-9397-08002B2CF9AE}" pid="27" name="MediaServiceImageTags">
    <vt:lpwstr/>
  </property>
</Properties>
</file>