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439E5DAB" w14:textId="77777777" w:rsidTr="00722593">
        <w:trPr>
          <w:trHeight w:val="1243"/>
        </w:trPr>
        <w:tc>
          <w:tcPr>
            <w:tcW w:w="1176" w:type="dxa"/>
          </w:tcPr>
          <w:p w14:paraId="465F0240" w14:textId="77777777" w:rsidR="00EE17D1" w:rsidRDefault="00EE17D1">
            <w:r w:rsidRPr="00EE17D1">
              <w:rPr>
                <w:noProof/>
              </w:rPr>
              <w:drawing>
                <wp:inline distT="0" distB="0" distL="0" distR="0" wp14:anchorId="6225CE01" wp14:editId="5F5CDCCB">
                  <wp:extent cx="689718" cy="3448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936" cy="350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45E62625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9522B91" w14:textId="48D8426F" w:rsidR="00EE17D1" w:rsidRPr="00722593" w:rsidRDefault="00B0269E" w:rsidP="00B0769B">
            <w:pPr>
              <w:rPr>
                <w:rFonts w:ascii="Arial" w:hAnsi="Arial" w:cs="Arial"/>
                <w:sz w:val="28"/>
                <w:szCs w:val="28"/>
              </w:rPr>
            </w:pPr>
            <w:r w:rsidRPr="00B0269E">
              <w:rPr>
                <w:rFonts w:ascii="Arial" w:hAnsi="Arial" w:cs="Arial"/>
                <w:sz w:val="28"/>
                <w:szCs w:val="28"/>
              </w:rPr>
              <w:t>Light Detection and Ranging (</w:t>
            </w:r>
            <w:r w:rsidR="007D57EB">
              <w:rPr>
                <w:rFonts w:ascii="Arial" w:hAnsi="Arial" w:cs="Arial"/>
                <w:sz w:val="28"/>
                <w:szCs w:val="28"/>
              </w:rPr>
              <w:t>LiD</w:t>
            </w:r>
            <w:r w:rsidR="00424950">
              <w:rPr>
                <w:rFonts w:ascii="Arial" w:hAnsi="Arial" w:cs="Arial"/>
                <w:sz w:val="28"/>
                <w:szCs w:val="28"/>
              </w:rPr>
              <w:t>AR</w:t>
            </w:r>
            <w:r w:rsidRPr="00B0269E">
              <w:rPr>
                <w:rFonts w:ascii="Arial" w:hAnsi="Arial" w:cs="Arial"/>
                <w:sz w:val="28"/>
                <w:szCs w:val="28"/>
              </w:rPr>
              <w:t>) Vehicle Detection System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57EB" w:rsidRPr="00B0269E">
              <w:rPr>
                <w:rFonts w:ascii="Arial" w:hAnsi="Arial" w:cs="Arial"/>
                <w:sz w:val="28"/>
                <w:szCs w:val="28"/>
              </w:rPr>
              <w:t>(L</w:t>
            </w:r>
            <w:r w:rsidR="007D57EB">
              <w:rPr>
                <w:rFonts w:ascii="Arial" w:hAnsi="Arial" w:cs="Arial"/>
                <w:sz w:val="28"/>
                <w:szCs w:val="28"/>
              </w:rPr>
              <w:t>VDS</w:t>
            </w:r>
            <w:r w:rsidR="007D57EB" w:rsidRPr="00B0269E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17D1"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505E1026" w14:textId="05C28AF0" w:rsidR="00EE17D1" w:rsidRPr="00722593" w:rsidRDefault="00EE17D1" w:rsidP="00EA11D3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171888">
              <w:rPr>
                <w:rFonts w:ascii="Arial" w:hAnsi="Arial" w:cs="Arial"/>
                <w:sz w:val="17"/>
                <w:szCs w:val="17"/>
              </w:rPr>
              <w:t>s 6</w:t>
            </w:r>
            <w:r w:rsidR="00BA4497">
              <w:rPr>
                <w:rFonts w:ascii="Arial" w:hAnsi="Arial" w:cs="Arial"/>
                <w:sz w:val="17"/>
                <w:szCs w:val="17"/>
              </w:rPr>
              <w:t>6</w:t>
            </w:r>
            <w:r w:rsidR="00171888">
              <w:rPr>
                <w:rFonts w:ascii="Arial" w:hAnsi="Arial" w:cs="Arial"/>
                <w:sz w:val="17"/>
                <w:szCs w:val="17"/>
              </w:rPr>
              <w:t>0 and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87505">
              <w:rPr>
                <w:rFonts w:ascii="Arial" w:hAnsi="Arial" w:cs="Arial"/>
                <w:sz w:val="17"/>
                <w:szCs w:val="17"/>
              </w:rPr>
              <w:t xml:space="preserve">995 </w:t>
            </w:r>
            <w:r w:rsidRPr="00EA11D3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EA11D3">
              <w:rPr>
                <w:rFonts w:ascii="Arial" w:hAnsi="Arial" w:cs="Arial"/>
                <w:sz w:val="17"/>
                <w:szCs w:val="17"/>
              </w:rPr>
              <w:t>FDOT</w:t>
            </w:r>
            <w:r w:rsidRPr="00EA11D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EA11D3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42045A" w:rsidRPr="00EA11D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EA11D3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EA11D3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EA11D3">
              <w:rPr>
                <w:rFonts w:ascii="Arial" w:hAnsi="Arial" w:cs="Arial"/>
                <w:sz w:val="17"/>
                <w:szCs w:val="17"/>
              </w:rPr>
              <w:t>ations</w:t>
            </w:r>
            <w:r w:rsidRPr="00EA11D3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EA11D3">
              <w:rPr>
                <w:rFonts w:ascii="Arial" w:hAnsi="Arial" w:cs="Arial"/>
                <w:sz w:val="17"/>
                <w:szCs w:val="17"/>
              </w:rPr>
              <w:t>requirements listed on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this matr</w:t>
            </w:r>
            <w:r w:rsidR="00A663F4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171888">
              <w:rPr>
                <w:rFonts w:ascii="Arial" w:hAnsi="Arial" w:cs="Arial"/>
                <w:sz w:val="17"/>
                <w:szCs w:val="17"/>
              </w:rPr>
              <w:t>s 660 and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A1EF7">
              <w:rPr>
                <w:rFonts w:ascii="Arial" w:hAnsi="Arial" w:cs="Arial"/>
                <w:sz w:val="17"/>
                <w:szCs w:val="17"/>
              </w:rPr>
              <w:t>995</w:t>
            </w:r>
            <w:r w:rsidR="000F7FDA">
              <w:rPr>
                <w:rFonts w:ascii="Arial" w:hAnsi="Arial" w:cs="Arial"/>
                <w:sz w:val="17"/>
                <w:szCs w:val="17"/>
              </w:rPr>
              <w:t>,</w:t>
            </w:r>
            <w:r w:rsidR="004A1EF7"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="00D56EC4">
              <w:rPr>
                <w:rFonts w:ascii="Arial" w:hAnsi="Arial" w:cs="Arial"/>
                <w:sz w:val="17"/>
                <w:szCs w:val="17"/>
              </w:rPr>
              <w:t xml:space="preserve">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>
              <w:rPr>
                <w:rFonts w:ascii="Arial" w:hAnsi="Arial" w:cs="Arial"/>
                <w:sz w:val="17"/>
                <w:szCs w:val="17"/>
              </w:rPr>
              <w:t>’s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D7C371F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14123" w:type="dxa"/>
        <w:tblLook w:val="04A0" w:firstRow="1" w:lastRow="0" w:firstColumn="1" w:lastColumn="0" w:noHBand="0" w:noVBand="1"/>
      </w:tblPr>
      <w:tblGrid>
        <w:gridCol w:w="1735"/>
        <w:gridCol w:w="4352"/>
        <w:gridCol w:w="2079"/>
        <w:gridCol w:w="5957"/>
      </w:tblGrid>
      <w:tr w:rsidR="005B100D" w:rsidRPr="00722593" w14:paraId="4AEC8D84" w14:textId="77777777" w:rsidTr="00E342A4">
        <w:trPr>
          <w:trHeight w:val="288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B7D7A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7ECA7456D42A4BAFA48BB4CEC18B4A67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35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DE9634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07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D933A5D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33076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F0F59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BCACA6" w14:textId="77777777" w:rsidTr="00E342A4">
        <w:trPr>
          <w:trHeight w:val="36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E607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352" w:type="dxa"/>
            <w:tcBorders>
              <w:left w:val="nil"/>
              <w:right w:val="nil"/>
            </w:tcBorders>
            <w:vAlign w:val="bottom"/>
          </w:tcPr>
          <w:p w14:paraId="7A6E9C04" w14:textId="5A477262" w:rsidR="005B100D" w:rsidRPr="00E42DDF" w:rsidRDefault="00CA5957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07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06440DD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957" w:type="dxa"/>
            <w:tcBorders>
              <w:top w:val="nil"/>
              <w:left w:val="nil"/>
              <w:right w:val="nil"/>
            </w:tcBorders>
            <w:vAlign w:val="bottom"/>
          </w:tcPr>
          <w:p w14:paraId="2119180F" w14:textId="7CEC1143" w:rsidR="005B100D" w:rsidRPr="00E42DDF" w:rsidRDefault="00CA5957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3F76A80E" w14:textId="77777777" w:rsidTr="00E342A4">
        <w:trPr>
          <w:trHeight w:val="36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8432F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352" w:type="dxa"/>
            <w:tcBorders>
              <w:left w:val="nil"/>
              <w:right w:val="nil"/>
            </w:tcBorders>
            <w:vAlign w:val="bottom"/>
          </w:tcPr>
          <w:p w14:paraId="7076249C" w14:textId="257AFEE4" w:rsidR="005B100D" w:rsidRPr="00E42DDF" w:rsidRDefault="00CA5957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759E5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957" w:type="dxa"/>
            <w:tcBorders>
              <w:left w:val="nil"/>
              <w:right w:val="nil"/>
            </w:tcBorders>
            <w:vAlign w:val="bottom"/>
          </w:tcPr>
          <w:p w14:paraId="3AF0B5AE" w14:textId="65257409" w:rsidR="005B100D" w:rsidRPr="00E42DDF" w:rsidRDefault="00CA5957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ED7877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520EAC02" w14:textId="77777777" w:rsidR="00F52D58" w:rsidRDefault="00F52D58" w:rsidP="007657D5">
      <w:pPr>
        <w:tabs>
          <w:tab w:val="left" w:pos="1080"/>
        </w:tabs>
        <w:jc w:val="center"/>
        <w:rPr>
          <w:rFonts w:ascii="Arial" w:hAnsi="Arial" w:cs="Arial"/>
          <w:b/>
          <w:sz w:val="17"/>
          <w:szCs w:val="17"/>
        </w:rPr>
        <w:sectPr w:rsidR="00F52D58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695" w:type="dxa"/>
        <w:tblLayout w:type="fixed"/>
        <w:tblLook w:val="04A0" w:firstRow="1" w:lastRow="0" w:firstColumn="1" w:lastColumn="0" w:noHBand="0" w:noVBand="1"/>
      </w:tblPr>
      <w:tblGrid>
        <w:gridCol w:w="469"/>
        <w:gridCol w:w="1439"/>
        <w:gridCol w:w="5127"/>
        <w:gridCol w:w="1266"/>
        <w:gridCol w:w="4408"/>
        <w:gridCol w:w="1986"/>
      </w:tblGrid>
      <w:tr w:rsidR="00CD3053" w:rsidRPr="00722593" w14:paraId="570822FD" w14:textId="77777777" w:rsidTr="00676C6D">
        <w:trPr>
          <w:cantSplit/>
          <w:tblHeader/>
        </w:trPr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6B9A2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C54CB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EDBA86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198B29" w14:textId="1E2E9BFE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6B6C85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C6D9F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0662C5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AF5B07" w:rsidRPr="00722593" w14:paraId="3D7E7897" w14:textId="77777777" w:rsidTr="00676C6D">
        <w:trPr>
          <w:cantSplit/>
          <w:trHeight w:val="20"/>
        </w:trPr>
        <w:tc>
          <w:tcPr>
            <w:tcW w:w="14695" w:type="dxa"/>
            <w:gridSpan w:val="6"/>
            <w:tcBorders>
              <w:top w:val="single" w:sz="4" w:space="0" w:color="auto"/>
            </w:tcBorders>
            <w:shd w:val="clear" w:color="auto" w:fill="FFFF99"/>
          </w:tcPr>
          <w:p w14:paraId="6E3334D3" w14:textId="09C7C69F" w:rsidR="00AF5B07" w:rsidRDefault="00AF5B07" w:rsidP="00CE7FE6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all </w:t>
            </w:r>
            <w:r w:rsidR="00907C94">
              <w:rPr>
                <w:rFonts w:ascii="Arial" w:hAnsi="Arial" w:cs="Arial"/>
                <w:sz w:val="17"/>
                <w:szCs w:val="17"/>
              </w:rPr>
              <w:t>L</w:t>
            </w:r>
            <w:r w:rsidR="00B0769B">
              <w:rPr>
                <w:rFonts w:ascii="Arial" w:hAnsi="Arial" w:cs="Arial"/>
                <w:sz w:val="17"/>
                <w:szCs w:val="17"/>
              </w:rPr>
              <w:t>VDS</w:t>
            </w:r>
            <w:r w:rsidR="00560C3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43245" w:rsidRPr="00722593" w14:paraId="3AF87437" w14:textId="77777777" w:rsidTr="00676C6D">
        <w:trPr>
          <w:cantSplit/>
          <w:trHeight w:val="243"/>
        </w:trPr>
        <w:tc>
          <w:tcPr>
            <w:tcW w:w="469" w:type="dxa"/>
          </w:tcPr>
          <w:p w14:paraId="37E50F19" w14:textId="61C339B2" w:rsidR="00043245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</w:tcPr>
          <w:p w14:paraId="69810E8B" w14:textId="2FBCF370" w:rsidR="00043245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27" w:type="dxa"/>
          </w:tcPr>
          <w:p w14:paraId="1717C9E2" w14:textId="4C3D8830" w:rsidR="00043245" w:rsidRPr="00106FEC" w:rsidRDefault="00043245" w:rsidP="0004324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Equipment is permanently marked with manufacturer name or trademark, part number, and date of manufacture or serial number</w:t>
            </w:r>
            <w:r w:rsidR="00235E10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6" w:type="dxa"/>
          </w:tcPr>
          <w:p w14:paraId="06A89F59" w14:textId="2CF755EE" w:rsidR="00043245" w:rsidRDefault="006244A1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08" w:type="dxa"/>
          </w:tcPr>
          <w:p w14:paraId="0DF5CE4F" w14:textId="415606D1" w:rsidR="00043245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</w:tcPr>
          <w:p w14:paraId="29F87049" w14:textId="77777777" w:rsidR="00043245" w:rsidRDefault="00043245" w:rsidP="0004324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6244A1" w:rsidRPr="00722593" w14:paraId="3D0F3742" w14:textId="77777777" w:rsidTr="00676C6D">
        <w:trPr>
          <w:cantSplit/>
          <w:trHeight w:val="86"/>
        </w:trPr>
        <w:tc>
          <w:tcPr>
            <w:tcW w:w="469" w:type="dxa"/>
            <w:vMerge w:val="restart"/>
          </w:tcPr>
          <w:p w14:paraId="688F37B2" w14:textId="427D015C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5958A013" w14:textId="3EA7D066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</w:t>
            </w:r>
          </w:p>
        </w:tc>
        <w:tc>
          <w:tcPr>
            <w:tcW w:w="5127" w:type="dxa"/>
            <w:vMerge w:val="restart"/>
          </w:tcPr>
          <w:p w14:paraId="3801CEC5" w14:textId="334FC806" w:rsidR="006244A1" w:rsidRPr="00106FEC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ll parts are made of corrosion-resistant materials, such as </w:t>
            </w:r>
            <w:r w:rsidR="003303DB" w:rsidRPr="003303DB">
              <w:rPr>
                <w:rFonts w:ascii="Arial" w:hAnsi="Arial" w:cs="Arial"/>
                <w:sz w:val="17"/>
                <w:szCs w:val="17"/>
              </w:rPr>
              <w:t>UV stabilized or UV resistant plastic</w:t>
            </w:r>
            <w:r w:rsidRPr="00230118">
              <w:rPr>
                <w:rFonts w:ascii="Arial" w:hAnsi="Arial" w:cs="Arial"/>
                <w:sz w:val="17"/>
                <w:szCs w:val="17"/>
              </w:rPr>
              <w:t>, stainless steel, anodized aluminum, brass, or gold-plated metal.</w:t>
            </w:r>
          </w:p>
        </w:tc>
        <w:tc>
          <w:tcPr>
            <w:tcW w:w="1266" w:type="dxa"/>
            <w:vMerge w:val="restart"/>
          </w:tcPr>
          <w:p w14:paraId="38663B8D" w14:textId="45B8C446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7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23B73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23B73">
              <w:rPr>
                <w:rFonts w:ascii="Arial" w:hAnsi="Arial" w:cs="Arial"/>
                <w:sz w:val="17"/>
                <w:szCs w:val="17"/>
              </w:rPr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45075DD9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46A82E90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244A1" w:rsidRPr="00722593" w14:paraId="1F764CDF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0BC7BCDD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08A5349E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44E04C11" w14:textId="77777777" w:rsidR="006244A1" w:rsidRPr="00106FEC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6BD30AA1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1A4BB641" w14:textId="2AEBD1E3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659BA784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23E9ABDB" w14:textId="77777777" w:rsidTr="00676C6D">
        <w:trPr>
          <w:cantSplit/>
          <w:trHeight w:val="86"/>
        </w:trPr>
        <w:tc>
          <w:tcPr>
            <w:tcW w:w="469" w:type="dxa"/>
            <w:vMerge w:val="restart"/>
          </w:tcPr>
          <w:p w14:paraId="186FB94B" w14:textId="262C0CC1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11242128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3218A3C5" w14:textId="77777777" w:rsidR="006244A1" w:rsidRPr="00106FEC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230118">
              <w:rPr>
                <w:rFonts w:ascii="Arial" w:hAnsi="Arial" w:cs="Arial"/>
                <w:color w:val="000000"/>
                <w:sz w:val="17"/>
                <w:szCs w:val="17"/>
              </w:rPr>
              <w:t xml:space="preserve">ll fasteners exposed to the elements are Type 304 or 316 </w:t>
            </w:r>
            <w:r w:rsidRPr="00E30CA4">
              <w:rPr>
                <w:rFonts w:ascii="Arial" w:hAnsi="Arial" w:cs="Arial"/>
                <w:sz w:val="17"/>
                <w:szCs w:val="17"/>
              </w:rPr>
              <w:t>passivated</w:t>
            </w:r>
            <w:r w:rsidRPr="00230118">
              <w:rPr>
                <w:rFonts w:ascii="Arial" w:hAnsi="Arial" w:cs="Arial"/>
                <w:color w:val="000000"/>
                <w:sz w:val="17"/>
                <w:szCs w:val="17"/>
              </w:rPr>
              <w:t xml:space="preserve"> stainless steel.</w:t>
            </w:r>
          </w:p>
        </w:tc>
        <w:tc>
          <w:tcPr>
            <w:tcW w:w="1266" w:type="dxa"/>
            <w:vMerge w:val="restart"/>
          </w:tcPr>
          <w:p w14:paraId="764F84CB" w14:textId="5DF8F8DA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7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23B73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23B73">
              <w:rPr>
                <w:rFonts w:ascii="Arial" w:hAnsi="Arial" w:cs="Arial"/>
                <w:sz w:val="17"/>
                <w:szCs w:val="17"/>
              </w:rPr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63A663D8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</w:t>
            </w:r>
          </w:p>
        </w:tc>
        <w:tc>
          <w:tcPr>
            <w:tcW w:w="1986" w:type="dxa"/>
            <w:vMerge w:val="restart"/>
          </w:tcPr>
          <w:p w14:paraId="0151384E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6244A1" w:rsidRPr="00722593" w14:paraId="0550E111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5672A7C8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079B83FB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7422E795" w14:textId="77777777" w:rsidR="006244A1" w:rsidRPr="00106FEC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7A1B3031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0014CBC1" w14:textId="7F0BE67B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38D959A5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Start w:id="5" w:name="_Hlk59196113"/>
      <w:tr w:rsidR="006244A1" w:rsidRPr="00722593" w14:paraId="6C70A0CE" w14:textId="77777777" w:rsidTr="00676C6D">
        <w:trPr>
          <w:cantSplit/>
          <w:trHeight w:val="638"/>
        </w:trPr>
        <w:tc>
          <w:tcPr>
            <w:tcW w:w="469" w:type="dxa"/>
            <w:vMerge w:val="restart"/>
          </w:tcPr>
          <w:p w14:paraId="0AD70D4A" w14:textId="1A198CD6" w:rsidR="006244A1" w:rsidRPr="003331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772587A0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75D10AB8" w14:textId="2A929E8A" w:rsidR="006244A1" w:rsidRPr="00E30CA4" w:rsidRDefault="00FF1878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Cabinets are currently listed on the APL or meet the requirements </w:t>
            </w:r>
            <w:r w:rsidR="00D733EB">
              <w:rPr>
                <w:rFonts w:ascii="Arial" w:hAnsi="Arial" w:cs="Arial"/>
                <w:color w:val="000000"/>
                <w:sz w:val="17"/>
                <w:szCs w:val="17"/>
              </w:rPr>
              <w:t>of section 676.</w:t>
            </w:r>
          </w:p>
        </w:tc>
        <w:tc>
          <w:tcPr>
            <w:tcW w:w="1266" w:type="dxa"/>
            <w:vMerge w:val="restart"/>
          </w:tcPr>
          <w:p w14:paraId="6F952FF3" w14:textId="575C6291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7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23B73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23B73">
              <w:rPr>
                <w:rFonts w:ascii="Arial" w:hAnsi="Arial" w:cs="Arial"/>
                <w:sz w:val="17"/>
                <w:szCs w:val="17"/>
              </w:rPr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495D67E6" w14:textId="774D4860" w:rsidR="006244A1" w:rsidRDefault="00F45866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applicable compliance matrix from Specification 676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along with all supporting documentation that demonstrates this product meets this requirement. Alternately, provide the Approved Product List (APL) number if the cabinet is APL listed.</w:t>
            </w:r>
          </w:p>
        </w:tc>
        <w:tc>
          <w:tcPr>
            <w:tcW w:w="1986" w:type="dxa"/>
            <w:vMerge w:val="restart"/>
          </w:tcPr>
          <w:p w14:paraId="1F67CEAE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bookmarkEnd w:id="5"/>
      <w:tr w:rsidR="006244A1" w:rsidRPr="00722593" w14:paraId="704BC185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37D5F67F" w14:textId="77777777" w:rsidR="006244A1" w:rsidRPr="003331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265E4320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0941E610" w14:textId="77777777" w:rsidR="006244A1" w:rsidRPr="000E7095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4023B992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3592F400" w14:textId="6992F09B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61A7754C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68EDDEFF" w14:textId="77777777" w:rsidTr="00676C6D">
        <w:trPr>
          <w:cantSplit/>
          <w:trHeight w:val="86"/>
        </w:trPr>
        <w:tc>
          <w:tcPr>
            <w:tcW w:w="469" w:type="dxa"/>
            <w:vMerge w:val="restart"/>
          </w:tcPr>
          <w:p w14:paraId="254BEE26" w14:textId="7F3ACFA5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6CFBF1C2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18768408" w14:textId="582F2048" w:rsidR="006244A1" w:rsidRPr="00106FEC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B35FC">
              <w:rPr>
                <w:rFonts w:ascii="Arial" w:hAnsi="Arial" w:cs="Arial"/>
                <w:sz w:val="17"/>
                <w:szCs w:val="17"/>
              </w:rPr>
              <w:t>Detector</w:t>
            </w:r>
            <w:r>
              <w:rPr>
                <w:rFonts w:ascii="Arial" w:hAnsi="Arial" w:cs="Arial"/>
                <w:sz w:val="17"/>
                <w:szCs w:val="17"/>
              </w:rPr>
              <w:t xml:space="preserve"> m</w:t>
            </w:r>
            <w:r w:rsidRPr="00EB35FC">
              <w:rPr>
                <w:rFonts w:ascii="Arial" w:hAnsi="Arial" w:cs="Arial"/>
                <w:sz w:val="17"/>
                <w:szCs w:val="17"/>
              </w:rPr>
              <w:t>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EB35FC">
              <w:rPr>
                <w:rFonts w:ascii="Arial" w:hAnsi="Arial" w:cs="Arial"/>
                <w:sz w:val="17"/>
                <w:szCs w:val="17"/>
              </w:rPr>
              <w:t xml:space="preserve"> the environmental requirements of NEMA TS-2</w:t>
            </w:r>
            <w:r w:rsidR="00834B6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6" w:type="dxa"/>
            <w:vMerge w:val="restart"/>
          </w:tcPr>
          <w:p w14:paraId="15B3F7C2" w14:textId="0E3E2E71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7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23B73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23B73">
              <w:rPr>
                <w:rFonts w:ascii="Arial" w:hAnsi="Arial" w:cs="Arial"/>
                <w:sz w:val="17"/>
                <w:szCs w:val="17"/>
              </w:rPr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3ACA0939" w14:textId="77777777" w:rsidR="004C194A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R="004C194A"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47BE785B" w14:textId="3D2DD517" w:rsidR="007D6B04" w:rsidRPr="00A70BBD" w:rsidRDefault="004C194A" w:rsidP="00A70BB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6244A1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</w:t>
            </w:r>
            <w:r w:rsidR="007D6B04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compliance with this requirement</w:t>
            </w:r>
            <w:r w:rsidR="006244A1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.  </w:t>
            </w:r>
            <w:r w:rsidR="002E211B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67D0EDCC" w14:textId="21EA725A" w:rsidR="007D6B04" w:rsidRPr="00A70BBD" w:rsidRDefault="007D6B04" w:rsidP="00A70BB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="002E211B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>completed Testing Laboratory and Report Checklist</w:t>
            </w:r>
            <w:r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. </w:t>
            </w:r>
          </w:p>
          <w:p w14:paraId="34348094" w14:textId="3A31AC3B" w:rsidR="006244A1" w:rsidRPr="00A70BBD" w:rsidRDefault="007D6B04" w:rsidP="00A70BBD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2E211B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completed </w:t>
            </w:r>
            <w:r w:rsidR="002E211B" w:rsidRPr="00A70BBD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</w:p>
        </w:tc>
        <w:tc>
          <w:tcPr>
            <w:tcW w:w="1986" w:type="dxa"/>
            <w:vMerge w:val="restart"/>
          </w:tcPr>
          <w:p w14:paraId="5D3582F5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244A1" w:rsidRPr="00722593" w14:paraId="3A860D63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0890CF5B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366F8D0F" w14:textId="77777777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7083385C" w14:textId="77777777" w:rsidR="006244A1" w:rsidRPr="00106FEC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75161F4C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6CBBACCE" w14:textId="103EFD1F" w:rsidR="006244A1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76E140F6" w14:textId="77777777" w:rsidR="006244A1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04D017C5" w14:textId="77777777" w:rsidTr="00676C6D">
        <w:trPr>
          <w:cantSplit/>
          <w:trHeight w:val="210"/>
        </w:trPr>
        <w:tc>
          <w:tcPr>
            <w:tcW w:w="469" w:type="dxa"/>
            <w:vMerge w:val="restart"/>
          </w:tcPr>
          <w:p w14:paraId="689E48A3" w14:textId="50B62988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1B55817D" w14:textId="3CE5C1F1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</w:t>
            </w:r>
            <w:r w:rsidR="00766BD6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27" w:type="dxa"/>
            <w:vMerge w:val="restart"/>
          </w:tcPr>
          <w:p w14:paraId="3A555DF2" w14:textId="2BDC1B42" w:rsidR="006244A1" w:rsidRPr="00722593" w:rsidRDefault="00766BD6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</w:t>
            </w:r>
            <w:r w:rsidR="006244A1" w:rsidRPr="00106FEC">
              <w:rPr>
                <w:rFonts w:ascii="Arial" w:hAnsi="Arial" w:cs="Arial"/>
                <w:sz w:val="17"/>
                <w:szCs w:val="17"/>
              </w:rPr>
              <w:t>VDS is provided with software that allows local and remote configuration and monitoring.</w:t>
            </w:r>
          </w:p>
        </w:tc>
        <w:tc>
          <w:tcPr>
            <w:tcW w:w="1266" w:type="dxa"/>
            <w:vMerge w:val="restart"/>
          </w:tcPr>
          <w:p w14:paraId="7801D5F7" w14:textId="47341CA0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73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23B73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23B73">
              <w:rPr>
                <w:rFonts w:ascii="Arial" w:hAnsi="Arial" w:cs="Arial"/>
                <w:sz w:val="17"/>
                <w:szCs w:val="17"/>
              </w:rPr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23B7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797A68C0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6811900C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43245" w:rsidRPr="00722593" w14:paraId="7A3103E6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3E2C9A43" w14:textId="77777777" w:rsidR="00043245" w:rsidRPr="00385CA9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6" w:name="_Hlk19610373"/>
          </w:p>
        </w:tc>
        <w:tc>
          <w:tcPr>
            <w:tcW w:w="1439" w:type="dxa"/>
            <w:vMerge/>
          </w:tcPr>
          <w:p w14:paraId="5026D0EF" w14:textId="77777777" w:rsidR="00043245" w:rsidDel="00D622B1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7C2A3D6F" w14:textId="77777777" w:rsidR="00043245" w:rsidRPr="00106FEC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7B83B8A4" w14:textId="77777777" w:rsidR="00043245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074F6C62" w14:textId="27E20CAE" w:rsidR="00043245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0CFDA85F" w14:textId="77777777" w:rsidR="00043245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6"/>
      <w:tr w:rsidR="006244A1" w:rsidRPr="00722593" w14:paraId="671E41D6" w14:textId="77777777" w:rsidTr="00676C6D">
        <w:trPr>
          <w:cantSplit/>
          <w:trHeight w:val="140"/>
        </w:trPr>
        <w:tc>
          <w:tcPr>
            <w:tcW w:w="469" w:type="dxa"/>
            <w:vMerge w:val="restart"/>
          </w:tcPr>
          <w:p w14:paraId="456F8205" w14:textId="5943EAE4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61DBD035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48CF6BA7" w14:textId="64C5C8F2" w:rsidR="006244A1" w:rsidRPr="00722593" w:rsidRDefault="00235B28" w:rsidP="00B66E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LVDS</w:t>
            </w:r>
            <w:r w:rsidR="006244A1" w:rsidRPr="00106FEC">
              <w:rPr>
                <w:rFonts w:ascii="Arial" w:hAnsi="Arial" w:cs="Arial"/>
                <w:sz w:val="17"/>
                <w:szCs w:val="17"/>
              </w:rPr>
              <w:t xml:space="preserve"> software </w:t>
            </w:r>
            <w:r w:rsidR="00D537F7">
              <w:rPr>
                <w:rFonts w:ascii="Arial" w:hAnsi="Arial" w:cs="Arial"/>
                <w:sz w:val="17"/>
                <w:szCs w:val="17"/>
              </w:rPr>
              <w:t>can display</w:t>
            </w:r>
            <w:r w:rsidR="00B65394" w:rsidRPr="00B65394">
              <w:rPr>
                <w:rFonts w:ascii="Arial" w:hAnsi="Arial" w:cs="Arial"/>
                <w:sz w:val="17"/>
                <w:szCs w:val="17"/>
              </w:rPr>
              <w:t xml:space="preserve"> detection zones and detection activations superimposed on live images of the point cloud data produced by the system.</w:t>
            </w:r>
          </w:p>
        </w:tc>
        <w:tc>
          <w:tcPr>
            <w:tcW w:w="1266" w:type="dxa"/>
            <w:vMerge w:val="restart"/>
          </w:tcPr>
          <w:p w14:paraId="5861BCCF" w14:textId="07322B3B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3895348E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4F0DFFE1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6244A1" w:rsidRPr="00722593" w14:paraId="0A7ED55B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0ED0AC8D" w14:textId="77777777" w:rsidR="006244A1" w:rsidRPr="00385CA9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76784FB9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00975662" w14:textId="77777777" w:rsidR="006244A1" w:rsidDel="00513CB9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48D9AFEA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623E7455" w14:textId="0806255C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1101BB65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22E88653" w14:textId="77777777" w:rsidTr="00676C6D">
        <w:trPr>
          <w:cantSplit/>
          <w:trHeight w:val="210"/>
        </w:trPr>
        <w:tc>
          <w:tcPr>
            <w:tcW w:w="469" w:type="dxa"/>
            <w:vMerge w:val="restart"/>
          </w:tcPr>
          <w:p w14:paraId="3ECBB85C" w14:textId="47D049CF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286C7305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6385593C" w14:textId="4EC9405F" w:rsidR="006244A1" w:rsidRPr="00722593" w:rsidRDefault="00235B28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LVDS</w:t>
            </w:r>
            <w:r w:rsidR="006244A1" w:rsidRPr="00106FEC">
              <w:rPr>
                <w:rFonts w:ascii="Arial" w:hAnsi="Arial" w:cs="Arial"/>
                <w:sz w:val="17"/>
                <w:szCs w:val="17"/>
              </w:rPr>
              <w:t xml:space="preserve"> allows a user to edit previously defined configuration parameters, including size</w:t>
            </w:r>
            <w:r w:rsidR="00661BED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6244A1" w:rsidRPr="00106FEC">
              <w:rPr>
                <w:rFonts w:ascii="Arial" w:hAnsi="Arial" w:cs="Arial"/>
                <w:sz w:val="17"/>
                <w:szCs w:val="17"/>
              </w:rPr>
              <w:t>placement of detection zones.</w:t>
            </w:r>
          </w:p>
        </w:tc>
        <w:tc>
          <w:tcPr>
            <w:tcW w:w="1266" w:type="dxa"/>
            <w:vMerge w:val="restart"/>
          </w:tcPr>
          <w:p w14:paraId="0DBD4B82" w14:textId="2AB12DF5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3206859B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3F405ACF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6244A1" w:rsidRPr="00722593" w14:paraId="2D049139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4D75F0CC" w14:textId="77777777" w:rsidR="006244A1" w:rsidRPr="00385CA9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40A3A95C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61A513CC" w14:textId="77777777" w:rsidR="006244A1" w:rsidRPr="00106FEC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14F57019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26DA33A5" w14:textId="0D38D37E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1BFBFC23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594D38E4" w14:textId="77777777" w:rsidTr="00676C6D">
        <w:trPr>
          <w:cantSplit/>
          <w:trHeight w:val="102"/>
        </w:trPr>
        <w:tc>
          <w:tcPr>
            <w:tcW w:w="469" w:type="dxa"/>
            <w:vMerge w:val="restart"/>
          </w:tcPr>
          <w:p w14:paraId="23440EA0" w14:textId="1AF4376A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04F1DE94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4DF48E0F" w14:textId="2201039B" w:rsidR="006244A1" w:rsidRPr="008B4A8E" w:rsidRDefault="00235B28" w:rsidP="006244A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LVDS</w:t>
            </w:r>
            <w:r w:rsidR="006244A1" w:rsidRPr="00106FEC">
              <w:rPr>
                <w:rFonts w:ascii="Arial" w:hAnsi="Arial" w:cs="Arial"/>
                <w:color w:val="000000"/>
                <w:sz w:val="17"/>
                <w:szCs w:val="17"/>
              </w:rPr>
              <w:t xml:space="preserve"> retains its programming in nonvolatile memory. </w:t>
            </w:r>
          </w:p>
        </w:tc>
        <w:tc>
          <w:tcPr>
            <w:tcW w:w="1266" w:type="dxa"/>
            <w:vMerge w:val="restart"/>
          </w:tcPr>
          <w:p w14:paraId="39FABB6D" w14:textId="6A3CDA55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62F5269A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71D6D243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6244A1" w:rsidRPr="00722593" w14:paraId="4BFA2F7B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028C7A0B" w14:textId="77777777" w:rsidR="006244A1" w:rsidRPr="00385CA9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6232AB18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4CDAB347" w14:textId="77777777" w:rsidR="006244A1" w:rsidRPr="00106FEC" w:rsidRDefault="006244A1" w:rsidP="006244A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7D1C896D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4AD1043F" w14:textId="51CC0C80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4F9CC339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4AFB9A59" w14:textId="77777777" w:rsidTr="00676C6D">
        <w:trPr>
          <w:cantSplit/>
          <w:trHeight w:val="280"/>
        </w:trPr>
        <w:tc>
          <w:tcPr>
            <w:tcW w:w="469" w:type="dxa"/>
            <w:vMerge w:val="restart"/>
          </w:tcPr>
          <w:p w14:paraId="57FC705A" w14:textId="32352369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0A6F1167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61FB54B0" w14:textId="7FE910D4" w:rsidR="006244A1" w:rsidRPr="008B4A8E" w:rsidRDefault="00235B28" w:rsidP="006244A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LVDS</w:t>
            </w:r>
            <w:r w:rsidR="006244A1" w:rsidRPr="00106FEC">
              <w:rPr>
                <w:rFonts w:ascii="Arial" w:hAnsi="Arial" w:cs="Arial"/>
                <w:color w:val="000000"/>
                <w:sz w:val="17"/>
                <w:szCs w:val="17"/>
              </w:rPr>
              <w:t xml:space="preserve"> configuration data can be saved to a computer and restored from a saved file.</w:t>
            </w:r>
          </w:p>
        </w:tc>
        <w:tc>
          <w:tcPr>
            <w:tcW w:w="1266" w:type="dxa"/>
            <w:vMerge w:val="restart"/>
          </w:tcPr>
          <w:p w14:paraId="01ECCD97" w14:textId="3B90CFE9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7497D1AD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7F53C00C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6244A1" w:rsidRPr="00722593" w14:paraId="674C2F39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315D2A44" w14:textId="77777777" w:rsidR="006244A1" w:rsidRPr="00385CA9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5E2B35B0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3AB7899D" w14:textId="77777777" w:rsidR="006244A1" w:rsidRDefault="006244A1" w:rsidP="006244A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2E271C5C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2D77C479" w14:textId="17750746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66B921A2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24CD234D" w14:textId="77777777" w:rsidTr="00676C6D">
        <w:trPr>
          <w:cantSplit/>
          <w:trHeight w:val="288"/>
        </w:trPr>
        <w:tc>
          <w:tcPr>
            <w:tcW w:w="469" w:type="dxa"/>
          </w:tcPr>
          <w:p w14:paraId="70BC82B5" w14:textId="734B535C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</w:tcPr>
          <w:p w14:paraId="0AEF5444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</w:tcPr>
          <w:p w14:paraId="1A806795" w14:textId="77777777" w:rsidR="006244A1" w:rsidRPr="008B4A8E" w:rsidRDefault="006244A1" w:rsidP="006244A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Pr="00106FEC">
              <w:rPr>
                <w:rFonts w:ascii="Arial" w:hAnsi="Arial" w:cs="Arial"/>
                <w:color w:val="000000"/>
                <w:sz w:val="17"/>
                <w:szCs w:val="17"/>
              </w:rPr>
              <w:t>ll communication addresses are user programmable.</w:t>
            </w:r>
          </w:p>
        </w:tc>
        <w:tc>
          <w:tcPr>
            <w:tcW w:w="1266" w:type="dxa"/>
          </w:tcPr>
          <w:p w14:paraId="4B127F6B" w14:textId="3D85001A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1FAEFFDE" w14:textId="697A8062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</w:tcPr>
          <w:p w14:paraId="179AB2E1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6244A1" w:rsidRPr="00722593" w14:paraId="38F598B4" w14:textId="77777777" w:rsidTr="00676C6D">
        <w:trPr>
          <w:cantSplit/>
          <w:trHeight w:val="183"/>
        </w:trPr>
        <w:tc>
          <w:tcPr>
            <w:tcW w:w="469" w:type="dxa"/>
            <w:vMerge w:val="restart"/>
          </w:tcPr>
          <w:p w14:paraId="6CD01856" w14:textId="7960E710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06429382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432183DF" w14:textId="77777777" w:rsidR="006244A1" w:rsidRPr="00722593" w:rsidRDefault="006244A1" w:rsidP="006244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106FEC">
              <w:rPr>
                <w:rFonts w:ascii="Arial" w:hAnsi="Arial" w:cs="Arial"/>
                <w:sz w:val="17"/>
                <w:szCs w:val="17"/>
              </w:rPr>
              <w:t xml:space="preserve">n open </w:t>
            </w:r>
            <w:r>
              <w:rPr>
                <w:rFonts w:ascii="Arial" w:hAnsi="Arial" w:cs="Arial"/>
                <w:sz w:val="17"/>
                <w:szCs w:val="17"/>
              </w:rPr>
              <w:t>Application Programming Interface (</w:t>
            </w:r>
            <w:r w:rsidRPr="00106FEC">
              <w:rPr>
                <w:rFonts w:ascii="Arial" w:hAnsi="Arial" w:cs="Arial"/>
                <w:sz w:val="17"/>
                <w:szCs w:val="17"/>
              </w:rPr>
              <w:t>API</w:t>
            </w:r>
            <w:r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Pr="00106FEC">
              <w:rPr>
                <w:rFonts w:ascii="Arial" w:hAnsi="Arial" w:cs="Arial"/>
                <w:sz w:val="17"/>
                <w:szCs w:val="17"/>
              </w:rPr>
              <w:t xml:space="preserve">and software development kit </w:t>
            </w:r>
            <w:r>
              <w:rPr>
                <w:rFonts w:ascii="Arial" w:hAnsi="Arial" w:cs="Arial"/>
                <w:sz w:val="17"/>
                <w:szCs w:val="17"/>
              </w:rPr>
              <w:t xml:space="preserve">are </w:t>
            </w:r>
            <w:r w:rsidRPr="00106FEC">
              <w:rPr>
                <w:rFonts w:ascii="Arial" w:hAnsi="Arial" w:cs="Arial"/>
                <w:sz w:val="17"/>
                <w:szCs w:val="17"/>
              </w:rPr>
              <w:t>available to the Department at no cost for integration with third party software and systems.</w:t>
            </w:r>
          </w:p>
        </w:tc>
        <w:tc>
          <w:tcPr>
            <w:tcW w:w="1266" w:type="dxa"/>
            <w:vMerge w:val="restart"/>
          </w:tcPr>
          <w:p w14:paraId="77CCCAD7" w14:textId="3261B2D9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068E893A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253337EF" w14:textId="77777777" w:rsidR="006244A1" w:rsidRPr="001A6150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</w:t>
            </w:r>
          </w:p>
        </w:tc>
      </w:tr>
      <w:tr w:rsidR="006244A1" w:rsidRPr="00722593" w14:paraId="29A13E87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40EFF2CE" w14:textId="77777777" w:rsidR="006244A1" w:rsidRPr="00385CA9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50429244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24F214D8" w14:textId="77777777" w:rsidR="006244A1" w:rsidRDefault="006244A1" w:rsidP="006244A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761669A6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54DFF492" w14:textId="7A55831E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2EB67B34" w14:textId="77777777" w:rsidR="006244A1" w:rsidRPr="001A6150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632E9781" w14:textId="77777777" w:rsidTr="00676C6D">
        <w:trPr>
          <w:cantSplit/>
          <w:trHeight w:val="210"/>
        </w:trPr>
        <w:tc>
          <w:tcPr>
            <w:tcW w:w="469" w:type="dxa"/>
            <w:vMerge w:val="restart"/>
          </w:tcPr>
          <w:p w14:paraId="29E88335" w14:textId="69B1B4E4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33193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33193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33193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57FE4AA4" w14:textId="0399D955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</w:t>
            </w:r>
            <w:r w:rsidR="00CA0DE7">
              <w:rPr>
                <w:rFonts w:ascii="Arial" w:hAnsi="Arial" w:cs="Arial"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t>.2</w:t>
            </w:r>
          </w:p>
        </w:tc>
        <w:tc>
          <w:tcPr>
            <w:tcW w:w="5127" w:type="dxa"/>
            <w:vMerge w:val="restart"/>
          </w:tcPr>
          <w:p w14:paraId="51824CDE" w14:textId="50C5A08C" w:rsidR="006244A1" w:rsidRPr="00722593" w:rsidRDefault="00FF2E3A" w:rsidP="009A73E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="00455E83">
              <w:rPr>
                <w:rFonts w:ascii="Arial" w:hAnsi="Arial" w:cs="Arial"/>
                <w:sz w:val="17"/>
                <w:szCs w:val="17"/>
              </w:rPr>
              <w:t>he d</w:t>
            </w:r>
            <w:r w:rsidR="009A73E7" w:rsidRPr="009A73E7">
              <w:rPr>
                <w:rFonts w:ascii="Arial" w:hAnsi="Arial" w:cs="Arial"/>
                <w:sz w:val="17"/>
                <w:szCs w:val="17"/>
              </w:rPr>
              <w:t>etection range extend</w:t>
            </w:r>
            <w:r w:rsidR="009A73E7">
              <w:rPr>
                <w:rFonts w:ascii="Arial" w:hAnsi="Arial" w:cs="Arial"/>
                <w:sz w:val="17"/>
                <w:szCs w:val="17"/>
              </w:rPr>
              <w:t>s</w:t>
            </w:r>
            <w:r w:rsidR="009A73E7" w:rsidRPr="009A73E7">
              <w:rPr>
                <w:rFonts w:ascii="Arial" w:hAnsi="Arial" w:cs="Arial"/>
                <w:sz w:val="17"/>
                <w:szCs w:val="17"/>
              </w:rPr>
              <w:t xml:space="preserve"> up to at least 200 feet from the sensor.</w:t>
            </w:r>
          </w:p>
        </w:tc>
        <w:tc>
          <w:tcPr>
            <w:tcW w:w="1266" w:type="dxa"/>
            <w:vMerge w:val="restart"/>
          </w:tcPr>
          <w:p w14:paraId="0ECBD1F1" w14:textId="6916FAA8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74F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74FF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74FF">
              <w:rPr>
                <w:rFonts w:ascii="Arial" w:hAnsi="Arial" w:cs="Arial"/>
                <w:sz w:val="17"/>
                <w:szCs w:val="17"/>
              </w:rPr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74F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3C41D69B" w14:textId="6960971F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44D2B9CC" w14:textId="6732DF9B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792860">
              <w:rPr>
                <w:rFonts w:ascii="Arial" w:hAnsi="Arial" w:cs="Arial"/>
                <w:sz w:val="17"/>
                <w:szCs w:val="17"/>
              </w:rPr>
              <w:t>Functiona</w:t>
            </w:r>
            <w:r>
              <w:rPr>
                <w:rFonts w:ascii="Arial" w:hAnsi="Arial" w:cs="Arial"/>
                <w:sz w:val="17"/>
                <w:szCs w:val="17"/>
              </w:rPr>
              <w:t>l Inspection</w:t>
            </w:r>
          </w:p>
        </w:tc>
      </w:tr>
      <w:tr w:rsidR="00043245" w:rsidRPr="00722593" w14:paraId="53374207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0D772C3F" w14:textId="77777777" w:rsidR="00043245" w:rsidRPr="00385CA9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2FE93472" w14:textId="77777777" w:rsidR="00043245" w:rsidDel="000B5A82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208DBECD" w14:textId="77777777" w:rsidR="00043245" w:rsidRDefault="00043245" w:rsidP="0004324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78DD7997" w14:textId="77777777" w:rsidR="00043245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638E7BC2" w14:textId="38C98115" w:rsidR="00043245" w:rsidRPr="00A663F4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6C2E9C83" w14:textId="77777777" w:rsidR="00043245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244A1" w:rsidRPr="00722593" w14:paraId="3F884DB3" w14:textId="77777777" w:rsidTr="00676C6D">
        <w:trPr>
          <w:cantSplit/>
          <w:trHeight w:val="61"/>
        </w:trPr>
        <w:tc>
          <w:tcPr>
            <w:tcW w:w="469" w:type="dxa"/>
            <w:vMerge w:val="restart"/>
          </w:tcPr>
          <w:p w14:paraId="2418FC84" w14:textId="71FAC5BF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6C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D6C77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6D6C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6D6C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6D9C09E6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1634B45E" w14:textId="450258D7" w:rsidR="006244A1" w:rsidRDefault="00514F34" w:rsidP="00DC2AE9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4F34">
              <w:rPr>
                <w:rFonts w:ascii="Arial" w:hAnsi="Arial" w:cs="Arial"/>
                <w:color w:val="000000"/>
                <w:sz w:val="17"/>
                <w:szCs w:val="17"/>
              </w:rPr>
              <w:t xml:space="preserve">Multiple sensors </w:t>
            </w:r>
            <w:r w:rsidR="00341051">
              <w:rPr>
                <w:rFonts w:ascii="Arial" w:hAnsi="Arial" w:cs="Arial"/>
                <w:color w:val="000000"/>
                <w:sz w:val="17"/>
                <w:szCs w:val="17"/>
              </w:rPr>
              <w:t>are</w:t>
            </w:r>
            <w:r w:rsidRPr="00514F34">
              <w:rPr>
                <w:rFonts w:ascii="Arial" w:hAnsi="Arial" w:cs="Arial"/>
                <w:color w:val="000000"/>
                <w:sz w:val="17"/>
                <w:szCs w:val="17"/>
              </w:rPr>
              <w:t xml:space="preserve"> used to reduce occlusion and generate an accurate point cloud representation of the installation environment and detected objects.</w:t>
            </w:r>
          </w:p>
        </w:tc>
        <w:tc>
          <w:tcPr>
            <w:tcW w:w="1266" w:type="dxa"/>
            <w:vMerge w:val="restart"/>
          </w:tcPr>
          <w:p w14:paraId="7EF83EB4" w14:textId="098F9AD0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6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76E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76E7B">
              <w:rPr>
                <w:rFonts w:ascii="Arial" w:hAnsi="Arial" w:cs="Arial"/>
                <w:sz w:val="17"/>
                <w:szCs w:val="17"/>
              </w:rPr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148A8750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2175CEB9" w14:textId="24F04FE1" w:rsidR="006244A1" w:rsidRPr="001A6150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FD7D0D">
              <w:rPr>
                <w:rFonts w:ascii="Arial" w:hAnsi="Arial" w:cs="Arial"/>
                <w:sz w:val="17"/>
                <w:szCs w:val="17"/>
              </w:rPr>
              <w:t xml:space="preserve">Functional </w:t>
            </w:r>
            <w:r>
              <w:rPr>
                <w:rFonts w:ascii="Arial" w:hAnsi="Arial" w:cs="Arial"/>
                <w:sz w:val="17"/>
                <w:szCs w:val="17"/>
              </w:rPr>
              <w:t xml:space="preserve">Inspection </w:t>
            </w:r>
          </w:p>
        </w:tc>
      </w:tr>
      <w:tr w:rsidR="006244A1" w:rsidRPr="00722593" w14:paraId="1531F276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6B19923C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4F0BE934" w14:textId="77777777" w:rsidR="006244A1" w:rsidRPr="00722593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16FE4ED4" w14:textId="77777777" w:rsidR="006244A1" w:rsidRDefault="006244A1" w:rsidP="006244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3522D3D0" w14:textId="77777777" w:rsidR="006244A1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1424A044" w14:textId="3D8AA4A3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5C25120A" w14:textId="77777777" w:rsidR="006244A1" w:rsidRPr="001A6150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Start w:id="7" w:name="_Hlk147926665"/>
      <w:tr w:rsidR="006244A1" w:rsidRPr="00722593" w14:paraId="2C3FAFD8" w14:textId="77777777" w:rsidTr="00676C6D">
        <w:trPr>
          <w:cantSplit/>
          <w:trHeight w:val="183"/>
        </w:trPr>
        <w:tc>
          <w:tcPr>
            <w:tcW w:w="469" w:type="dxa"/>
            <w:vMerge w:val="restart"/>
          </w:tcPr>
          <w:p w14:paraId="382F50C4" w14:textId="3F636E5E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6C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D6C77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6D6C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6D6C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0A3A3604" w14:textId="685103D7" w:rsidR="006244A1" w:rsidRPr="00722593" w:rsidRDefault="00B37874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995-2.8.3</w:t>
            </w:r>
          </w:p>
        </w:tc>
        <w:tc>
          <w:tcPr>
            <w:tcW w:w="5127" w:type="dxa"/>
            <w:vMerge w:val="restart"/>
          </w:tcPr>
          <w:p w14:paraId="7636DD84" w14:textId="476F0214" w:rsidR="006244A1" w:rsidRPr="001546A3" w:rsidRDefault="002D5199" w:rsidP="00644A61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D5199">
              <w:rPr>
                <w:rFonts w:ascii="Arial" w:hAnsi="Arial" w:cs="Arial"/>
                <w:color w:val="000000"/>
                <w:sz w:val="17"/>
                <w:szCs w:val="17"/>
              </w:rPr>
              <w:t>The LiDAR system</w:t>
            </w:r>
            <w:r w:rsidR="007224C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2D5199">
              <w:rPr>
                <w:rFonts w:ascii="Arial" w:hAnsi="Arial" w:cs="Arial"/>
                <w:color w:val="000000"/>
                <w:sz w:val="17"/>
                <w:szCs w:val="17"/>
              </w:rPr>
              <w:t>include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 </w:t>
            </w:r>
            <w:r w:rsidRPr="002D5199">
              <w:rPr>
                <w:rFonts w:ascii="Arial" w:hAnsi="Arial" w:cs="Arial"/>
                <w:color w:val="000000"/>
                <w:sz w:val="17"/>
                <w:szCs w:val="17"/>
              </w:rPr>
              <w:t>a processor that combines data from multiple LiDAR sensors into a single point cloud for object detection, classification, presence detection, and data collection</w:t>
            </w:r>
            <w:r w:rsidR="00644A61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6" w:type="dxa"/>
            <w:vMerge w:val="restart"/>
          </w:tcPr>
          <w:p w14:paraId="31DCF549" w14:textId="6532C679" w:rsidR="006244A1" w:rsidRPr="00722593" w:rsidRDefault="006244A1" w:rsidP="006244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6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76E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76E7B">
              <w:rPr>
                <w:rFonts w:ascii="Arial" w:hAnsi="Arial" w:cs="Arial"/>
                <w:sz w:val="17"/>
                <w:szCs w:val="17"/>
              </w:rPr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04BAAD64" w14:textId="77777777" w:rsidR="006244A1" w:rsidRPr="00A663F4" w:rsidRDefault="006244A1" w:rsidP="006244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089A8DD4" w14:textId="77777777" w:rsidR="006244A1" w:rsidRPr="001A6150" w:rsidRDefault="006244A1" w:rsidP="006244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043245" w:rsidRPr="00722593" w14:paraId="5B07BEDE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2249C34B" w14:textId="77777777" w:rsidR="00043245" w:rsidRPr="00385CA9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02D5D537" w14:textId="77777777" w:rsidR="00043245" w:rsidRPr="00722593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60613E99" w14:textId="77777777" w:rsidR="00043245" w:rsidRDefault="00043245" w:rsidP="00043245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0DAB6674" w14:textId="77777777" w:rsidR="00043245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038625B8" w14:textId="17640167" w:rsidR="00043245" w:rsidRPr="00A663F4" w:rsidRDefault="00043245" w:rsidP="0004324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4C61B273" w14:textId="77777777" w:rsidR="00043245" w:rsidRPr="001A6150" w:rsidRDefault="00043245" w:rsidP="0004324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7"/>
      <w:tr w:rsidR="0098703A" w:rsidRPr="00722593" w14:paraId="53384505" w14:textId="77777777" w:rsidTr="00676C6D">
        <w:trPr>
          <w:cantSplit/>
          <w:trHeight w:val="244"/>
        </w:trPr>
        <w:tc>
          <w:tcPr>
            <w:tcW w:w="469" w:type="dxa"/>
            <w:vMerge w:val="restart"/>
          </w:tcPr>
          <w:p w14:paraId="1CDD0C4E" w14:textId="18B9F13F" w:rsidR="0098703A" w:rsidRPr="00A713F4" w:rsidRDefault="00F23AC2" w:rsidP="0098703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13F4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A713F4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A713F4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A713F4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672DD1DE" w14:textId="77777777" w:rsidR="0098703A" w:rsidRPr="00722593" w:rsidRDefault="0098703A" w:rsidP="0098703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63D92111" w14:textId="403CB318" w:rsidR="0098703A" w:rsidRDefault="0098703A" w:rsidP="0098703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D2BB3">
              <w:rPr>
                <w:rFonts w:ascii="Arial" w:hAnsi="Arial" w:cs="Arial"/>
                <w:sz w:val="17"/>
                <w:szCs w:val="17"/>
              </w:rPr>
              <w:t xml:space="preserve">The processor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6D2BB3">
              <w:rPr>
                <w:rFonts w:ascii="Arial" w:hAnsi="Arial" w:cs="Arial"/>
                <w:sz w:val="17"/>
                <w:szCs w:val="17"/>
              </w:rPr>
              <w:t xml:space="preserve"> a rugged industrial PC with CPU, </w:t>
            </w:r>
            <w:r>
              <w:rPr>
                <w:rFonts w:ascii="Arial" w:hAnsi="Arial" w:cs="Arial"/>
                <w:sz w:val="17"/>
                <w:szCs w:val="17"/>
              </w:rPr>
              <w:t>m</w:t>
            </w:r>
            <w:r w:rsidRPr="006D2BB3">
              <w:rPr>
                <w:rFonts w:ascii="Arial" w:hAnsi="Arial" w:cs="Arial"/>
                <w:sz w:val="17"/>
                <w:szCs w:val="17"/>
              </w:rPr>
              <w:t>emory, storage, a commercially available host operating system, and all software required for system operation.</w:t>
            </w:r>
          </w:p>
        </w:tc>
        <w:tc>
          <w:tcPr>
            <w:tcW w:w="1266" w:type="dxa"/>
            <w:vMerge w:val="restart"/>
          </w:tcPr>
          <w:p w14:paraId="1BD666D7" w14:textId="7B539508" w:rsidR="0098703A" w:rsidRPr="00626721" w:rsidRDefault="0098703A" w:rsidP="0098703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6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76E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76E7B">
              <w:rPr>
                <w:rFonts w:ascii="Arial" w:hAnsi="Arial" w:cs="Arial"/>
                <w:sz w:val="17"/>
                <w:szCs w:val="17"/>
              </w:rPr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0B33FB88" w14:textId="18D1A164" w:rsidR="0098703A" w:rsidRPr="006E49A7" w:rsidRDefault="0098703A" w:rsidP="0098703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64455770" w14:textId="2F610F6C" w:rsidR="0098703A" w:rsidRDefault="00F23AC2" w:rsidP="0098703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8703A" w:rsidRPr="00722593" w14:paraId="6E2F7F40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557749F4" w14:textId="77777777" w:rsidR="0098703A" w:rsidRPr="002B1446" w:rsidRDefault="0098703A" w:rsidP="0098703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5C5CE97C" w14:textId="77777777" w:rsidR="0098703A" w:rsidRPr="00722593" w:rsidRDefault="0098703A" w:rsidP="0098703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73761DB3" w14:textId="77777777" w:rsidR="0098703A" w:rsidRPr="006D2BB3" w:rsidRDefault="0098703A" w:rsidP="0098703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155E4C33" w14:textId="77777777" w:rsidR="0098703A" w:rsidRPr="00A76E7B" w:rsidRDefault="0098703A" w:rsidP="0098703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5D9DF0DB" w14:textId="183F56EC" w:rsidR="0098703A" w:rsidRPr="006E49A7" w:rsidRDefault="0098703A" w:rsidP="0098703A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0F2DE178" w14:textId="77777777" w:rsidR="0098703A" w:rsidRDefault="0098703A" w:rsidP="0098703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0A1F52D9" w14:textId="77777777" w:rsidTr="00676C6D">
        <w:trPr>
          <w:cantSplit/>
          <w:trHeight w:val="163"/>
        </w:trPr>
        <w:tc>
          <w:tcPr>
            <w:tcW w:w="469" w:type="dxa"/>
            <w:vMerge w:val="restart"/>
          </w:tcPr>
          <w:p w14:paraId="4FD9CC40" w14:textId="3B4F2F9F" w:rsidR="00FF75AF" w:rsidRPr="002B1446" w:rsidRDefault="00A713F4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6C7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D6C77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6D6C7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6D6C7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717D8B4A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78558021" w14:textId="3D5BC345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13453">
              <w:rPr>
                <w:rFonts w:ascii="Arial" w:hAnsi="Arial" w:cs="Arial"/>
                <w:sz w:val="17"/>
                <w:szCs w:val="17"/>
              </w:rPr>
              <w:t>The processor include</w:t>
            </w:r>
            <w:r w:rsidR="001A7EFA">
              <w:rPr>
                <w:rFonts w:ascii="Arial" w:hAnsi="Arial" w:cs="Arial"/>
                <w:sz w:val="17"/>
                <w:szCs w:val="17"/>
              </w:rPr>
              <w:t>s</w:t>
            </w:r>
            <w:r w:rsidRPr="00F13453">
              <w:rPr>
                <w:rFonts w:ascii="Arial" w:hAnsi="Arial" w:cs="Arial"/>
                <w:sz w:val="17"/>
                <w:szCs w:val="17"/>
              </w:rPr>
              <w:t xml:space="preserve"> physical interfaces for connection of sensors, system inputs, and outputs.</w:t>
            </w:r>
          </w:p>
        </w:tc>
        <w:tc>
          <w:tcPr>
            <w:tcW w:w="1266" w:type="dxa"/>
            <w:vMerge w:val="restart"/>
          </w:tcPr>
          <w:p w14:paraId="032161B6" w14:textId="2BCB59A5" w:rsidR="00FF75AF" w:rsidRPr="00626721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76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A76E7B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A76E7B">
              <w:rPr>
                <w:rFonts w:ascii="Arial" w:hAnsi="Arial" w:cs="Arial"/>
                <w:sz w:val="17"/>
                <w:szCs w:val="17"/>
              </w:rPr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A76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32AE3000" w14:textId="7E7DC1D2" w:rsidR="00FF75AF" w:rsidRPr="006E49A7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5F744246" w14:textId="1F3A846F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FF75AF" w:rsidRPr="00722593" w14:paraId="26CE6DCD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4456F455" w14:textId="77777777" w:rsidR="00FF75AF" w:rsidRPr="002B1446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56E84CC6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28D6375A" w14:textId="77777777" w:rsidR="00FF75AF" w:rsidRPr="00F1345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3D162EFE" w14:textId="77777777" w:rsidR="00FF75AF" w:rsidRPr="00A76E7B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1715A210" w14:textId="3199CFF8" w:rsidR="00FF75AF" w:rsidRPr="006E49A7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33F706D8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7460C388" w14:textId="77777777" w:rsidTr="00676C6D">
        <w:trPr>
          <w:cantSplit/>
          <w:trHeight w:val="288"/>
        </w:trPr>
        <w:tc>
          <w:tcPr>
            <w:tcW w:w="469" w:type="dxa"/>
          </w:tcPr>
          <w:p w14:paraId="614647A8" w14:textId="00C18899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144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B1446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2B144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2B144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</w:tcPr>
          <w:p w14:paraId="6037E700" w14:textId="7E074024" w:rsidR="00FF75AF" w:rsidRPr="00722593" w:rsidRDefault="003D3173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995-2.8.4</w:t>
            </w:r>
          </w:p>
        </w:tc>
        <w:tc>
          <w:tcPr>
            <w:tcW w:w="5127" w:type="dxa"/>
          </w:tcPr>
          <w:p w14:paraId="5BA5C536" w14:textId="6961DAE8" w:rsidR="00FF75AF" w:rsidRPr="00722593" w:rsidRDefault="00A713F4" w:rsidP="00A713F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A713F4">
              <w:rPr>
                <w:rFonts w:ascii="Arial" w:hAnsi="Arial" w:cs="Arial"/>
                <w:sz w:val="17"/>
                <w:szCs w:val="17"/>
              </w:rPr>
              <w:t>All major system components include an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713F4">
              <w:rPr>
                <w:rFonts w:ascii="Arial" w:hAnsi="Arial" w:cs="Arial"/>
                <w:sz w:val="17"/>
                <w:szCs w:val="17"/>
              </w:rPr>
              <w:t>Ethernet communications interface that provides a 10/100 Base TX connection.</w:t>
            </w:r>
          </w:p>
        </w:tc>
        <w:tc>
          <w:tcPr>
            <w:tcW w:w="1266" w:type="dxa"/>
          </w:tcPr>
          <w:p w14:paraId="018B9D23" w14:textId="1A5F5D14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672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2672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26721">
              <w:rPr>
                <w:rFonts w:ascii="Arial" w:hAnsi="Arial" w:cs="Arial"/>
                <w:sz w:val="17"/>
                <w:szCs w:val="17"/>
              </w:rPr>
            </w:r>
            <w:r w:rsidRPr="0062672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2672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6417E622" w14:textId="471BE88E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</w:tcPr>
          <w:p w14:paraId="03E49CD1" w14:textId="5BE4D47B" w:rsidR="00FF75AF" w:rsidRPr="001A6150" w:rsidRDefault="00FF75AF" w:rsidP="00C31E9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 and</w:t>
            </w:r>
            <w:r w:rsidR="00C31E9A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F75AF" w:rsidRPr="00722593" w14:paraId="63EEFB3F" w14:textId="77777777" w:rsidTr="00676C6D">
        <w:trPr>
          <w:cantSplit/>
          <w:trHeight w:val="102"/>
        </w:trPr>
        <w:tc>
          <w:tcPr>
            <w:tcW w:w="469" w:type="dxa"/>
            <w:vMerge w:val="restart"/>
          </w:tcPr>
          <w:p w14:paraId="3F3A2ECB" w14:textId="2F2619F2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B1446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2B1446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2B144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2B144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3621FB49" w14:textId="7098A46A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50B1FBAE" w14:textId="77777777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3B25AC">
              <w:rPr>
                <w:rFonts w:ascii="Arial" w:hAnsi="Arial" w:cs="Arial"/>
                <w:sz w:val="17"/>
                <w:szCs w:val="17"/>
              </w:rPr>
              <w:t>ll unshielded twisted pair/shielded twisted pair network cables and connectors comply with TIA 568.</w:t>
            </w:r>
          </w:p>
        </w:tc>
        <w:tc>
          <w:tcPr>
            <w:tcW w:w="1266" w:type="dxa"/>
            <w:vMerge w:val="restart"/>
          </w:tcPr>
          <w:p w14:paraId="57112C15" w14:textId="578299DD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6721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26721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26721">
              <w:rPr>
                <w:rFonts w:ascii="Arial" w:hAnsi="Arial" w:cs="Arial"/>
                <w:sz w:val="17"/>
                <w:szCs w:val="17"/>
              </w:rPr>
            </w:r>
            <w:r w:rsidRPr="0062672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26721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48D514B8" w14:textId="77777777" w:rsidR="00FF75AF" w:rsidRPr="006E49A7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3188B0AF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F75AF" w:rsidRPr="00722593" w14:paraId="0B38DAB0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62297946" w14:textId="77777777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6C1E6704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6562F691" w14:textId="77777777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209A0B18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50A85935" w14:textId="55707112" w:rsidR="00FF75AF" w:rsidRPr="006E49A7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657316A6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36B82285" w14:textId="77777777" w:rsidTr="00676C6D">
        <w:trPr>
          <w:cantSplit/>
          <w:trHeight w:val="20"/>
        </w:trPr>
        <w:tc>
          <w:tcPr>
            <w:tcW w:w="14695" w:type="dxa"/>
            <w:gridSpan w:val="6"/>
            <w:shd w:val="clear" w:color="auto" w:fill="FFFF99"/>
          </w:tcPr>
          <w:p w14:paraId="1F2A597F" w14:textId="28BE25CD" w:rsidR="00FF75AF" w:rsidRDefault="00FF75AF" w:rsidP="00FF75AF">
            <w:bookmarkStart w:id="8" w:name="_Hlk147934219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LVDS with wireless communication.</w:t>
            </w:r>
          </w:p>
        </w:tc>
      </w:tr>
      <w:bookmarkEnd w:id="8"/>
      <w:tr w:rsidR="00FF75AF" w:rsidRPr="00722593" w14:paraId="2B4C6DE8" w14:textId="77777777" w:rsidTr="00676C6D">
        <w:trPr>
          <w:cantSplit/>
          <w:trHeight w:val="195"/>
        </w:trPr>
        <w:tc>
          <w:tcPr>
            <w:tcW w:w="469" w:type="dxa"/>
            <w:vMerge w:val="restart"/>
          </w:tcPr>
          <w:p w14:paraId="511129CC" w14:textId="12EE94E1" w:rsidR="00FF75AF" w:rsidRPr="00722593" w:rsidRDefault="00FF75AF" w:rsidP="000B355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1A7D5D04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56661720" w14:textId="671BB4F0" w:rsidR="00FF75AF" w:rsidRPr="008B4A8E" w:rsidRDefault="00FF75AF" w:rsidP="00FF75A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>ireless communications are secure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and FCC certified. The FCC identification number is displayed on an external label and all LVDS devices operate within the FCC frequency allocation.</w:t>
            </w:r>
          </w:p>
        </w:tc>
        <w:tc>
          <w:tcPr>
            <w:tcW w:w="1266" w:type="dxa"/>
            <w:vMerge w:val="restart"/>
          </w:tcPr>
          <w:p w14:paraId="25921B11" w14:textId="74E5C088" w:rsidR="00FF75AF" w:rsidRPr="00722593" w:rsidRDefault="00FF75AF" w:rsidP="002674C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712518FD" w14:textId="431193C2" w:rsidR="00FF75AF" w:rsidRPr="00A663F4" w:rsidRDefault="00121728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373C9C7E" w14:textId="23D76382" w:rsidR="00FF75AF" w:rsidRPr="001A6150" w:rsidRDefault="00FF75AF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FF75AF" w:rsidRPr="00722593" w14:paraId="0FD2DDD4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2E2138D8" w14:textId="77777777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4B8E8EF5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  <w:tcBorders>
              <w:bottom w:val="single" w:sz="4" w:space="0" w:color="auto"/>
            </w:tcBorders>
          </w:tcPr>
          <w:p w14:paraId="370F3AB3" w14:textId="77777777" w:rsidR="00FF75AF" w:rsidRDefault="00FF75AF" w:rsidP="00FF75A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5E4BBBDE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1A73217F" w14:textId="07B0551E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DD8C38D" w14:textId="77777777" w:rsidR="00FF75AF" w:rsidRDefault="00FF75AF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12903C46" w14:textId="77777777" w:rsidTr="00676C6D">
        <w:trPr>
          <w:cantSplit/>
          <w:trHeight w:val="161"/>
        </w:trPr>
        <w:tc>
          <w:tcPr>
            <w:tcW w:w="14695" w:type="dxa"/>
            <w:gridSpan w:val="6"/>
            <w:shd w:val="clear" w:color="auto" w:fill="FFFF99"/>
          </w:tcPr>
          <w:p w14:paraId="2794CD2F" w14:textId="628AB6D7" w:rsidR="00FF75AF" w:rsidRDefault="00FF75AF" w:rsidP="00FF75AF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LVDS with cellular communication.</w:t>
            </w:r>
          </w:p>
        </w:tc>
      </w:tr>
      <w:tr w:rsidR="00FF75AF" w:rsidRPr="00722593" w14:paraId="3544CD21" w14:textId="77777777" w:rsidTr="00676C6D">
        <w:trPr>
          <w:cantSplit/>
          <w:trHeight w:val="265"/>
        </w:trPr>
        <w:tc>
          <w:tcPr>
            <w:tcW w:w="469" w:type="dxa"/>
            <w:vMerge w:val="restart"/>
          </w:tcPr>
          <w:p w14:paraId="426505BF" w14:textId="4BD47DDE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F23B7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4F23B7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4F23B7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4F23B7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389A52B2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13633622" w14:textId="77777777" w:rsidR="00FF75AF" w:rsidRPr="008B4A8E" w:rsidRDefault="00FF75AF" w:rsidP="00FF75A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Cellular communication</w:t>
            </w:r>
            <w:r w:rsidRPr="003B25AC">
              <w:rPr>
                <w:rFonts w:ascii="Arial" w:hAnsi="Arial" w:cs="Arial"/>
                <w:color w:val="000000"/>
                <w:sz w:val="17"/>
                <w:szCs w:val="17"/>
              </w:rPr>
              <w:t xml:space="preserve"> devices are compatible with the cellular carrier used by the agency responsible for system operation and maintenance.</w:t>
            </w:r>
          </w:p>
        </w:tc>
        <w:tc>
          <w:tcPr>
            <w:tcW w:w="1266" w:type="dxa"/>
            <w:vMerge w:val="restart"/>
          </w:tcPr>
          <w:p w14:paraId="6020640E" w14:textId="2D180A28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55AB65A5" w14:textId="77777777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describes any cellular devices that are part of the system and indicates carrier(s) supported.</w:t>
            </w:r>
          </w:p>
        </w:tc>
        <w:tc>
          <w:tcPr>
            <w:tcW w:w="1986" w:type="dxa"/>
            <w:vMerge w:val="restart"/>
          </w:tcPr>
          <w:p w14:paraId="2B674EBF" w14:textId="77777777" w:rsidR="00FF75AF" w:rsidRPr="001A6150" w:rsidRDefault="00FF75AF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85E2B" w:rsidRPr="00722593" w14:paraId="25D12952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2B7E395D" w14:textId="77777777" w:rsidR="00185E2B" w:rsidRPr="00385CA9" w:rsidRDefault="00185E2B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246B7E7A" w14:textId="77777777" w:rsidR="00185E2B" w:rsidRPr="00722593" w:rsidRDefault="00185E2B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4ADFD20E" w14:textId="77777777" w:rsidR="00185E2B" w:rsidRDefault="00185E2B" w:rsidP="00FF75A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078A44B9" w14:textId="77777777" w:rsidR="00185E2B" w:rsidRDefault="00185E2B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5E7B1451" w14:textId="7E8846B3" w:rsidR="00185E2B" w:rsidRDefault="00185E2B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32C76096" w14:textId="77777777" w:rsidR="00185E2B" w:rsidRDefault="00185E2B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696935BB" w14:textId="77777777" w:rsidTr="00676C6D">
        <w:trPr>
          <w:cantSplit/>
          <w:trHeight w:val="163"/>
        </w:trPr>
        <w:tc>
          <w:tcPr>
            <w:tcW w:w="14695" w:type="dxa"/>
            <w:gridSpan w:val="6"/>
            <w:shd w:val="clear" w:color="auto" w:fill="FFFF99"/>
          </w:tcPr>
          <w:p w14:paraId="24F1C041" w14:textId="52B78D6B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LVDS to be used as presence detectors.</w:t>
            </w:r>
          </w:p>
        </w:tc>
      </w:tr>
      <w:tr w:rsidR="00FF75AF" w:rsidRPr="00722593" w14:paraId="5E032E99" w14:textId="77777777" w:rsidTr="00676C6D">
        <w:trPr>
          <w:cantSplit/>
          <w:trHeight w:val="163"/>
        </w:trPr>
        <w:tc>
          <w:tcPr>
            <w:tcW w:w="469" w:type="dxa"/>
            <w:vMerge w:val="restart"/>
          </w:tcPr>
          <w:p w14:paraId="043F4903" w14:textId="0087B72E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05D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105DB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7105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7105D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0AE0B828" w14:textId="334E592B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</w:t>
            </w:r>
            <w:r w:rsidR="007E1F51">
              <w:rPr>
                <w:rFonts w:ascii="Arial" w:hAnsi="Arial" w:cs="Arial"/>
                <w:sz w:val="17"/>
                <w:szCs w:val="17"/>
              </w:rPr>
              <w:t>8.5</w:t>
            </w:r>
          </w:p>
        </w:tc>
        <w:tc>
          <w:tcPr>
            <w:tcW w:w="5127" w:type="dxa"/>
            <w:vMerge w:val="restart"/>
          </w:tcPr>
          <w:p w14:paraId="6A05959E" w14:textId="5A2D75A9" w:rsidR="00FF75AF" w:rsidRPr="00722593" w:rsidRDefault="00DD1775" w:rsidP="00FF75A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Solid state d</w:t>
            </w:r>
            <w:r w:rsidR="00FF75AF">
              <w:rPr>
                <w:rFonts w:ascii="Arial" w:hAnsi="Arial" w:cs="Arial"/>
                <w:sz w:val="17"/>
                <w:szCs w:val="17"/>
              </w:rPr>
              <w:t>etection o</w:t>
            </w:r>
            <w:r w:rsidR="00FF75AF" w:rsidRPr="00705E24">
              <w:rPr>
                <w:rFonts w:ascii="Arial" w:hAnsi="Arial" w:cs="Arial"/>
                <w:sz w:val="17"/>
                <w:szCs w:val="17"/>
              </w:rPr>
              <w:t>utput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="00FF75AF" w:rsidRPr="00705E24">
              <w:rPr>
                <w:rFonts w:ascii="Arial" w:hAnsi="Arial" w:cs="Arial"/>
                <w:sz w:val="17"/>
                <w:szCs w:val="17"/>
              </w:rPr>
              <w:t xml:space="preserve"> meet the requirements of NEMA TS2</w:t>
            </w:r>
            <w:r w:rsidR="00480DF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6" w:type="dxa"/>
            <w:vMerge w:val="restart"/>
          </w:tcPr>
          <w:p w14:paraId="7349CC5A" w14:textId="69BA87F6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71317F7F" w14:textId="77777777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12F50D12" w14:textId="77777777" w:rsidR="00FF75AF" w:rsidRPr="001A6150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FF75AF" w:rsidRPr="00722593" w14:paraId="298074BE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3B1F933A" w14:textId="77777777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455FE446" w14:textId="77777777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0AC520DB" w14:textId="77777777" w:rsidR="00FF75AF" w:rsidRDefault="00FF75AF" w:rsidP="00FF75A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478A39B7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1CD4F840" w14:textId="4BE69770" w:rsidR="00FF75AF" w:rsidRPr="006E49A7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31446FC4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0ED0FC85" w14:textId="77777777" w:rsidTr="00676C6D">
        <w:trPr>
          <w:cantSplit/>
          <w:trHeight w:val="163"/>
        </w:trPr>
        <w:tc>
          <w:tcPr>
            <w:tcW w:w="14695" w:type="dxa"/>
            <w:gridSpan w:val="6"/>
            <w:shd w:val="clear" w:color="auto" w:fill="FFFF99"/>
          </w:tcPr>
          <w:p w14:paraId="400B5BE3" w14:textId="682392DF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bookmarkStart w:id="9" w:name="_Hlk146199318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LVDS.</w:t>
            </w:r>
          </w:p>
        </w:tc>
      </w:tr>
      <w:bookmarkEnd w:id="9"/>
      <w:tr w:rsidR="00FF75AF" w:rsidRPr="00722593" w14:paraId="29410472" w14:textId="77777777" w:rsidTr="00676C6D">
        <w:trPr>
          <w:cantSplit/>
          <w:trHeight w:val="288"/>
        </w:trPr>
        <w:tc>
          <w:tcPr>
            <w:tcW w:w="469" w:type="dxa"/>
          </w:tcPr>
          <w:p w14:paraId="027420C2" w14:textId="00C7BA77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05D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105DB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7105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7105D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</w:tcPr>
          <w:p w14:paraId="3C196CEC" w14:textId="607580ED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</w:t>
            </w:r>
            <w:r w:rsidR="007E1F51">
              <w:rPr>
                <w:rFonts w:ascii="Arial" w:hAnsi="Arial" w:cs="Arial"/>
                <w:sz w:val="17"/>
                <w:szCs w:val="17"/>
              </w:rPr>
              <w:t>8.6</w:t>
            </w:r>
          </w:p>
        </w:tc>
        <w:tc>
          <w:tcPr>
            <w:tcW w:w="5127" w:type="dxa"/>
          </w:tcPr>
          <w:p w14:paraId="3674674A" w14:textId="48ACFC31" w:rsidR="00FF75AF" w:rsidRPr="00722593" w:rsidRDefault="00FF75AF" w:rsidP="00FF75A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LVDS</w:t>
            </w:r>
            <w:r w:rsidRPr="00705E24">
              <w:rPr>
                <w:rFonts w:ascii="Arial" w:hAnsi="Arial" w:cs="Arial"/>
                <w:sz w:val="17"/>
                <w:szCs w:val="17"/>
              </w:rPr>
              <w:t xml:space="preserve"> operate</w:t>
            </w:r>
            <w:r w:rsidR="001C6DCD">
              <w:rPr>
                <w:rFonts w:ascii="Arial" w:hAnsi="Arial" w:cs="Arial"/>
                <w:sz w:val="17"/>
                <w:szCs w:val="17"/>
              </w:rPr>
              <w:t>s</w:t>
            </w:r>
            <w:r w:rsidRPr="00705E24">
              <w:rPr>
                <w:rFonts w:ascii="Arial" w:hAnsi="Arial" w:cs="Arial"/>
                <w:sz w:val="17"/>
                <w:szCs w:val="17"/>
              </w:rPr>
              <w:t xml:space="preserve"> with a nominal input voltage of 12</w:t>
            </w:r>
            <w:r w:rsidR="0069705F">
              <w:rPr>
                <w:rFonts w:ascii="Arial" w:hAnsi="Arial" w:cs="Arial"/>
                <w:sz w:val="17"/>
                <w:szCs w:val="17"/>
              </w:rPr>
              <w:t>0</w:t>
            </w:r>
            <w:r w:rsidRPr="00705E24">
              <w:rPr>
                <w:rFonts w:ascii="Arial" w:hAnsi="Arial" w:cs="Arial"/>
                <w:sz w:val="17"/>
                <w:szCs w:val="17"/>
              </w:rPr>
              <w:t xml:space="preserve"> V</w:t>
            </w:r>
            <w:r w:rsidR="0069705F">
              <w:rPr>
                <w:rFonts w:ascii="Arial" w:hAnsi="Arial" w:cs="Arial"/>
                <w:sz w:val="17"/>
                <w:szCs w:val="17"/>
                <w:vertAlign w:val="subscript"/>
              </w:rPr>
              <w:t>AC</w:t>
            </w:r>
            <w:r>
              <w:rPr>
                <w:rFonts w:ascii="Arial" w:hAnsi="Arial" w:cs="Arial"/>
                <w:sz w:val="17"/>
                <w:szCs w:val="17"/>
              </w:rPr>
              <w:t xml:space="preserve"> and with an input voltage ranging from 89 to 135 </w:t>
            </w:r>
            <w:r w:rsidRPr="00705E24">
              <w:rPr>
                <w:rFonts w:ascii="Arial" w:hAnsi="Arial" w:cs="Arial"/>
                <w:color w:val="000000"/>
                <w:sz w:val="17"/>
                <w:szCs w:val="17"/>
              </w:rPr>
              <w:t>V</w:t>
            </w:r>
            <w:r w:rsidRPr="00705E24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705E2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6" w:type="dxa"/>
          </w:tcPr>
          <w:p w14:paraId="2AAB4C4A" w14:textId="09F3CA4D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79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679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67948">
              <w:rPr>
                <w:rFonts w:ascii="Arial" w:hAnsi="Arial" w:cs="Arial"/>
                <w:sz w:val="17"/>
                <w:szCs w:val="17"/>
              </w:rPr>
            </w:r>
            <w:r w:rsidRPr="00F679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679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089A7486" w14:textId="4B323DDF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</w:tcPr>
          <w:p w14:paraId="2874F0A7" w14:textId="6C1568C5" w:rsidR="00FF75AF" w:rsidRPr="001A6150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F75AF" w:rsidRPr="00722593" w14:paraId="2E82E574" w14:textId="77777777" w:rsidTr="00676C6D">
        <w:trPr>
          <w:cantSplit/>
          <w:trHeight w:val="122"/>
        </w:trPr>
        <w:tc>
          <w:tcPr>
            <w:tcW w:w="469" w:type="dxa"/>
            <w:vMerge w:val="restart"/>
          </w:tcPr>
          <w:p w14:paraId="3E5451B8" w14:textId="56419007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05D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7105DB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7105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7105D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43CFE48C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197FAD7F" w14:textId="146AED96" w:rsidR="00FF75AF" w:rsidRPr="001546A3" w:rsidRDefault="00FF75AF" w:rsidP="00FF75A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05E24">
              <w:rPr>
                <w:rFonts w:ascii="Arial" w:hAnsi="Arial" w:cs="Arial"/>
                <w:color w:val="000000"/>
                <w:sz w:val="17"/>
                <w:szCs w:val="17"/>
              </w:rPr>
              <w:t>If any system 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vice requires </w:t>
            </w:r>
            <w:r w:rsidR="00746CD5">
              <w:rPr>
                <w:rFonts w:ascii="Arial" w:hAnsi="Arial" w:cs="Arial"/>
                <w:color w:val="000000"/>
                <w:sz w:val="17"/>
                <w:szCs w:val="17"/>
              </w:rPr>
              <w:t xml:space="preserve">an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operating voltage</w:t>
            </w:r>
            <w:r w:rsidRPr="00705E24">
              <w:rPr>
                <w:rFonts w:ascii="Arial" w:hAnsi="Arial" w:cs="Arial"/>
                <w:color w:val="000000"/>
                <w:sz w:val="17"/>
                <w:szCs w:val="17"/>
              </w:rPr>
              <w:t xml:space="preserve"> other than 120 V</w:t>
            </w:r>
            <w:r w:rsidRPr="00705E24">
              <w:rPr>
                <w:rFonts w:ascii="Arial" w:hAnsi="Arial" w:cs="Arial"/>
                <w:color w:val="000000"/>
                <w:sz w:val="17"/>
                <w:szCs w:val="17"/>
                <w:vertAlign w:val="subscript"/>
              </w:rPr>
              <w:t>AC</w:t>
            </w:r>
            <w:r w:rsidRPr="00705E24">
              <w:rPr>
                <w:rFonts w:ascii="Arial" w:hAnsi="Arial" w:cs="Arial"/>
                <w:color w:val="000000"/>
                <w:sz w:val="17"/>
                <w:szCs w:val="17"/>
              </w:rPr>
              <w:t>, a voltage converter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is supplied</w:t>
            </w:r>
            <w:r w:rsidRPr="00705E24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6" w:type="dxa"/>
            <w:vMerge w:val="restart"/>
          </w:tcPr>
          <w:p w14:paraId="522FA46C" w14:textId="68A49F12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794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F6794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F67948">
              <w:rPr>
                <w:rFonts w:ascii="Arial" w:hAnsi="Arial" w:cs="Arial"/>
                <w:sz w:val="17"/>
                <w:szCs w:val="17"/>
              </w:rPr>
            </w:r>
            <w:r w:rsidRPr="00F6794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6794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08C3A16C" w14:textId="77777777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Environmental test reports must demonstrate that voltage converters required for 120V</w:t>
            </w:r>
            <w:r w:rsidRPr="00610C7C">
              <w:rPr>
                <w:rFonts w:ascii="Arial" w:hAnsi="Arial" w:cs="Arial"/>
                <w:sz w:val="17"/>
                <w:szCs w:val="17"/>
                <w:vertAlign w:val="subscript"/>
              </w:rPr>
              <w:t>AC</w:t>
            </w:r>
            <w:r>
              <w:rPr>
                <w:rFonts w:ascii="Arial" w:hAnsi="Arial" w:cs="Arial"/>
                <w:sz w:val="17"/>
                <w:szCs w:val="17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operation were subjected to NEMA TS2 environmental testing as part of the functional system.</w:t>
            </w:r>
          </w:p>
        </w:tc>
        <w:tc>
          <w:tcPr>
            <w:tcW w:w="1986" w:type="dxa"/>
            <w:vMerge w:val="restart"/>
          </w:tcPr>
          <w:p w14:paraId="54146C13" w14:textId="61D4E35C" w:rsidR="00FF75AF" w:rsidRPr="001A6150" w:rsidRDefault="00FF75AF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FF75AF" w:rsidRPr="00722593" w14:paraId="0DAFCA2D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6EA950BB" w14:textId="77777777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708AFB9C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1EE37C3F" w14:textId="77777777" w:rsidR="00FF75AF" w:rsidRPr="00705E24" w:rsidRDefault="00FF75AF" w:rsidP="00FF75A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18223802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73CB6443" w14:textId="14F5563F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5CD25FBD" w14:textId="77777777" w:rsidR="00FF75AF" w:rsidRPr="001A6150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4F3E86E6" w14:textId="77777777" w:rsidTr="00676C6D">
        <w:trPr>
          <w:cantSplit/>
          <w:trHeight w:val="20"/>
        </w:trPr>
        <w:tc>
          <w:tcPr>
            <w:tcW w:w="14695" w:type="dxa"/>
            <w:gridSpan w:val="6"/>
            <w:shd w:val="clear" w:color="auto" w:fill="FFFF99"/>
          </w:tcPr>
          <w:p w14:paraId="45FB281C" w14:textId="52A71CF5" w:rsidR="00FF75AF" w:rsidRDefault="00FF75AF" w:rsidP="00FF75AF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LVDS to be used as presence detectors.</w:t>
            </w:r>
          </w:p>
        </w:tc>
      </w:tr>
      <w:tr w:rsidR="00FF75AF" w:rsidRPr="00722593" w14:paraId="5688091C" w14:textId="77777777" w:rsidTr="00676C6D">
        <w:trPr>
          <w:cantSplit/>
          <w:trHeight w:val="183"/>
        </w:trPr>
        <w:tc>
          <w:tcPr>
            <w:tcW w:w="469" w:type="dxa"/>
            <w:vMerge w:val="restart"/>
          </w:tcPr>
          <w:p w14:paraId="2CC9FF65" w14:textId="111763BD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948F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948F0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C948F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C948F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5C57975D" w14:textId="70E3873E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</w:t>
            </w:r>
            <w:r w:rsidR="00C216B4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5127" w:type="dxa"/>
            <w:vMerge w:val="restart"/>
          </w:tcPr>
          <w:p w14:paraId="2756A42D" w14:textId="1DAA749D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Detector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provide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a minimum detection accuracy of 98%</w:t>
            </w:r>
            <w:r w:rsidR="001D4CAC">
              <w:rPr>
                <w:rFonts w:ascii="Arial" w:hAnsi="Arial" w:cs="Arial"/>
                <w:sz w:val="17"/>
                <w:szCs w:val="17"/>
              </w:rPr>
              <w:t xml:space="preserve"> when calculated in accordance with all criteria as detailed in 995-2.9 and all subsections therein.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266" w:type="dxa"/>
            <w:vMerge w:val="restart"/>
          </w:tcPr>
          <w:p w14:paraId="41E52093" w14:textId="6D0E73B8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0E1F7329" w14:textId="77777777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67919182" w14:textId="77777777" w:rsidR="00FF75AF" w:rsidRPr="001A6150" w:rsidRDefault="00FF75AF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FF75AF" w:rsidRPr="00722593" w14:paraId="2B438077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3BD24BB1" w14:textId="77777777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0DAE9AF2" w14:textId="77777777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7E7B00FD" w14:textId="77777777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4FE1EA43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28E4EC06" w14:textId="0FF097A9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713F7A4B" w14:textId="77777777" w:rsidR="00FF75AF" w:rsidRPr="001A6150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F75AF" w:rsidRPr="00722593" w14:paraId="3B151660" w14:textId="77777777" w:rsidTr="00676C6D">
        <w:trPr>
          <w:cantSplit/>
          <w:trHeight w:val="122"/>
        </w:trPr>
        <w:tc>
          <w:tcPr>
            <w:tcW w:w="469" w:type="dxa"/>
            <w:vMerge w:val="restart"/>
          </w:tcPr>
          <w:p w14:paraId="57A41A63" w14:textId="1EFD1A9C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948F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948F0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C948F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C948F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4D953AE8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7101A22E" w14:textId="7C7ADDBE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Detector</w:t>
            </w:r>
            <w:r w:rsidRPr="00230118">
              <w:rPr>
                <w:rFonts w:ascii="Arial" w:hAnsi="Arial" w:cs="Arial"/>
                <w:sz w:val="17"/>
                <w:szCs w:val="17"/>
              </w:rPr>
              <w:t xml:space="preserve"> meet</w:t>
            </w:r>
            <w:r>
              <w:rPr>
                <w:rFonts w:ascii="Arial" w:hAnsi="Arial" w:cs="Arial"/>
                <w:sz w:val="17"/>
                <w:szCs w:val="17"/>
              </w:rPr>
              <w:t xml:space="preserve">s the </w:t>
            </w:r>
            <w:r w:rsidRPr="00230118">
              <w:rPr>
                <w:rFonts w:ascii="Arial" w:hAnsi="Arial" w:cs="Arial"/>
                <w:sz w:val="17"/>
                <w:szCs w:val="17"/>
              </w:rPr>
              <w:t>requirements for modes of operation in NEMA TS2</w:t>
            </w:r>
            <w:r w:rsidR="00654292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6" w:type="dxa"/>
            <w:vMerge w:val="restart"/>
          </w:tcPr>
          <w:p w14:paraId="66B7BEFC" w14:textId="5E7A5DDE" w:rsidR="00FF75AF" w:rsidRPr="00722593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3226C88D" w14:textId="77777777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14E89E7E" w14:textId="77777777" w:rsidR="00FF75AF" w:rsidRPr="001A6150" w:rsidRDefault="00FF75AF" w:rsidP="00FF75A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F75AF" w:rsidRPr="00722593" w14:paraId="305C0FD2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3308291B" w14:textId="77777777" w:rsidR="00FF75AF" w:rsidRPr="00385CA9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5B1DCE8B" w14:textId="77777777" w:rsidR="00FF75AF" w:rsidRPr="00722593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21898D41" w14:textId="77777777" w:rsidR="00FF75AF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34FCB986" w14:textId="77777777" w:rsidR="00FF75AF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5E662B62" w14:textId="2E3348C6" w:rsidR="00FF75AF" w:rsidRPr="00A663F4" w:rsidRDefault="00FF75AF" w:rsidP="00FF75A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="00ED7877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109B496A" w14:textId="77777777" w:rsidR="00FF75AF" w:rsidRPr="001A6150" w:rsidRDefault="00FF75AF" w:rsidP="00FF75A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413E" w:rsidRPr="00722593" w14:paraId="414CDA7E" w14:textId="77777777" w:rsidTr="00A70BBD">
        <w:trPr>
          <w:cantSplit/>
          <w:trHeight w:val="20"/>
        </w:trPr>
        <w:tc>
          <w:tcPr>
            <w:tcW w:w="14695" w:type="dxa"/>
            <w:gridSpan w:val="6"/>
            <w:shd w:val="clear" w:color="auto" w:fill="FFFF99"/>
          </w:tcPr>
          <w:p w14:paraId="084B06B4" w14:textId="3A57317C" w:rsidR="00C9413E" w:rsidRPr="001A6150" w:rsidRDefault="00C9413E" w:rsidP="00A70BB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LVDS to be used </w:t>
            </w:r>
            <w:r w:rsidR="00AA5128">
              <w:rPr>
                <w:rFonts w:ascii="Arial" w:hAnsi="Arial" w:cs="Arial"/>
                <w:sz w:val="17"/>
                <w:szCs w:val="17"/>
              </w:rPr>
              <w:t>as</w:t>
            </w:r>
            <w:r>
              <w:rPr>
                <w:rFonts w:ascii="Arial" w:hAnsi="Arial" w:cs="Arial"/>
                <w:sz w:val="17"/>
                <w:szCs w:val="17"/>
              </w:rPr>
              <w:t xml:space="preserve"> advance </w:t>
            </w:r>
            <w:r w:rsidR="00AA5128">
              <w:rPr>
                <w:rFonts w:ascii="Arial" w:hAnsi="Arial" w:cs="Arial"/>
                <w:sz w:val="17"/>
                <w:szCs w:val="17"/>
              </w:rPr>
              <w:t>pres</w:t>
            </w:r>
            <w:r w:rsidR="0078056F">
              <w:rPr>
                <w:rFonts w:ascii="Arial" w:hAnsi="Arial" w:cs="Arial"/>
                <w:sz w:val="17"/>
                <w:szCs w:val="17"/>
              </w:rPr>
              <w:t xml:space="preserve">ence </w:t>
            </w:r>
            <w:r>
              <w:rPr>
                <w:rFonts w:ascii="Arial" w:hAnsi="Arial" w:cs="Arial"/>
                <w:sz w:val="17"/>
                <w:szCs w:val="17"/>
              </w:rPr>
              <w:t>detect</w:t>
            </w:r>
            <w:r w:rsidR="0078056F">
              <w:rPr>
                <w:rFonts w:ascii="Arial" w:hAnsi="Arial" w:cs="Arial"/>
                <w:sz w:val="17"/>
                <w:szCs w:val="17"/>
              </w:rPr>
              <w:t>ors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C9413E" w:rsidRPr="00722593" w14:paraId="31A03009" w14:textId="77777777" w:rsidTr="00676C6D">
        <w:trPr>
          <w:cantSplit/>
          <w:trHeight w:val="288"/>
        </w:trPr>
        <w:tc>
          <w:tcPr>
            <w:tcW w:w="469" w:type="dxa"/>
            <w:vMerge w:val="restart"/>
          </w:tcPr>
          <w:p w14:paraId="7059A619" w14:textId="6B7E158A" w:rsidR="00C9413E" w:rsidRPr="00385CA9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948F0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948F0"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 w:rsidRPr="00C948F0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C948F0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</w:tcPr>
          <w:p w14:paraId="3A45ED97" w14:textId="77777777" w:rsidR="00C9413E" w:rsidRPr="00722593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 w:val="restart"/>
          </w:tcPr>
          <w:p w14:paraId="27B891E6" w14:textId="3C2D7E38" w:rsidR="00C9413E" w:rsidRDefault="007761C1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Advance presence detectors meet detection accuracy requirements when located at variable distances in advance of the stop line, including 300 feet.</w:t>
            </w:r>
          </w:p>
        </w:tc>
        <w:tc>
          <w:tcPr>
            <w:tcW w:w="1266" w:type="dxa"/>
            <w:vMerge w:val="restart"/>
          </w:tcPr>
          <w:p w14:paraId="6EC1E870" w14:textId="1549FD8A" w:rsidR="00C9413E" w:rsidRDefault="0078056F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</w:tcPr>
          <w:p w14:paraId="1FFF0042" w14:textId="5ACE4B9B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</w:tcPr>
          <w:p w14:paraId="14B9A94A" w14:textId="116E2875" w:rsidR="00C9413E" w:rsidRPr="001A6150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C9413E" w:rsidRPr="00722593" w14:paraId="65C8DF45" w14:textId="77777777" w:rsidTr="00676C6D">
        <w:trPr>
          <w:cantSplit/>
          <w:trHeight w:val="288"/>
        </w:trPr>
        <w:tc>
          <w:tcPr>
            <w:tcW w:w="469" w:type="dxa"/>
            <w:vMerge/>
          </w:tcPr>
          <w:p w14:paraId="5B7BC474" w14:textId="77777777" w:rsidR="00C9413E" w:rsidRPr="00385CA9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</w:tcPr>
          <w:p w14:paraId="362C84E3" w14:textId="77777777" w:rsidR="00C9413E" w:rsidRPr="00722593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</w:tcPr>
          <w:p w14:paraId="64F2BDC6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</w:tcPr>
          <w:p w14:paraId="4F672F71" w14:textId="77777777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</w:tcPr>
          <w:p w14:paraId="4493EC13" w14:textId="55EB897B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</w:tcPr>
          <w:p w14:paraId="79D46F90" w14:textId="77777777" w:rsidR="00C9413E" w:rsidRPr="001A6150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413E" w14:paraId="492298FC" w14:textId="77777777" w:rsidTr="00676C6D">
        <w:trPr>
          <w:cantSplit/>
          <w:trHeight w:val="20"/>
        </w:trPr>
        <w:tc>
          <w:tcPr>
            <w:tcW w:w="14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BA2A1B7" w14:textId="4438B9EC" w:rsidR="00C9413E" w:rsidRDefault="00C9413E" w:rsidP="00C9413E">
            <w:r>
              <w:rPr>
                <w:rFonts w:ascii="Arial" w:hAnsi="Arial" w:cs="Arial"/>
                <w:sz w:val="17"/>
                <w:szCs w:val="17"/>
              </w:rPr>
              <w:t>The following compliance matrix criteria are for LVDS to be used as traffic data detectors.</w:t>
            </w:r>
          </w:p>
        </w:tc>
      </w:tr>
      <w:tr w:rsidR="00C9413E" w14:paraId="12078F3C" w14:textId="77777777" w:rsidTr="00676C6D">
        <w:trPr>
          <w:cantSplit/>
          <w:trHeight w:val="36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B88" w14:textId="1B72F5F5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BE08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660-4.2.1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19A3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Vehicle detection meets the minimum total roadway segment accuracy levels of 95% for volume, 90% for occupancy, and 90% for speed for all lanes, up to the maximum number of lanes that </w:t>
            </w:r>
            <w:r>
              <w:rPr>
                <w:rFonts w:ascii="Arial" w:hAnsi="Arial" w:cs="Arial"/>
                <w:sz w:val="17"/>
                <w:szCs w:val="17"/>
              </w:rPr>
              <w:lastRenderedPageBreak/>
              <w:t>the device can monitor as specified by the manufacturer.</w:t>
            </w:r>
            <w:r>
              <w:rPr>
                <w:rStyle w:val="CommentReference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Traffic detection data is calculated in accordance with all criteria as detailed in 995-2.9.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6F28" w14:textId="77777777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55ED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3CD" w14:textId="77777777" w:rsidR="00C9413E" w:rsidRDefault="00C9413E" w:rsidP="00C941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C9413E" w14:paraId="49C47DE5" w14:textId="77777777" w:rsidTr="00676C6D">
        <w:trPr>
          <w:cantSplit/>
          <w:trHeight w:val="364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A984" w14:textId="77777777" w:rsidR="00C9413E" w:rsidRDefault="00C9413E" w:rsidP="00C941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1A0D" w14:textId="77777777" w:rsidR="00C9413E" w:rsidRDefault="00C9413E" w:rsidP="00C941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A2F" w14:textId="77777777" w:rsidR="00C9413E" w:rsidRDefault="00C9413E" w:rsidP="00C941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0F29" w14:textId="77777777" w:rsidR="00C9413E" w:rsidRDefault="00C9413E" w:rsidP="00C9413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79AE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BD43" w14:textId="77777777" w:rsidR="00C9413E" w:rsidRDefault="00C9413E" w:rsidP="00C9413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413E" w14:paraId="563D19D3" w14:textId="77777777" w:rsidTr="00676C6D">
        <w:trPr>
          <w:cantSplit/>
          <w:trHeight w:val="60"/>
        </w:trPr>
        <w:tc>
          <w:tcPr>
            <w:tcW w:w="14695" w:type="dxa"/>
            <w:gridSpan w:val="6"/>
            <w:shd w:val="clear" w:color="auto" w:fill="FFFF99"/>
          </w:tcPr>
          <w:p w14:paraId="46A8D696" w14:textId="04CAA8D9" w:rsidR="00C9413E" w:rsidRDefault="00C9413E" w:rsidP="00C9413E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LVDS.</w:t>
            </w:r>
          </w:p>
        </w:tc>
      </w:tr>
      <w:tr w:rsidR="00C9413E" w14:paraId="1B1B4DE5" w14:textId="77777777" w:rsidTr="00676C6D">
        <w:trPr>
          <w:cantSplit/>
          <w:trHeight w:val="244"/>
        </w:trPr>
        <w:tc>
          <w:tcPr>
            <w:tcW w:w="469" w:type="dxa"/>
            <w:vMerge w:val="restart"/>
          </w:tcPr>
          <w:p w14:paraId="17497F3F" w14:textId="0D618C46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79A34E8D" w14:textId="77777777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 w:val="restart"/>
          </w:tcPr>
          <w:p w14:paraId="0909800C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660-5</w:t>
            </w:r>
          </w:p>
        </w:tc>
        <w:tc>
          <w:tcPr>
            <w:tcW w:w="5127" w:type="dxa"/>
            <w:vMerge w:val="restart"/>
          </w:tcPr>
          <w:p w14:paraId="4C81F38C" w14:textId="16AE605E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he detection system has a manufacturer’s warranty covering defects for a minimum of 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year from the date of final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23C3F">
              <w:rPr>
                <w:rFonts w:ascii="Arial" w:hAnsi="Arial" w:cs="Arial"/>
                <w:sz w:val="17"/>
                <w:szCs w:val="17"/>
              </w:rPr>
              <w:t>cceptance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6" w:type="dxa"/>
            <w:vMerge w:val="restart"/>
          </w:tcPr>
          <w:p w14:paraId="30691BA0" w14:textId="6FC5A9F5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4B5593D4" w14:textId="3AE44FC6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6" w:type="dxa"/>
            <w:vMerge w:val="restart"/>
          </w:tcPr>
          <w:p w14:paraId="2D150987" w14:textId="63D5218B" w:rsidR="00C9413E" w:rsidRDefault="00C9413E" w:rsidP="00C941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413E" w14:paraId="7EAE45DD" w14:textId="77777777" w:rsidTr="00676C6D">
        <w:trPr>
          <w:cantSplit/>
          <w:trHeight w:val="288"/>
        </w:trPr>
        <w:tc>
          <w:tcPr>
            <w:tcW w:w="469" w:type="dxa"/>
            <w:vMerge/>
            <w:tcBorders>
              <w:bottom w:val="single" w:sz="4" w:space="0" w:color="auto"/>
            </w:tcBorders>
          </w:tcPr>
          <w:p w14:paraId="745553CD" w14:textId="77777777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14:paraId="087CDE1B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vMerge/>
            <w:tcBorders>
              <w:bottom w:val="single" w:sz="4" w:space="0" w:color="auto"/>
            </w:tcBorders>
          </w:tcPr>
          <w:p w14:paraId="39616463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14:paraId="6854F4BE" w14:textId="77777777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1E3E0181" w14:textId="51D7E014" w:rsidR="00C9413E" w:rsidDel="0055785B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BCC7B98" w14:textId="77777777" w:rsidR="00C9413E" w:rsidRDefault="00C9413E" w:rsidP="00C941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413E" w14:paraId="35BE0625" w14:textId="77777777" w:rsidTr="00676C6D">
        <w:trPr>
          <w:cantSplit/>
          <w:trHeight w:val="3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978" w14:textId="60E22D18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CM9952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60CBE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AD0" w14:textId="77777777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C92" w14:textId="39927EAB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>he warranty includes providing replacements, within 10 calendar days of notification, for defective parts and equipment during the warranty period at no cost to the Department or the maintaining agency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EA1" w14:textId="1D3BCA61" w:rsidR="00C9413E" w:rsidRDefault="00C9413E" w:rsidP="00C9413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5688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95688A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95688A">
              <w:rPr>
                <w:rFonts w:ascii="Arial" w:hAnsi="Arial" w:cs="Arial"/>
                <w:sz w:val="17"/>
                <w:szCs w:val="17"/>
              </w:rPr>
            </w:r>
            <w:r w:rsidRPr="0095688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5688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E6A" w14:textId="2ADCF4A2" w:rsidR="00C9413E" w:rsidRDefault="00C9413E" w:rsidP="00C9413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FF3" w14:textId="77777777" w:rsidR="00C9413E" w:rsidRDefault="00C9413E" w:rsidP="00C9413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</w:tbl>
    <w:p w14:paraId="55FE7D40" w14:textId="77777777" w:rsidR="00560C33" w:rsidRDefault="00560C33" w:rsidP="00EE17D1">
      <w:pPr>
        <w:tabs>
          <w:tab w:val="left" w:pos="1080"/>
        </w:tabs>
        <w:sectPr w:rsidR="00560C33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F17E8DA" w14:textId="77777777" w:rsidR="00560C33" w:rsidRPr="0091508F" w:rsidRDefault="00560C33" w:rsidP="00560C33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34CBC8C" w14:textId="6E920CEE" w:rsidR="00560C33" w:rsidRPr="002B2984" w:rsidRDefault="00424950" w:rsidP="00560C33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LiDAR</w:t>
      </w:r>
      <w:r w:rsidR="00560C33">
        <w:rPr>
          <w:b/>
          <w:bCs/>
          <w:sz w:val="28"/>
          <w:szCs w:val="28"/>
          <w:lang w:val="en-IN"/>
        </w:rPr>
        <w:t xml:space="preserve"> Vehicle Detection System </w:t>
      </w:r>
      <w:r w:rsidR="00560C33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560C33" w:rsidRPr="00230CFF" w14:paraId="3110E27B" w14:textId="77777777" w:rsidTr="00B93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61EA4064" w14:textId="77777777" w:rsidR="00560C33" w:rsidRPr="00467937" w:rsidRDefault="00560C3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72B52E24" w14:textId="77777777" w:rsidR="00560C33" w:rsidRPr="00467937" w:rsidRDefault="00560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2BB817E9" w14:textId="77777777" w:rsidR="00560C33" w:rsidRPr="00467937" w:rsidRDefault="00560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07A10CC" w14:textId="77777777" w:rsidR="00560C33" w:rsidRPr="00467937" w:rsidRDefault="00560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5E34310" w14:textId="77777777" w:rsidR="00560C33" w:rsidRPr="00467937" w:rsidRDefault="00560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A90BEAA" w14:textId="77777777" w:rsidR="00560C33" w:rsidRPr="00467937" w:rsidRDefault="00560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DEF515C" w14:textId="77777777" w:rsidR="00560C33" w:rsidRPr="00467937" w:rsidRDefault="00560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560C33" w:rsidRPr="00230CFF" w14:paraId="75CF67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6FCD5B07" w14:textId="77777777" w:rsidR="00560C33" w:rsidRPr="00467937" w:rsidRDefault="00560C33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342A0D49" w14:textId="2811A25C" w:rsidR="00560C33" w:rsidRPr="00467937" w:rsidRDefault="00BC7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C</w:t>
            </w:r>
            <w:r w:rsidR="00E342A4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260" w:type="dxa"/>
          </w:tcPr>
          <w:p w14:paraId="4C4C792B" w14:textId="59DEAA4A" w:rsidR="00560C33" w:rsidRPr="00467937" w:rsidRDefault="00BC7A15" w:rsidP="00B93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8E125F7" w14:textId="77777777" w:rsidR="00B23D4C" w:rsidRDefault="00BC7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731E5AFA" w14:textId="40967837" w:rsidR="00BC7A15" w:rsidRPr="00467937" w:rsidRDefault="00BC7A15" w:rsidP="00893F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6E9510D1" w14:textId="2E03E633" w:rsidR="00560C33" w:rsidRPr="00467937" w:rsidRDefault="00BC7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7B3269F" w14:textId="29A7D5B7" w:rsidR="00560C33" w:rsidRPr="00467937" w:rsidRDefault="00590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12/8/2023</w:t>
            </w:r>
          </w:p>
        </w:tc>
        <w:tc>
          <w:tcPr>
            <w:tcW w:w="1170" w:type="dxa"/>
          </w:tcPr>
          <w:p w14:paraId="5EDD95F9" w14:textId="77777777" w:rsidR="00560C33" w:rsidRPr="00467937" w:rsidRDefault="00B93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A4219" w:rsidRPr="00230CFF" w14:paraId="0371D0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C9EF4C" w14:textId="42051D44" w:rsidR="001A4219" w:rsidRPr="00026F45" w:rsidRDefault="001A4219" w:rsidP="001A421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26F4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31EE2E45" w14:textId="5E36C6DD" w:rsidR="001A4219" w:rsidRDefault="001A4219" w:rsidP="001A4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the latest FA dates of 8-8-24 and 8-7-24 for specifications 660 and 995 respectively. </w:t>
            </w:r>
          </w:p>
        </w:tc>
        <w:tc>
          <w:tcPr>
            <w:tcW w:w="1260" w:type="dxa"/>
          </w:tcPr>
          <w:p w14:paraId="1971E9FB" w14:textId="40C5B636" w:rsidR="001A4219" w:rsidRDefault="001A4219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229FEA7" w14:textId="367F6028" w:rsidR="001A4219" w:rsidRDefault="00F70BFC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601B168C" w14:textId="32A72D5F" w:rsidR="001A4219" w:rsidRDefault="001A4219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A3CD673" w14:textId="751C2DAB" w:rsidR="001A4219" w:rsidRPr="00467937" w:rsidRDefault="00F70BFC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170" w:type="dxa"/>
          </w:tcPr>
          <w:p w14:paraId="5AFBA83B" w14:textId="528463E3" w:rsidR="001A4219" w:rsidRDefault="001A4219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60363" w:rsidRPr="00230CFF" w14:paraId="5AFA2D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235F59" w14:textId="4A743D08" w:rsidR="00E60363" w:rsidRPr="00A70BBD" w:rsidRDefault="004223D1" w:rsidP="001A4219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</w:t>
            </w:r>
            <w:r w:rsidR="00E60363" w:rsidRPr="00A70BB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.0</w:t>
            </w:r>
          </w:p>
        </w:tc>
        <w:tc>
          <w:tcPr>
            <w:tcW w:w="3060" w:type="dxa"/>
          </w:tcPr>
          <w:p w14:paraId="000DC1B6" w14:textId="6CC9E319" w:rsidR="00E60363" w:rsidRDefault="00E60363" w:rsidP="001A4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the latest FA dates of 8-</w:t>
            </w:r>
            <w:r w:rsidR="0091243E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  <w:r w:rsidR="0091243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and 8-</w:t>
            </w:r>
            <w:r w:rsidR="0091243E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  <w:r w:rsidR="0091243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for spec</w:t>
            </w:r>
            <w:r w:rsidR="00FD4B7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660 and 995</w:t>
            </w:r>
            <w:r w:rsidR="00FD4B73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respectively.</w:t>
            </w:r>
          </w:p>
        </w:tc>
        <w:tc>
          <w:tcPr>
            <w:tcW w:w="1260" w:type="dxa"/>
          </w:tcPr>
          <w:p w14:paraId="2ACD17A5" w14:textId="1F532FC4" w:rsidR="00E60363" w:rsidRDefault="0091243E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1910D516" w14:textId="1BD563DC" w:rsidR="00E60363" w:rsidRDefault="0091243E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35CB5A53" w14:textId="7EBAE474" w:rsidR="00E60363" w:rsidRDefault="0091243E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554F7DF" w14:textId="1389A3C8" w:rsidR="00E60363" w:rsidRDefault="00A70BBD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12/23/2025</w:t>
            </w:r>
          </w:p>
        </w:tc>
        <w:tc>
          <w:tcPr>
            <w:tcW w:w="1170" w:type="dxa"/>
          </w:tcPr>
          <w:p w14:paraId="37B5F80F" w14:textId="7C9FC22C" w:rsidR="00E60363" w:rsidRDefault="0091243E" w:rsidP="001A42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BDA5618" w14:textId="77777777" w:rsidR="005B100D" w:rsidRDefault="005B100D" w:rsidP="00EE17D1">
      <w:pPr>
        <w:tabs>
          <w:tab w:val="left" w:pos="1080"/>
        </w:tabs>
      </w:pPr>
    </w:p>
    <w:sectPr w:rsidR="005B100D" w:rsidSect="00560C33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6617" w14:textId="77777777" w:rsidR="00C75C2E" w:rsidRDefault="00C75C2E" w:rsidP="006014C2">
      <w:pPr>
        <w:spacing w:after="0" w:line="240" w:lineRule="auto"/>
      </w:pPr>
      <w:r>
        <w:separator/>
      </w:r>
    </w:p>
  </w:endnote>
  <w:endnote w:type="continuationSeparator" w:id="0">
    <w:p w14:paraId="61B04035" w14:textId="77777777" w:rsidR="00C75C2E" w:rsidRDefault="00C75C2E" w:rsidP="006014C2">
      <w:pPr>
        <w:spacing w:after="0" w:line="240" w:lineRule="auto"/>
      </w:pPr>
      <w:r>
        <w:continuationSeparator/>
      </w:r>
    </w:p>
  </w:endnote>
  <w:endnote w:type="continuationNotice" w:id="1">
    <w:p w14:paraId="1F6A2F74" w14:textId="77777777" w:rsidR="00C75C2E" w:rsidRDefault="00C75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D73C" w14:textId="67071E53" w:rsidR="0019337B" w:rsidRPr="006014C2" w:rsidRDefault="00C75C2E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19337B" w:rsidRPr="006014C2">
          <w:rPr>
            <w:sz w:val="16"/>
            <w:szCs w:val="16"/>
          </w:rPr>
          <w:t xml:space="preserve">Page </w:t>
        </w:r>
        <w:r w:rsidR="0019337B" w:rsidRPr="006014C2">
          <w:rPr>
            <w:sz w:val="16"/>
            <w:szCs w:val="16"/>
          </w:rPr>
          <w:fldChar w:fldCharType="begin"/>
        </w:r>
        <w:r w:rsidR="0019337B" w:rsidRPr="006014C2">
          <w:rPr>
            <w:sz w:val="16"/>
            <w:szCs w:val="16"/>
          </w:rPr>
          <w:instrText xml:space="preserve"> PAGE </w:instrText>
        </w:r>
        <w:r w:rsidR="0019337B" w:rsidRPr="006014C2">
          <w:rPr>
            <w:sz w:val="16"/>
            <w:szCs w:val="16"/>
          </w:rPr>
          <w:fldChar w:fldCharType="separate"/>
        </w:r>
        <w:r w:rsidR="0019337B">
          <w:rPr>
            <w:noProof/>
            <w:sz w:val="16"/>
            <w:szCs w:val="16"/>
          </w:rPr>
          <w:t>4</w:t>
        </w:r>
        <w:r w:rsidR="0019337B" w:rsidRPr="006014C2">
          <w:rPr>
            <w:sz w:val="16"/>
            <w:szCs w:val="16"/>
          </w:rPr>
          <w:fldChar w:fldCharType="end"/>
        </w:r>
        <w:r w:rsidR="0019337B" w:rsidRPr="006014C2">
          <w:rPr>
            <w:sz w:val="16"/>
            <w:szCs w:val="16"/>
          </w:rPr>
          <w:t xml:space="preserve"> of </w:t>
        </w:r>
        <w:r w:rsidR="0019337B" w:rsidRPr="006014C2">
          <w:rPr>
            <w:sz w:val="16"/>
            <w:szCs w:val="16"/>
          </w:rPr>
          <w:fldChar w:fldCharType="begin"/>
        </w:r>
        <w:r w:rsidR="0019337B" w:rsidRPr="006014C2">
          <w:rPr>
            <w:sz w:val="16"/>
            <w:szCs w:val="16"/>
          </w:rPr>
          <w:instrText xml:space="preserve"> NUMPAGES  </w:instrText>
        </w:r>
        <w:r w:rsidR="0019337B" w:rsidRPr="006014C2">
          <w:rPr>
            <w:sz w:val="16"/>
            <w:szCs w:val="16"/>
          </w:rPr>
          <w:fldChar w:fldCharType="separate"/>
        </w:r>
        <w:r w:rsidR="0019337B">
          <w:rPr>
            <w:noProof/>
            <w:sz w:val="16"/>
            <w:szCs w:val="16"/>
          </w:rPr>
          <w:t>4</w:t>
        </w:r>
        <w:r w:rsidR="0019337B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F03C" w14:textId="21F0B605" w:rsidR="0019337B" w:rsidRDefault="00C75C2E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19337B" w:rsidRPr="006014C2">
          <w:rPr>
            <w:sz w:val="16"/>
            <w:szCs w:val="16"/>
          </w:rPr>
          <w:t xml:space="preserve">Page </w:t>
        </w:r>
        <w:r w:rsidR="0019337B" w:rsidRPr="006014C2">
          <w:rPr>
            <w:sz w:val="16"/>
            <w:szCs w:val="16"/>
          </w:rPr>
          <w:fldChar w:fldCharType="begin"/>
        </w:r>
        <w:r w:rsidR="0019337B" w:rsidRPr="006014C2">
          <w:rPr>
            <w:sz w:val="16"/>
            <w:szCs w:val="16"/>
          </w:rPr>
          <w:instrText xml:space="preserve"> PAGE </w:instrText>
        </w:r>
        <w:r w:rsidR="0019337B" w:rsidRPr="006014C2">
          <w:rPr>
            <w:sz w:val="16"/>
            <w:szCs w:val="16"/>
          </w:rPr>
          <w:fldChar w:fldCharType="separate"/>
        </w:r>
        <w:r w:rsidR="0019337B">
          <w:rPr>
            <w:noProof/>
            <w:sz w:val="16"/>
            <w:szCs w:val="16"/>
          </w:rPr>
          <w:t>1</w:t>
        </w:r>
        <w:r w:rsidR="0019337B" w:rsidRPr="006014C2">
          <w:rPr>
            <w:sz w:val="16"/>
            <w:szCs w:val="16"/>
          </w:rPr>
          <w:fldChar w:fldCharType="end"/>
        </w:r>
        <w:r w:rsidR="0019337B" w:rsidRPr="006014C2">
          <w:rPr>
            <w:sz w:val="16"/>
            <w:szCs w:val="16"/>
          </w:rPr>
          <w:t xml:space="preserve"> of </w:t>
        </w:r>
        <w:r w:rsidR="0019337B" w:rsidRPr="006014C2">
          <w:rPr>
            <w:sz w:val="16"/>
            <w:szCs w:val="16"/>
          </w:rPr>
          <w:fldChar w:fldCharType="begin"/>
        </w:r>
        <w:r w:rsidR="0019337B" w:rsidRPr="006014C2">
          <w:rPr>
            <w:sz w:val="16"/>
            <w:szCs w:val="16"/>
          </w:rPr>
          <w:instrText xml:space="preserve"> NUMPAGES  </w:instrText>
        </w:r>
        <w:r w:rsidR="0019337B" w:rsidRPr="006014C2">
          <w:rPr>
            <w:sz w:val="16"/>
            <w:szCs w:val="16"/>
          </w:rPr>
          <w:fldChar w:fldCharType="separate"/>
        </w:r>
        <w:r w:rsidR="0019337B">
          <w:rPr>
            <w:noProof/>
            <w:sz w:val="16"/>
            <w:szCs w:val="16"/>
          </w:rPr>
          <w:t>4</w:t>
        </w:r>
        <w:r w:rsidR="0019337B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4A64" w14:textId="77777777" w:rsidR="00C75C2E" w:rsidRDefault="00C75C2E" w:rsidP="006014C2">
      <w:pPr>
        <w:spacing w:after="0" w:line="240" w:lineRule="auto"/>
      </w:pPr>
      <w:r>
        <w:separator/>
      </w:r>
    </w:p>
  </w:footnote>
  <w:footnote w:type="continuationSeparator" w:id="0">
    <w:p w14:paraId="03450BAA" w14:textId="77777777" w:rsidR="00C75C2E" w:rsidRDefault="00C75C2E" w:rsidP="006014C2">
      <w:pPr>
        <w:spacing w:after="0" w:line="240" w:lineRule="auto"/>
      </w:pPr>
      <w:r>
        <w:continuationSeparator/>
      </w:r>
    </w:p>
  </w:footnote>
  <w:footnote w:type="continuationNotice" w:id="1">
    <w:p w14:paraId="62E8409B" w14:textId="77777777" w:rsidR="00C75C2E" w:rsidRDefault="00C75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6E12" w14:textId="4EFB3E0B" w:rsidR="0019337B" w:rsidRPr="006014C2" w:rsidRDefault="0019337B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>Specification</w:t>
    </w:r>
    <w:r w:rsidR="00171888">
      <w:rPr>
        <w:sz w:val="18"/>
        <w:szCs w:val="18"/>
      </w:rPr>
      <w:t>s</w:t>
    </w:r>
    <w:r>
      <w:rPr>
        <w:sz w:val="18"/>
        <w:szCs w:val="18"/>
      </w:rPr>
      <w:t xml:space="preserve"> </w:t>
    </w:r>
    <w:r w:rsidR="00171888">
      <w:rPr>
        <w:sz w:val="18"/>
        <w:szCs w:val="18"/>
      </w:rPr>
      <w:t xml:space="preserve">660 (FA </w:t>
    </w:r>
    <w:r w:rsidR="00DF64F2">
      <w:rPr>
        <w:sz w:val="18"/>
        <w:szCs w:val="18"/>
      </w:rPr>
      <w:t>8-</w:t>
    </w:r>
    <w:r w:rsidR="00DB507A">
      <w:rPr>
        <w:sz w:val="18"/>
        <w:szCs w:val="18"/>
      </w:rPr>
      <w:t>22</w:t>
    </w:r>
    <w:r w:rsidR="00DF64F2">
      <w:rPr>
        <w:sz w:val="18"/>
        <w:szCs w:val="18"/>
      </w:rPr>
      <w:t>-2</w:t>
    </w:r>
    <w:r w:rsidR="00DB507A">
      <w:rPr>
        <w:sz w:val="18"/>
        <w:szCs w:val="18"/>
      </w:rPr>
      <w:t>5</w:t>
    </w:r>
    <w:r w:rsidR="00CD2AB8">
      <w:rPr>
        <w:sz w:val="18"/>
        <w:szCs w:val="18"/>
      </w:rPr>
      <w:t xml:space="preserve">) and </w:t>
    </w:r>
    <w:r>
      <w:rPr>
        <w:sz w:val="18"/>
        <w:szCs w:val="18"/>
      </w:rPr>
      <w:t>995</w:t>
    </w:r>
    <w:r w:rsidRPr="00D56EC4">
      <w:rPr>
        <w:sz w:val="18"/>
        <w:szCs w:val="18"/>
      </w:rPr>
      <w:t xml:space="preserve"> (FA </w:t>
    </w:r>
    <w:r w:rsidR="00DF64F2">
      <w:rPr>
        <w:sz w:val="18"/>
        <w:szCs w:val="18"/>
      </w:rPr>
      <w:t>8-</w:t>
    </w:r>
    <w:r w:rsidR="00DB507A">
      <w:rPr>
        <w:sz w:val="18"/>
        <w:szCs w:val="18"/>
      </w:rPr>
      <w:t>14</w:t>
    </w:r>
    <w:r w:rsidR="00DF64F2">
      <w:rPr>
        <w:sz w:val="18"/>
        <w:szCs w:val="18"/>
      </w:rPr>
      <w:t>-2</w:t>
    </w:r>
    <w:r w:rsidR="00DB507A">
      <w:rPr>
        <w:sz w:val="18"/>
        <w:szCs w:val="18"/>
      </w:rPr>
      <w:t>5</w:t>
    </w:r>
    <w:r w:rsidRPr="00FF010F">
      <w:rPr>
        <w:sz w:val="18"/>
        <w:szCs w:val="18"/>
      </w:rPr>
      <w:t xml:space="preserve">) </w:t>
    </w:r>
    <w:r w:rsidRPr="00FF010F">
      <w:rPr>
        <w:rFonts w:cs="Arial"/>
        <w:sz w:val="18"/>
        <w:szCs w:val="18"/>
      </w:rPr>
      <w:t>CM-</w:t>
    </w:r>
    <w:r w:rsidR="00A13056">
      <w:rPr>
        <w:rFonts w:cs="Arial"/>
        <w:sz w:val="18"/>
        <w:szCs w:val="18"/>
      </w:rPr>
      <w:t>660-05</w:t>
    </w:r>
    <w:r>
      <w:rPr>
        <w:rFonts w:cs="Arial"/>
        <w:sz w:val="18"/>
        <w:szCs w:val="18"/>
      </w:rPr>
      <w:t xml:space="preserve"> </w:t>
    </w:r>
    <w:r w:rsidRPr="00FF010F">
      <w:rPr>
        <w:sz w:val="18"/>
        <w:szCs w:val="18"/>
      </w:rPr>
      <w:t>Rev</w:t>
    </w:r>
    <w:r w:rsidRPr="00D56EC4">
      <w:rPr>
        <w:sz w:val="18"/>
        <w:szCs w:val="18"/>
      </w:rPr>
      <w:t xml:space="preserve"> </w:t>
    </w:r>
    <w:r w:rsidR="00DB507A">
      <w:rPr>
        <w:sz w:val="18"/>
        <w:szCs w:val="18"/>
      </w:rPr>
      <w:t>3</w:t>
    </w:r>
    <w:r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EBD8" w14:textId="77777777" w:rsidR="0019337B" w:rsidRDefault="0019337B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83F40"/>
    <w:multiLevelType w:val="hybridMultilevel"/>
    <w:tmpl w:val="6F207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E03AC"/>
    <w:multiLevelType w:val="hybridMultilevel"/>
    <w:tmpl w:val="12EE9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280554">
    <w:abstractNumId w:val="1"/>
  </w:num>
  <w:num w:numId="2" w16cid:durableId="71439860">
    <w:abstractNumId w:val="0"/>
  </w:num>
  <w:num w:numId="3" w16cid:durableId="1832524987">
    <w:abstractNumId w:val="2"/>
  </w:num>
  <w:num w:numId="4" w16cid:durableId="1778064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c6gqVfVpAPQCGvv0JP+PzpGdY9/W3bNRhkQDpDmI5AL42szNUZs06L2NS85artayGlfmCC+IfvnYqvIjCGf6Q==" w:salt="WZ6xw+vhZ14V+3/ckwRPV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3E"/>
    <w:rsid w:val="00000E38"/>
    <w:rsid w:val="00002301"/>
    <w:rsid w:val="00011A2A"/>
    <w:rsid w:val="000126FD"/>
    <w:rsid w:val="00023A0A"/>
    <w:rsid w:val="000264A7"/>
    <w:rsid w:val="00026F45"/>
    <w:rsid w:val="00036558"/>
    <w:rsid w:val="000373E7"/>
    <w:rsid w:val="00037940"/>
    <w:rsid w:val="00043245"/>
    <w:rsid w:val="000442F6"/>
    <w:rsid w:val="00050FF5"/>
    <w:rsid w:val="0005295B"/>
    <w:rsid w:val="0005341D"/>
    <w:rsid w:val="00057145"/>
    <w:rsid w:val="000610E5"/>
    <w:rsid w:val="00065AEC"/>
    <w:rsid w:val="000702CC"/>
    <w:rsid w:val="000702E7"/>
    <w:rsid w:val="000704F4"/>
    <w:rsid w:val="00070EC7"/>
    <w:rsid w:val="00072250"/>
    <w:rsid w:val="00073974"/>
    <w:rsid w:val="00081F2A"/>
    <w:rsid w:val="000835E1"/>
    <w:rsid w:val="00085AAF"/>
    <w:rsid w:val="00093726"/>
    <w:rsid w:val="000A266F"/>
    <w:rsid w:val="000A4C14"/>
    <w:rsid w:val="000B355F"/>
    <w:rsid w:val="000B5A82"/>
    <w:rsid w:val="000B5D67"/>
    <w:rsid w:val="000C41F5"/>
    <w:rsid w:val="000D4DEB"/>
    <w:rsid w:val="000E0AB9"/>
    <w:rsid w:val="000E5ED6"/>
    <w:rsid w:val="000E7095"/>
    <w:rsid w:val="000E7DD0"/>
    <w:rsid w:val="000F412B"/>
    <w:rsid w:val="000F57EF"/>
    <w:rsid w:val="000F6603"/>
    <w:rsid w:val="000F6F12"/>
    <w:rsid w:val="000F7FDA"/>
    <w:rsid w:val="00102BC1"/>
    <w:rsid w:val="00105A27"/>
    <w:rsid w:val="00106FEC"/>
    <w:rsid w:val="001074F9"/>
    <w:rsid w:val="00116DDB"/>
    <w:rsid w:val="001208AD"/>
    <w:rsid w:val="00121728"/>
    <w:rsid w:val="00130582"/>
    <w:rsid w:val="0013530F"/>
    <w:rsid w:val="00137011"/>
    <w:rsid w:val="001467BC"/>
    <w:rsid w:val="0015203F"/>
    <w:rsid w:val="001546A3"/>
    <w:rsid w:val="0016062C"/>
    <w:rsid w:val="00161197"/>
    <w:rsid w:val="00164F13"/>
    <w:rsid w:val="00171888"/>
    <w:rsid w:val="00171A0A"/>
    <w:rsid w:val="00173045"/>
    <w:rsid w:val="00173CD9"/>
    <w:rsid w:val="00177C65"/>
    <w:rsid w:val="001838DF"/>
    <w:rsid w:val="00184ED9"/>
    <w:rsid w:val="00185E2B"/>
    <w:rsid w:val="00186097"/>
    <w:rsid w:val="00187505"/>
    <w:rsid w:val="001924B9"/>
    <w:rsid w:val="0019337B"/>
    <w:rsid w:val="001933F4"/>
    <w:rsid w:val="001A1546"/>
    <w:rsid w:val="001A2815"/>
    <w:rsid w:val="001A342F"/>
    <w:rsid w:val="001A4219"/>
    <w:rsid w:val="001A4278"/>
    <w:rsid w:val="001A58C1"/>
    <w:rsid w:val="001A5AEE"/>
    <w:rsid w:val="001A602D"/>
    <w:rsid w:val="001A6150"/>
    <w:rsid w:val="001A7673"/>
    <w:rsid w:val="001A7EFA"/>
    <w:rsid w:val="001A7F46"/>
    <w:rsid w:val="001B2C7F"/>
    <w:rsid w:val="001C5E07"/>
    <w:rsid w:val="001C6DCD"/>
    <w:rsid w:val="001D28B5"/>
    <w:rsid w:val="001D4CAC"/>
    <w:rsid w:val="001D4CBB"/>
    <w:rsid w:val="001E1AFD"/>
    <w:rsid w:val="001E1DC8"/>
    <w:rsid w:val="001E2EDD"/>
    <w:rsid w:val="001F40B9"/>
    <w:rsid w:val="00201158"/>
    <w:rsid w:val="00201261"/>
    <w:rsid w:val="00204532"/>
    <w:rsid w:val="00205040"/>
    <w:rsid w:val="002057D2"/>
    <w:rsid w:val="00205C55"/>
    <w:rsid w:val="00211B05"/>
    <w:rsid w:val="00212014"/>
    <w:rsid w:val="002242FA"/>
    <w:rsid w:val="00225958"/>
    <w:rsid w:val="002268E2"/>
    <w:rsid w:val="00230118"/>
    <w:rsid w:val="002333CE"/>
    <w:rsid w:val="00234678"/>
    <w:rsid w:val="0023469D"/>
    <w:rsid w:val="00235B28"/>
    <w:rsid w:val="00235E10"/>
    <w:rsid w:val="002425EE"/>
    <w:rsid w:val="002440AC"/>
    <w:rsid w:val="0024453A"/>
    <w:rsid w:val="00245C5B"/>
    <w:rsid w:val="00245CBF"/>
    <w:rsid w:val="0024658B"/>
    <w:rsid w:val="00250BDC"/>
    <w:rsid w:val="00252175"/>
    <w:rsid w:val="002674C0"/>
    <w:rsid w:val="00270CBF"/>
    <w:rsid w:val="00275561"/>
    <w:rsid w:val="00277C5B"/>
    <w:rsid w:val="0028098C"/>
    <w:rsid w:val="0028625C"/>
    <w:rsid w:val="00295F6D"/>
    <w:rsid w:val="002A2766"/>
    <w:rsid w:val="002A6713"/>
    <w:rsid w:val="002A79EB"/>
    <w:rsid w:val="002A7DCC"/>
    <w:rsid w:val="002B0539"/>
    <w:rsid w:val="002C4BBC"/>
    <w:rsid w:val="002D509B"/>
    <w:rsid w:val="002D5199"/>
    <w:rsid w:val="002E023B"/>
    <w:rsid w:val="002E0F98"/>
    <w:rsid w:val="002E211B"/>
    <w:rsid w:val="002F08DC"/>
    <w:rsid w:val="002F08E9"/>
    <w:rsid w:val="002F1F8C"/>
    <w:rsid w:val="002F63F0"/>
    <w:rsid w:val="003053AF"/>
    <w:rsid w:val="0031028C"/>
    <w:rsid w:val="00310678"/>
    <w:rsid w:val="00314439"/>
    <w:rsid w:val="00315F29"/>
    <w:rsid w:val="00316728"/>
    <w:rsid w:val="00317027"/>
    <w:rsid w:val="003178E4"/>
    <w:rsid w:val="00322A37"/>
    <w:rsid w:val="003303DB"/>
    <w:rsid w:val="003318C8"/>
    <w:rsid w:val="00341051"/>
    <w:rsid w:val="00344ADF"/>
    <w:rsid w:val="00346D7C"/>
    <w:rsid w:val="00347F9D"/>
    <w:rsid w:val="0035269C"/>
    <w:rsid w:val="00352F06"/>
    <w:rsid w:val="00362BCA"/>
    <w:rsid w:val="00366ECC"/>
    <w:rsid w:val="00367A7D"/>
    <w:rsid w:val="00367D87"/>
    <w:rsid w:val="003712AC"/>
    <w:rsid w:val="0037228F"/>
    <w:rsid w:val="00381867"/>
    <w:rsid w:val="00381E71"/>
    <w:rsid w:val="003833C1"/>
    <w:rsid w:val="00383AB2"/>
    <w:rsid w:val="003877EC"/>
    <w:rsid w:val="0038787D"/>
    <w:rsid w:val="0039626E"/>
    <w:rsid w:val="003A01E0"/>
    <w:rsid w:val="003A06FC"/>
    <w:rsid w:val="003A1B79"/>
    <w:rsid w:val="003A2B11"/>
    <w:rsid w:val="003A3108"/>
    <w:rsid w:val="003A4940"/>
    <w:rsid w:val="003A6579"/>
    <w:rsid w:val="003B01DC"/>
    <w:rsid w:val="003B25AC"/>
    <w:rsid w:val="003D3173"/>
    <w:rsid w:val="003D579F"/>
    <w:rsid w:val="003E0235"/>
    <w:rsid w:val="003E4BCD"/>
    <w:rsid w:val="003E5845"/>
    <w:rsid w:val="003E5A07"/>
    <w:rsid w:val="003F3976"/>
    <w:rsid w:val="003F48D8"/>
    <w:rsid w:val="003F6058"/>
    <w:rsid w:val="00404FB5"/>
    <w:rsid w:val="00410CD8"/>
    <w:rsid w:val="00414AF1"/>
    <w:rsid w:val="004172CC"/>
    <w:rsid w:val="0042045A"/>
    <w:rsid w:val="004223D1"/>
    <w:rsid w:val="00423D74"/>
    <w:rsid w:val="00423DA2"/>
    <w:rsid w:val="00424950"/>
    <w:rsid w:val="00424BC2"/>
    <w:rsid w:val="00425FBF"/>
    <w:rsid w:val="004302F3"/>
    <w:rsid w:val="004306E6"/>
    <w:rsid w:val="004356A9"/>
    <w:rsid w:val="004429F4"/>
    <w:rsid w:val="00443498"/>
    <w:rsid w:val="004454D3"/>
    <w:rsid w:val="00445892"/>
    <w:rsid w:val="004510D4"/>
    <w:rsid w:val="00451D2E"/>
    <w:rsid w:val="00453244"/>
    <w:rsid w:val="00455DA1"/>
    <w:rsid w:val="00455E83"/>
    <w:rsid w:val="00457F52"/>
    <w:rsid w:val="00460A11"/>
    <w:rsid w:val="00467A48"/>
    <w:rsid w:val="004706EB"/>
    <w:rsid w:val="004714A6"/>
    <w:rsid w:val="00473452"/>
    <w:rsid w:val="00475C74"/>
    <w:rsid w:val="00480DF0"/>
    <w:rsid w:val="00482CD8"/>
    <w:rsid w:val="00486427"/>
    <w:rsid w:val="00497069"/>
    <w:rsid w:val="004A0190"/>
    <w:rsid w:val="004A1EF7"/>
    <w:rsid w:val="004A4368"/>
    <w:rsid w:val="004A5CBD"/>
    <w:rsid w:val="004B0BCC"/>
    <w:rsid w:val="004B7E9E"/>
    <w:rsid w:val="004C1899"/>
    <w:rsid w:val="004C194A"/>
    <w:rsid w:val="004D32AE"/>
    <w:rsid w:val="004D3364"/>
    <w:rsid w:val="004D684C"/>
    <w:rsid w:val="004E0606"/>
    <w:rsid w:val="004E0FE4"/>
    <w:rsid w:val="004E21EE"/>
    <w:rsid w:val="004E234D"/>
    <w:rsid w:val="004E2B33"/>
    <w:rsid w:val="004E5945"/>
    <w:rsid w:val="004E793E"/>
    <w:rsid w:val="004F0EA1"/>
    <w:rsid w:val="004F31A8"/>
    <w:rsid w:val="004F52A0"/>
    <w:rsid w:val="00513CB9"/>
    <w:rsid w:val="00514F34"/>
    <w:rsid w:val="005152D3"/>
    <w:rsid w:val="00517AAE"/>
    <w:rsid w:val="00530BF0"/>
    <w:rsid w:val="00531453"/>
    <w:rsid w:val="00531A94"/>
    <w:rsid w:val="00537808"/>
    <w:rsid w:val="005502B0"/>
    <w:rsid w:val="00550485"/>
    <w:rsid w:val="0055686C"/>
    <w:rsid w:val="0055785B"/>
    <w:rsid w:val="00560B9E"/>
    <w:rsid w:val="00560C33"/>
    <w:rsid w:val="00560D65"/>
    <w:rsid w:val="00563AC4"/>
    <w:rsid w:val="005716DC"/>
    <w:rsid w:val="005716E9"/>
    <w:rsid w:val="00571A00"/>
    <w:rsid w:val="0057674D"/>
    <w:rsid w:val="0058474B"/>
    <w:rsid w:val="00584F96"/>
    <w:rsid w:val="00590A72"/>
    <w:rsid w:val="00590E03"/>
    <w:rsid w:val="005918A7"/>
    <w:rsid w:val="00591A78"/>
    <w:rsid w:val="005925D1"/>
    <w:rsid w:val="00597AAF"/>
    <w:rsid w:val="00597C7D"/>
    <w:rsid w:val="00597CA9"/>
    <w:rsid w:val="005A0400"/>
    <w:rsid w:val="005A44A6"/>
    <w:rsid w:val="005A7048"/>
    <w:rsid w:val="005A7CC0"/>
    <w:rsid w:val="005B100D"/>
    <w:rsid w:val="005B1B95"/>
    <w:rsid w:val="005B32C2"/>
    <w:rsid w:val="005B37AA"/>
    <w:rsid w:val="005B3973"/>
    <w:rsid w:val="005B4995"/>
    <w:rsid w:val="005B594C"/>
    <w:rsid w:val="005B6B65"/>
    <w:rsid w:val="005B7838"/>
    <w:rsid w:val="005C39CC"/>
    <w:rsid w:val="005C4DBF"/>
    <w:rsid w:val="005D630A"/>
    <w:rsid w:val="005E074C"/>
    <w:rsid w:val="005E190A"/>
    <w:rsid w:val="005E3A64"/>
    <w:rsid w:val="005E545D"/>
    <w:rsid w:val="005E732C"/>
    <w:rsid w:val="005E77B3"/>
    <w:rsid w:val="005F46D8"/>
    <w:rsid w:val="006014C2"/>
    <w:rsid w:val="006070F2"/>
    <w:rsid w:val="00611AD9"/>
    <w:rsid w:val="006174AF"/>
    <w:rsid w:val="00621E06"/>
    <w:rsid w:val="006223ED"/>
    <w:rsid w:val="006244A1"/>
    <w:rsid w:val="00625356"/>
    <w:rsid w:val="00632B97"/>
    <w:rsid w:val="00632BA7"/>
    <w:rsid w:val="00635E72"/>
    <w:rsid w:val="00640234"/>
    <w:rsid w:val="0064262C"/>
    <w:rsid w:val="00644A61"/>
    <w:rsid w:val="00654144"/>
    <w:rsid w:val="00654292"/>
    <w:rsid w:val="00661BED"/>
    <w:rsid w:val="006724AE"/>
    <w:rsid w:val="00675EB3"/>
    <w:rsid w:val="00676AD5"/>
    <w:rsid w:val="00676C6D"/>
    <w:rsid w:val="00681830"/>
    <w:rsid w:val="006850FC"/>
    <w:rsid w:val="00687A10"/>
    <w:rsid w:val="00687AF3"/>
    <w:rsid w:val="006920B7"/>
    <w:rsid w:val="00695314"/>
    <w:rsid w:val="0069705F"/>
    <w:rsid w:val="006A18BB"/>
    <w:rsid w:val="006A499C"/>
    <w:rsid w:val="006A5030"/>
    <w:rsid w:val="006A6773"/>
    <w:rsid w:val="006B4CD5"/>
    <w:rsid w:val="006B58E7"/>
    <w:rsid w:val="006B6C85"/>
    <w:rsid w:val="006C28A7"/>
    <w:rsid w:val="006C61CA"/>
    <w:rsid w:val="006C754E"/>
    <w:rsid w:val="006D15D7"/>
    <w:rsid w:val="006D2BB3"/>
    <w:rsid w:val="006D2E1A"/>
    <w:rsid w:val="006D5344"/>
    <w:rsid w:val="006E20DC"/>
    <w:rsid w:val="006E22CE"/>
    <w:rsid w:val="006F2F30"/>
    <w:rsid w:val="006F3A94"/>
    <w:rsid w:val="006F3DED"/>
    <w:rsid w:val="006F4BC0"/>
    <w:rsid w:val="00700C53"/>
    <w:rsid w:val="00702E59"/>
    <w:rsid w:val="00705015"/>
    <w:rsid w:val="00705E24"/>
    <w:rsid w:val="00707C70"/>
    <w:rsid w:val="0071000A"/>
    <w:rsid w:val="00712922"/>
    <w:rsid w:val="007219F6"/>
    <w:rsid w:val="007224CB"/>
    <w:rsid w:val="00722593"/>
    <w:rsid w:val="00726DE3"/>
    <w:rsid w:val="00735E7C"/>
    <w:rsid w:val="00736423"/>
    <w:rsid w:val="00736446"/>
    <w:rsid w:val="0073771B"/>
    <w:rsid w:val="00746CD5"/>
    <w:rsid w:val="007478FC"/>
    <w:rsid w:val="007507C9"/>
    <w:rsid w:val="00750DBD"/>
    <w:rsid w:val="00751F5C"/>
    <w:rsid w:val="00755F3C"/>
    <w:rsid w:val="007578E0"/>
    <w:rsid w:val="00760ED6"/>
    <w:rsid w:val="007657D5"/>
    <w:rsid w:val="007658B7"/>
    <w:rsid w:val="00766BD6"/>
    <w:rsid w:val="00767F4E"/>
    <w:rsid w:val="007726D2"/>
    <w:rsid w:val="0077356B"/>
    <w:rsid w:val="00773DF0"/>
    <w:rsid w:val="007761C1"/>
    <w:rsid w:val="007766CD"/>
    <w:rsid w:val="00776DD3"/>
    <w:rsid w:val="0078056F"/>
    <w:rsid w:val="0078379C"/>
    <w:rsid w:val="00783B77"/>
    <w:rsid w:val="00792860"/>
    <w:rsid w:val="007940CD"/>
    <w:rsid w:val="007A56CF"/>
    <w:rsid w:val="007A78BF"/>
    <w:rsid w:val="007B58D5"/>
    <w:rsid w:val="007B73B4"/>
    <w:rsid w:val="007C30BE"/>
    <w:rsid w:val="007C4D69"/>
    <w:rsid w:val="007D2EDA"/>
    <w:rsid w:val="007D57EB"/>
    <w:rsid w:val="007D5B0C"/>
    <w:rsid w:val="007D6B04"/>
    <w:rsid w:val="007E1F51"/>
    <w:rsid w:val="007E34E9"/>
    <w:rsid w:val="007E464C"/>
    <w:rsid w:val="007E467D"/>
    <w:rsid w:val="007E73B4"/>
    <w:rsid w:val="007F0DD7"/>
    <w:rsid w:val="007F1EF4"/>
    <w:rsid w:val="007F72C2"/>
    <w:rsid w:val="00800200"/>
    <w:rsid w:val="00805229"/>
    <w:rsid w:val="00807C29"/>
    <w:rsid w:val="008110A5"/>
    <w:rsid w:val="00811EBE"/>
    <w:rsid w:val="008152F0"/>
    <w:rsid w:val="00822D87"/>
    <w:rsid w:val="00825C08"/>
    <w:rsid w:val="0083296D"/>
    <w:rsid w:val="00834B6F"/>
    <w:rsid w:val="008368F7"/>
    <w:rsid w:val="0084566A"/>
    <w:rsid w:val="008470CD"/>
    <w:rsid w:val="00851FDA"/>
    <w:rsid w:val="00860CBE"/>
    <w:rsid w:val="00862849"/>
    <w:rsid w:val="00864AE5"/>
    <w:rsid w:val="00865D90"/>
    <w:rsid w:val="00870ABA"/>
    <w:rsid w:val="00883CC5"/>
    <w:rsid w:val="00893FF7"/>
    <w:rsid w:val="0089491A"/>
    <w:rsid w:val="008A1879"/>
    <w:rsid w:val="008A66CE"/>
    <w:rsid w:val="008B0F1E"/>
    <w:rsid w:val="008B22F7"/>
    <w:rsid w:val="008B3160"/>
    <w:rsid w:val="008B4A8E"/>
    <w:rsid w:val="008C016F"/>
    <w:rsid w:val="008C053C"/>
    <w:rsid w:val="008C5C3E"/>
    <w:rsid w:val="008C667F"/>
    <w:rsid w:val="008C6AAB"/>
    <w:rsid w:val="008C7C5F"/>
    <w:rsid w:val="008D1346"/>
    <w:rsid w:val="008D47E1"/>
    <w:rsid w:val="008D5CAB"/>
    <w:rsid w:val="008E304D"/>
    <w:rsid w:val="008E41B4"/>
    <w:rsid w:val="009021B4"/>
    <w:rsid w:val="00905AD1"/>
    <w:rsid w:val="009061AA"/>
    <w:rsid w:val="00906FCB"/>
    <w:rsid w:val="009076FA"/>
    <w:rsid w:val="00907C94"/>
    <w:rsid w:val="009115DD"/>
    <w:rsid w:val="0091243E"/>
    <w:rsid w:val="00913D9E"/>
    <w:rsid w:val="00914AD9"/>
    <w:rsid w:val="00914D4F"/>
    <w:rsid w:val="009162C8"/>
    <w:rsid w:val="0092285A"/>
    <w:rsid w:val="0092461D"/>
    <w:rsid w:val="0093288F"/>
    <w:rsid w:val="009366FE"/>
    <w:rsid w:val="00940A97"/>
    <w:rsid w:val="00941AC3"/>
    <w:rsid w:val="00944B60"/>
    <w:rsid w:val="00961600"/>
    <w:rsid w:val="0097188E"/>
    <w:rsid w:val="00975ED2"/>
    <w:rsid w:val="00980AA5"/>
    <w:rsid w:val="00986CA6"/>
    <w:rsid w:val="0098703A"/>
    <w:rsid w:val="00993FBC"/>
    <w:rsid w:val="00994A64"/>
    <w:rsid w:val="00997FFE"/>
    <w:rsid w:val="009A112E"/>
    <w:rsid w:val="009A28F2"/>
    <w:rsid w:val="009A2B83"/>
    <w:rsid w:val="009A31E9"/>
    <w:rsid w:val="009A73E7"/>
    <w:rsid w:val="009B25DD"/>
    <w:rsid w:val="009B4300"/>
    <w:rsid w:val="009B52A7"/>
    <w:rsid w:val="009B5916"/>
    <w:rsid w:val="009C1AD9"/>
    <w:rsid w:val="009D045A"/>
    <w:rsid w:val="009D1B24"/>
    <w:rsid w:val="009D204A"/>
    <w:rsid w:val="009D7AF7"/>
    <w:rsid w:val="009E50EB"/>
    <w:rsid w:val="009E7D13"/>
    <w:rsid w:val="009F42EA"/>
    <w:rsid w:val="009F5432"/>
    <w:rsid w:val="009F6C1F"/>
    <w:rsid w:val="009F74D1"/>
    <w:rsid w:val="00A026A8"/>
    <w:rsid w:val="00A02732"/>
    <w:rsid w:val="00A03D56"/>
    <w:rsid w:val="00A04133"/>
    <w:rsid w:val="00A07CC5"/>
    <w:rsid w:val="00A07D76"/>
    <w:rsid w:val="00A1247B"/>
    <w:rsid w:val="00A13056"/>
    <w:rsid w:val="00A13D30"/>
    <w:rsid w:val="00A13F06"/>
    <w:rsid w:val="00A14CC3"/>
    <w:rsid w:val="00A159EA"/>
    <w:rsid w:val="00A2276D"/>
    <w:rsid w:val="00A23806"/>
    <w:rsid w:val="00A25AA7"/>
    <w:rsid w:val="00A27416"/>
    <w:rsid w:val="00A27608"/>
    <w:rsid w:val="00A325D9"/>
    <w:rsid w:val="00A338D0"/>
    <w:rsid w:val="00A33A4A"/>
    <w:rsid w:val="00A374AF"/>
    <w:rsid w:val="00A37A17"/>
    <w:rsid w:val="00A4266A"/>
    <w:rsid w:val="00A55505"/>
    <w:rsid w:val="00A56C71"/>
    <w:rsid w:val="00A621D4"/>
    <w:rsid w:val="00A65FEA"/>
    <w:rsid w:val="00A663F4"/>
    <w:rsid w:val="00A70BBD"/>
    <w:rsid w:val="00A713F4"/>
    <w:rsid w:val="00A718BA"/>
    <w:rsid w:val="00A74758"/>
    <w:rsid w:val="00A756A3"/>
    <w:rsid w:val="00A76C04"/>
    <w:rsid w:val="00A77967"/>
    <w:rsid w:val="00A8207E"/>
    <w:rsid w:val="00A87413"/>
    <w:rsid w:val="00A97241"/>
    <w:rsid w:val="00AA0A22"/>
    <w:rsid w:val="00AA0E53"/>
    <w:rsid w:val="00AA317B"/>
    <w:rsid w:val="00AA3EF6"/>
    <w:rsid w:val="00AA5128"/>
    <w:rsid w:val="00AB0951"/>
    <w:rsid w:val="00AB107A"/>
    <w:rsid w:val="00AB2F0A"/>
    <w:rsid w:val="00AB47DC"/>
    <w:rsid w:val="00AD47B4"/>
    <w:rsid w:val="00AD6918"/>
    <w:rsid w:val="00AE0B5A"/>
    <w:rsid w:val="00AE28AF"/>
    <w:rsid w:val="00AF0572"/>
    <w:rsid w:val="00AF0CCC"/>
    <w:rsid w:val="00AF1E4A"/>
    <w:rsid w:val="00AF2A44"/>
    <w:rsid w:val="00AF59E5"/>
    <w:rsid w:val="00AF5B07"/>
    <w:rsid w:val="00AF62E5"/>
    <w:rsid w:val="00AF6778"/>
    <w:rsid w:val="00B00B51"/>
    <w:rsid w:val="00B0269E"/>
    <w:rsid w:val="00B03C58"/>
    <w:rsid w:val="00B0769B"/>
    <w:rsid w:val="00B157F1"/>
    <w:rsid w:val="00B23D4C"/>
    <w:rsid w:val="00B27C60"/>
    <w:rsid w:val="00B34687"/>
    <w:rsid w:val="00B37874"/>
    <w:rsid w:val="00B44B56"/>
    <w:rsid w:val="00B44C7F"/>
    <w:rsid w:val="00B50598"/>
    <w:rsid w:val="00B525AC"/>
    <w:rsid w:val="00B5389D"/>
    <w:rsid w:val="00B65394"/>
    <w:rsid w:val="00B65FF8"/>
    <w:rsid w:val="00B66588"/>
    <w:rsid w:val="00B66E3E"/>
    <w:rsid w:val="00B67933"/>
    <w:rsid w:val="00B70073"/>
    <w:rsid w:val="00B70493"/>
    <w:rsid w:val="00B74387"/>
    <w:rsid w:val="00B814B8"/>
    <w:rsid w:val="00B83DA2"/>
    <w:rsid w:val="00B84CC3"/>
    <w:rsid w:val="00B84E19"/>
    <w:rsid w:val="00B857C7"/>
    <w:rsid w:val="00B93149"/>
    <w:rsid w:val="00B935C3"/>
    <w:rsid w:val="00B947B6"/>
    <w:rsid w:val="00B96237"/>
    <w:rsid w:val="00B96C31"/>
    <w:rsid w:val="00B97D18"/>
    <w:rsid w:val="00BA26D8"/>
    <w:rsid w:val="00BA4497"/>
    <w:rsid w:val="00BA4B56"/>
    <w:rsid w:val="00BA5D52"/>
    <w:rsid w:val="00BA5F5F"/>
    <w:rsid w:val="00BB5CAD"/>
    <w:rsid w:val="00BB5EED"/>
    <w:rsid w:val="00BB6301"/>
    <w:rsid w:val="00BC0859"/>
    <w:rsid w:val="00BC7A15"/>
    <w:rsid w:val="00BD167E"/>
    <w:rsid w:val="00BE0F46"/>
    <w:rsid w:val="00BE11FD"/>
    <w:rsid w:val="00BE2354"/>
    <w:rsid w:val="00BE2E32"/>
    <w:rsid w:val="00BE553B"/>
    <w:rsid w:val="00BE5E4C"/>
    <w:rsid w:val="00BF4744"/>
    <w:rsid w:val="00BF4D87"/>
    <w:rsid w:val="00BF4DE8"/>
    <w:rsid w:val="00BF52F3"/>
    <w:rsid w:val="00C0003A"/>
    <w:rsid w:val="00C063BE"/>
    <w:rsid w:val="00C13209"/>
    <w:rsid w:val="00C201D5"/>
    <w:rsid w:val="00C216B4"/>
    <w:rsid w:val="00C259AC"/>
    <w:rsid w:val="00C31E9A"/>
    <w:rsid w:val="00C33FC9"/>
    <w:rsid w:val="00C42BD5"/>
    <w:rsid w:val="00C55A73"/>
    <w:rsid w:val="00C57A49"/>
    <w:rsid w:val="00C646A5"/>
    <w:rsid w:val="00C66694"/>
    <w:rsid w:val="00C70BD9"/>
    <w:rsid w:val="00C72222"/>
    <w:rsid w:val="00C75C2E"/>
    <w:rsid w:val="00C76E55"/>
    <w:rsid w:val="00C81AA0"/>
    <w:rsid w:val="00C82D30"/>
    <w:rsid w:val="00C83FB5"/>
    <w:rsid w:val="00C86B10"/>
    <w:rsid w:val="00C86C8B"/>
    <w:rsid w:val="00C872A9"/>
    <w:rsid w:val="00C93C3D"/>
    <w:rsid w:val="00C93F13"/>
    <w:rsid w:val="00C9413E"/>
    <w:rsid w:val="00CA0DE7"/>
    <w:rsid w:val="00CA4276"/>
    <w:rsid w:val="00CA5957"/>
    <w:rsid w:val="00CA66CD"/>
    <w:rsid w:val="00CA79E2"/>
    <w:rsid w:val="00CB0C67"/>
    <w:rsid w:val="00CB6261"/>
    <w:rsid w:val="00CB62FC"/>
    <w:rsid w:val="00CC0797"/>
    <w:rsid w:val="00CC6E7B"/>
    <w:rsid w:val="00CD05D4"/>
    <w:rsid w:val="00CD173C"/>
    <w:rsid w:val="00CD1A6A"/>
    <w:rsid w:val="00CD2AB8"/>
    <w:rsid w:val="00CD3053"/>
    <w:rsid w:val="00CD435A"/>
    <w:rsid w:val="00CD696E"/>
    <w:rsid w:val="00CD7FCD"/>
    <w:rsid w:val="00CE24EE"/>
    <w:rsid w:val="00CE4743"/>
    <w:rsid w:val="00CE733D"/>
    <w:rsid w:val="00CE7FE6"/>
    <w:rsid w:val="00CF208B"/>
    <w:rsid w:val="00CF35C6"/>
    <w:rsid w:val="00CF5279"/>
    <w:rsid w:val="00D03AE6"/>
    <w:rsid w:val="00D16420"/>
    <w:rsid w:val="00D16BA2"/>
    <w:rsid w:val="00D244CC"/>
    <w:rsid w:val="00D33F15"/>
    <w:rsid w:val="00D37B71"/>
    <w:rsid w:val="00D412E0"/>
    <w:rsid w:val="00D52D01"/>
    <w:rsid w:val="00D537F7"/>
    <w:rsid w:val="00D55411"/>
    <w:rsid w:val="00D55914"/>
    <w:rsid w:val="00D56EC4"/>
    <w:rsid w:val="00D61EBD"/>
    <w:rsid w:val="00D622B1"/>
    <w:rsid w:val="00D65479"/>
    <w:rsid w:val="00D676C0"/>
    <w:rsid w:val="00D720AD"/>
    <w:rsid w:val="00D72F6A"/>
    <w:rsid w:val="00D733EB"/>
    <w:rsid w:val="00D73919"/>
    <w:rsid w:val="00D74E6F"/>
    <w:rsid w:val="00D77D9D"/>
    <w:rsid w:val="00D841F0"/>
    <w:rsid w:val="00D84FDA"/>
    <w:rsid w:val="00D87139"/>
    <w:rsid w:val="00D90719"/>
    <w:rsid w:val="00D95784"/>
    <w:rsid w:val="00D9615F"/>
    <w:rsid w:val="00D97AE0"/>
    <w:rsid w:val="00DA2CD0"/>
    <w:rsid w:val="00DA4E2F"/>
    <w:rsid w:val="00DA7882"/>
    <w:rsid w:val="00DB3D89"/>
    <w:rsid w:val="00DB507A"/>
    <w:rsid w:val="00DC01E9"/>
    <w:rsid w:val="00DC0E30"/>
    <w:rsid w:val="00DC2AE9"/>
    <w:rsid w:val="00DC2BA3"/>
    <w:rsid w:val="00DC43CD"/>
    <w:rsid w:val="00DD1775"/>
    <w:rsid w:val="00DD75B3"/>
    <w:rsid w:val="00DE2667"/>
    <w:rsid w:val="00DE411A"/>
    <w:rsid w:val="00DE4789"/>
    <w:rsid w:val="00DE5199"/>
    <w:rsid w:val="00DE6ED3"/>
    <w:rsid w:val="00DF354A"/>
    <w:rsid w:val="00DF64F2"/>
    <w:rsid w:val="00DF70C6"/>
    <w:rsid w:val="00E04DB0"/>
    <w:rsid w:val="00E04F51"/>
    <w:rsid w:val="00E07F90"/>
    <w:rsid w:val="00E10646"/>
    <w:rsid w:val="00E1161B"/>
    <w:rsid w:val="00E11E1E"/>
    <w:rsid w:val="00E14226"/>
    <w:rsid w:val="00E233AA"/>
    <w:rsid w:val="00E24884"/>
    <w:rsid w:val="00E27A47"/>
    <w:rsid w:val="00E30CA4"/>
    <w:rsid w:val="00E311A4"/>
    <w:rsid w:val="00E331BF"/>
    <w:rsid w:val="00E342A4"/>
    <w:rsid w:val="00E34601"/>
    <w:rsid w:val="00E37E03"/>
    <w:rsid w:val="00E42A54"/>
    <w:rsid w:val="00E42DDF"/>
    <w:rsid w:val="00E452AE"/>
    <w:rsid w:val="00E47189"/>
    <w:rsid w:val="00E558AB"/>
    <w:rsid w:val="00E6030C"/>
    <w:rsid w:val="00E60363"/>
    <w:rsid w:val="00E61C9E"/>
    <w:rsid w:val="00E63EF3"/>
    <w:rsid w:val="00E71FCA"/>
    <w:rsid w:val="00E7629D"/>
    <w:rsid w:val="00E801E5"/>
    <w:rsid w:val="00E8719D"/>
    <w:rsid w:val="00E93E02"/>
    <w:rsid w:val="00EA11D3"/>
    <w:rsid w:val="00EB0B58"/>
    <w:rsid w:val="00EB35FC"/>
    <w:rsid w:val="00EB594F"/>
    <w:rsid w:val="00ED0284"/>
    <w:rsid w:val="00ED29DF"/>
    <w:rsid w:val="00ED54A0"/>
    <w:rsid w:val="00ED75E6"/>
    <w:rsid w:val="00ED7877"/>
    <w:rsid w:val="00EE17D1"/>
    <w:rsid w:val="00EF6CF8"/>
    <w:rsid w:val="00F0598E"/>
    <w:rsid w:val="00F06AA7"/>
    <w:rsid w:val="00F13453"/>
    <w:rsid w:val="00F23AC2"/>
    <w:rsid w:val="00F23EA5"/>
    <w:rsid w:val="00F25848"/>
    <w:rsid w:val="00F260DC"/>
    <w:rsid w:val="00F319AB"/>
    <w:rsid w:val="00F33282"/>
    <w:rsid w:val="00F33675"/>
    <w:rsid w:val="00F35496"/>
    <w:rsid w:val="00F36A00"/>
    <w:rsid w:val="00F36BE8"/>
    <w:rsid w:val="00F37A51"/>
    <w:rsid w:val="00F37D7B"/>
    <w:rsid w:val="00F435B5"/>
    <w:rsid w:val="00F45866"/>
    <w:rsid w:val="00F52D58"/>
    <w:rsid w:val="00F532E2"/>
    <w:rsid w:val="00F62E7D"/>
    <w:rsid w:val="00F6426B"/>
    <w:rsid w:val="00F64784"/>
    <w:rsid w:val="00F65F43"/>
    <w:rsid w:val="00F67CDC"/>
    <w:rsid w:val="00F7091F"/>
    <w:rsid w:val="00F70BFC"/>
    <w:rsid w:val="00F77CEC"/>
    <w:rsid w:val="00F82189"/>
    <w:rsid w:val="00F84535"/>
    <w:rsid w:val="00F84AC2"/>
    <w:rsid w:val="00F85A38"/>
    <w:rsid w:val="00F8747E"/>
    <w:rsid w:val="00F87CDD"/>
    <w:rsid w:val="00F91418"/>
    <w:rsid w:val="00F9576D"/>
    <w:rsid w:val="00FA1DA0"/>
    <w:rsid w:val="00FA58FF"/>
    <w:rsid w:val="00FB183F"/>
    <w:rsid w:val="00FB1EEB"/>
    <w:rsid w:val="00FB2E91"/>
    <w:rsid w:val="00FB39ED"/>
    <w:rsid w:val="00FB6905"/>
    <w:rsid w:val="00FC1470"/>
    <w:rsid w:val="00FD4B73"/>
    <w:rsid w:val="00FD6E73"/>
    <w:rsid w:val="00FD7D0D"/>
    <w:rsid w:val="00FE3451"/>
    <w:rsid w:val="00FE5D18"/>
    <w:rsid w:val="00FE5EAD"/>
    <w:rsid w:val="00FF010F"/>
    <w:rsid w:val="00FF1878"/>
    <w:rsid w:val="00FF2E3A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BB4C"/>
  <w15:docId w15:val="{C6CD8204-8998-4BEF-90DD-A0BCDFBA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customStyle="1" w:styleId="FDOT-Table1">
    <w:name w:val="FDOT-Table1"/>
    <w:basedOn w:val="TableNormal"/>
    <w:uiPriority w:val="99"/>
    <w:qFormat/>
    <w:rsid w:val="00277C5B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dTable1Light-Accent1">
    <w:name w:val="Grid Table 1 Light Accent 1"/>
    <w:basedOn w:val="TableNormal"/>
    <w:uiPriority w:val="46"/>
    <w:rsid w:val="00560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2.1-03%20Microwave%20Vehicle%20Detection%20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CA7456D42A4BAFA48BB4CEC18B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F533-0A7A-4027-8621-0BF65456487E}"/>
      </w:docPartPr>
      <w:docPartBody>
        <w:p w:rsidR="00DB0ECB" w:rsidRDefault="00DB0ECB">
          <w:pPr>
            <w:pStyle w:val="7ECA7456D42A4BAFA48BB4CEC18B4A67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CB"/>
    <w:rsid w:val="00022785"/>
    <w:rsid w:val="00102A9A"/>
    <w:rsid w:val="001467BC"/>
    <w:rsid w:val="00156E0F"/>
    <w:rsid w:val="001A342F"/>
    <w:rsid w:val="001D66F9"/>
    <w:rsid w:val="002719EE"/>
    <w:rsid w:val="00315DDE"/>
    <w:rsid w:val="00383AB2"/>
    <w:rsid w:val="00397323"/>
    <w:rsid w:val="003A01E0"/>
    <w:rsid w:val="003F57EF"/>
    <w:rsid w:val="004356A9"/>
    <w:rsid w:val="004714A6"/>
    <w:rsid w:val="004E634F"/>
    <w:rsid w:val="0055299C"/>
    <w:rsid w:val="00622833"/>
    <w:rsid w:val="00650C57"/>
    <w:rsid w:val="00675EB3"/>
    <w:rsid w:val="00683A9E"/>
    <w:rsid w:val="007C4D69"/>
    <w:rsid w:val="00800200"/>
    <w:rsid w:val="00804235"/>
    <w:rsid w:val="00826723"/>
    <w:rsid w:val="008310DF"/>
    <w:rsid w:val="008D1346"/>
    <w:rsid w:val="00944B60"/>
    <w:rsid w:val="00974073"/>
    <w:rsid w:val="00AD2C94"/>
    <w:rsid w:val="00B20F47"/>
    <w:rsid w:val="00B550D1"/>
    <w:rsid w:val="00B6105E"/>
    <w:rsid w:val="00C17650"/>
    <w:rsid w:val="00C60E3B"/>
    <w:rsid w:val="00CD05D4"/>
    <w:rsid w:val="00D106D0"/>
    <w:rsid w:val="00D244CC"/>
    <w:rsid w:val="00DB0ECB"/>
    <w:rsid w:val="00E7561D"/>
    <w:rsid w:val="00EA7087"/>
    <w:rsid w:val="00F2500A"/>
    <w:rsid w:val="00F855F6"/>
    <w:rsid w:val="00FB39ED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CA7456D42A4BAFA48BB4CEC18B4A67">
    <w:name w:val="7ECA7456D42A4BAFA48BB4CEC18B4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href="/teams/TrafficEngineeringResearchLab/Lists/Document%20Review%20History/AllItems.aspx?FilterField1=DocumentID&amp;amp;FilterValue1=5970"&gt;History&lt;/a&gt;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29D45B82-ECBB-496B-B048-CD1D28133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57C33-0E35-48EF-AEA2-D0A0BB40501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512BAB-338D-4349-B870-9D3A752C0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CM-995-2.1-03 Microwave Vehicle Detection System</Template>
  <TotalTime>1550</TotalTime>
  <Pages>5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185</cp:revision>
  <cp:lastPrinted>2013-02-27T18:28:00Z</cp:lastPrinted>
  <dcterms:created xsi:type="dcterms:W3CDTF">2023-10-11T14:29:00Z</dcterms:created>
  <dcterms:modified xsi:type="dcterms:W3CDTF">2025-12-23T16:31:00Z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71f4bc11-7eaf-4f02-a556-85aa4110a3a5,4;71f4bc11-7eaf-4f02-a556-85aa4110a3a5,8;71f4bc11-7eaf-4f02-a556-85aa4110a3a5,12;71f4bc11-7eaf-4f02-a556-85aa4110a3a5,12;71f4bc11-7eaf-4f02-a556-85aa4110a3a5,15;71f4bc11-7eaf-4f02-a556-85aa4110a3a5,19;71f4bc11-7eaf-4f0</vt:lpwstr>
  </property>
  <property fmtid="{D5CDD505-2E9C-101B-9397-08002B2CF9AE}" pid="5" name="Order">
    <vt:r8>73000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Reviewer 5">
    <vt:lpwstr/>
  </property>
  <property fmtid="{D5CDD505-2E9C-101B-9397-08002B2CF9AE}" pid="13" name="Workflow State">
    <vt:lpwstr>Not Running</vt:lpwstr>
  </property>
  <property fmtid="{D5CDD505-2E9C-101B-9397-08002B2CF9AE}" pid="14" name="Document Update Owner">
    <vt:lpwstr>20;#Morse, Carl</vt:lpwstr>
  </property>
  <property fmtid="{D5CDD505-2E9C-101B-9397-08002B2CF9AE}" pid="15" name="Reviewer 6">
    <vt:lpwstr/>
  </property>
  <property fmtid="{D5CDD505-2E9C-101B-9397-08002B2CF9AE}" pid="16" name="QCAP">
    <vt:lpwstr/>
  </property>
  <property fmtid="{D5CDD505-2E9C-101B-9397-08002B2CF9AE}" pid="17" name="Reviewer 4">
    <vt:lpwstr/>
  </property>
  <property fmtid="{D5CDD505-2E9C-101B-9397-08002B2CF9AE}" pid="18" name="Reviewer 7">
    <vt:lpwstr/>
  </property>
  <property fmtid="{D5CDD505-2E9C-101B-9397-08002B2CF9AE}" pid="19" name="Document Update Owner 2">
    <vt:lpwstr/>
  </property>
  <property fmtid="{D5CDD505-2E9C-101B-9397-08002B2CF9AE}" pid="20" name="Document Originator">
    <vt:lpwstr>1544;#Bremer, David</vt:lpwstr>
  </property>
  <property fmtid="{D5CDD505-2E9C-101B-9397-08002B2CF9AE}" pid="21" name="Reviewer 3">
    <vt:lpwstr/>
  </property>
  <property fmtid="{D5CDD505-2E9C-101B-9397-08002B2CF9AE}" pid="22" name="Final Approver">
    <vt:lpwstr>10;#DeWitt, Matthew</vt:lpwstr>
  </property>
  <property fmtid="{D5CDD505-2E9C-101B-9397-08002B2CF9AE}" pid="23" name="Reviewer 1">
    <vt:lpwstr>585;#Geitz, William</vt:lpwstr>
  </property>
  <property fmtid="{D5CDD505-2E9C-101B-9397-08002B2CF9AE}" pid="24" name="Reviewer 2">
    <vt:lpwstr>10;#DeWitt, Matthew</vt:lpwstr>
  </property>
  <property fmtid="{D5CDD505-2E9C-101B-9397-08002B2CF9AE}" pid="25" name="_ExtendedDescription">
    <vt:lpwstr/>
  </property>
  <property fmtid="{D5CDD505-2E9C-101B-9397-08002B2CF9AE}" pid="26" name="FHWA Date">
    <vt:filetime>2021-08-20T04:00:00Z</vt:filetime>
  </property>
  <property fmtid="{D5CDD505-2E9C-101B-9397-08002B2CF9AE}" pid="27" name="MediaServiceImageTags">
    <vt:lpwstr/>
  </property>
  <property fmtid="{D5CDD505-2E9C-101B-9397-08002B2CF9AE}" pid="28" name="MSIP_Label_9b1b62f4-cb9b-4766-8dff-64a7ed23e056_Enabled">
    <vt:lpwstr>true</vt:lpwstr>
  </property>
  <property fmtid="{D5CDD505-2E9C-101B-9397-08002B2CF9AE}" pid="29" name="MSIP_Label_9b1b62f4-cb9b-4766-8dff-64a7ed23e056_SetDate">
    <vt:lpwstr>2025-08-04T16:09:16Z</vt:lpwstr>
  </property>
  <property fmtid="{D5CDD505-2E9C-101B-9397-08002B2CF9AE}" pid="30" name="MSIP_Label_9b1b62f4-cb9b-4766-8dff-64a7ed23e056_Method">
    <vt:lpwstr>Standard</vt:lpwstr>
  </property>
  <property fmtid="{D5CDD505-2E9C-101B-9397-08002B2CF9AE}" pid="31" name="MSIP_Label_9b1b62f4-cb9b-4766-8dff-64a7ed23e056_Name">
    <vt:lpwstr>Public</vt:lpwstr>
  </property>
  <property fmtid="{D5CDD505-2E9C-101B-9397-08002B2CF9AE}" pid="32" name="MSIP_Label_9b1b62f4-cb9b-4766-8dff-64a7ed23e056_SiteId">
    <vt:lpwstr>db21de5d-bc9c-420c-8f3f-8f08f85b5ada</vt:lpwstr>
  </property>
  <property fmtid="{D5CDD505-2E9C-101B-9397-08002B2CF9AE}" pid="33" name="MSIP_Label_9b1b62f4-cb9b-4766-8dff-64a7ed23e056_ActionId">
    <vt:lpwstr>16eb56d5-c6d1-49a8-91b5-698c94ed3e97</vt:lpwstr>
  </property>
  <property fmtid="{D5CDD505-2E9C-101B-9397-08002B2CF9AE}" pid="34" name="MSIP_Label_9b1b62f4-cb9b-4766-8dff-64a7ed23e056_ContentBits">
    <vt:lpwstr>0</vt:lpwstr>
  </property>
  <property fmtid="{D5CDD505-2E9C-101B-9397-08002B2CF9AE}" pid="35" name="MSIP_Label_9b1b62f4-cb9b-4766-8dff-64a7ed23e056_Tag">
    <vt:lpwstr>10, 3, 0, 1</vt:lpwstr>
  </property>
</Properties>
</file>