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72543" w14:textId="77777777" w:rsidR="002077A2" w:rsidRDefault="004F6C3E">
      <w:pPr>
        <w:pStyle w:val="Heading1"/>
        <w:spacing w:before="92"/>
        <w:ind w:left="2799" w:right="2862" w:firstLine="6"/>
        <w:rPr>
          <w:u w:val="thick"/>
        </w:rPr>
      </w:pPr>
      <w:r>
        <w:rPr>
          <w:u w:val="none"/>
        </w:rPr>
        <w:t xml:space="preserve">Resolution No. </w:t>
      </w:r>
      <w:r>
        <w:rPr>
          <w:color w:val="0070C0"/>
          <w:u w:val="thick"/>
        </w:rPr>
        <w:t>12345-67</w:t>
      </w:r>
    </w:p>
    <w:p w14:paraId="085D5808" w14:textId="77777777" w:rsidR="006A207F" w:rsidRDefault="006A207F">
      <w:pPr>
        <w:pStyle w:val="BodyText"/>
        <w:rPr>
          <w:b/>
          <w:sz w:val="16"/>
        </w:rPr>
      </w:pPr>
    </w:p>
    <w:p w14:paraId="0006D279" w14:textId="6F9CC524" w:rsidR="006A207F" w:rsidRDefault="001D463C" w:rsidP="001D463C">
      <w:pPr>
        <w:pStyle w:val="BodyText"/>
        <w:tabs>
          <w:tab w:val="left" w:pos="6068"/>
          <w:tab w:val="left" w:pos="6676"/>
          <w:tab w:val="left" w:pos="8601"/>
        </w:tabs>
        <w:spacing w:before="92"/>
        <w:ind w:left="720" w:right="1008"/>
      </w:pPr>
      <w:r>
        <w:t xml:space="preserve">A Resolution of </w:t>
      </w:r>
      <w:r w:rsidRPr="001D463C">
        <w:rPr>
          <w:color w:val="0070C0"/>
        </w:rPr>
        <w:t xml:space="preserve">Smyth </w:t>
      </w:r>
      <w:r w:rsidR="004F6C3E" w:rsidRPr="001D463C">
        <w:rPr>
          <w:color w:val="0070C0"/>
        </w:rPr>
        <w:t>County</w:t>
      </w:r>
      <w:r w:rsidR="004F6C3E">
        <w:t xml:space="preserve">, Florida authorizing a transfer agreement with the Florida Department of Transportation for portions of State Road </w:t>
      </w:r>
      <w:r w:rsidR="004F6C3E" w:rsidRPr="001D463C">
        <w:rPr>
          <w:color w:val="0070C0"/>
        </w:rPr>
        <w:t>600</w:t>
      </w:r>
      <w:r w:rsidR="004F6C3E">
        <w:t xml:space="preserve"> and authorizing the </w:t>
      </w:r>
      <w:r w:rsidR="004F6C3E" w:rsidRPr="001D463C">
        <w:rPr>
          <w:color w:val="0070C0"/>
        </w:rPr>
        <w:t xml:space="preserve">local </w:t>
      </w:r>
      <w:r w:rsidR="000A10A4">
        <w:rPr>
          <w:color w:val="0070C0"/>
        </w:rPr>
        <w:t>entity</w:t>
      </w:r>
      <w:r w:rsidR="004F6C3E">
        <w:t xml:space="preserve"> to execute said agreement; providing for legi</w:t>
      </w:r>
      <w:r>
        <w:t xml:space="preserve">slative findings and intent </w:t>
      </w:r>
      <w:r w:rsidR="004F6C3E">
        <w:t>providing for a savings provision; providing for implementing actions; providing for conflicts; providing for severability and providing for an effective date.</w:t>
      </w:r>
    </w:p>
    <w:p w14:paraId="20C51BD7" w14:textId="77777777" w:rsidR="006A207F" w:rsidRDefault="006A207F">
      <w:pPr>
        <w:pStyle w:val="BodyText"/>
        <w:spacing w:before="9"/>
        <w:rPr>
          <w:b/>
          <w:sz w:val="23"/>
        </w:rPr>
      </w:pPr>
    </w:p>
    <w:p w14:paraId="44C9BD35" w14:textId="5C7BB3C4" w:rsidR="006A207F" w:rsidRDefault="00B74C76">
      <w:pPr>
        <w:pStyle w:val="BodyText"/>
        <w:spacing w:before="1"/>
        <w:ind w:left="240" w:right="298"/>
      </w:pPr>
      <w:r>
        <w:rPr>
          <w:b/>
        </w:rPr>
        <w:t>WHEREAS</w:t>
      </w:r>
      <w:r w:rsidR="001D463C" w:rsidRPr="00524662">
        <w:rPr>
          <w:b/>
        </w:rPr>
        <w:t>,</w:t>
      </w:r>
      <w:r w:rsidR="001D463C">
        <w:t xml:space="preserve"> the Florida Department of Transportation (referred to as “FDOT” or the “Department”) owns certain righ</w:t>
      </w:r>
      <w:r w:rsidR="00846CC6">
        <w:t xml:space="preserve">t-of-way located within </w:t>
      </w:r>
      <w:r w:rsidR="001D463C" w:rsidRPr="00846CC6">
        <w:rPr>
          <w:color w:val="0070C0"/>
        </w:rPr>
        <w:t>Smyth County</w:t>
      </w:r>
      <w:r w:rsidR="001D463C">
        <w:t xml:space="preserve"> known as State Road </w:t>
      </w:r>
      <w:r w:rsidR="001D463C" w:rsidRPr="00846CC6">
        <w:rPr>
          <w:color w:val="0070C0"/>
        </w:rPr>
        <w:t>600</w:t>
      </w:r>
      <w:r w:rsidR="001D463C">
        <w:t xml:space="preserve"> (FDOT Roadway ID </w:t>
      </w:r>
      <w:r w:rsidR="001D463C" w:rsidRPr="00846CC6">
        <w:rPr>
          <w:color w:val="0070C0"/>
        </w:rPr>
        <w:t>77-010-000</w:t>
      </w:r>
      <w:r w:rsidR="001D463C">
        <w:t xml:space="preserve">) from milepoint </w:t>
      </w:r>
      <w:r w:rsidR="00846CC6" w:rsidRPr="00846CC6">
        <w:rPr>
          <w:color w:val="0070C0"/>
        </w:rPr>
        <w:t>0</w:t>
      </w:r>
      <w:r w:rsidR="001D463C" w:rsidRPr="00846CC6">
        <w:rPr>
          <w:color w:val="0070C0"/>
        </w:rPr>
        <w:t>.</w:t>
      </w:r>
      <w:r w:rsidR="00846CC6" w:rsidRPr="00846CC6">
        <w:rPr>
          <w:color w:val="0070C0"/>
        </w:rPr>
        <w:t>000</w:t>
      </w:r>
      <w:r w:rsidR="00846CC6">
        <w:t xml:space="preserve"> to milepoint </w:t>
      </w:r>
      <w:r w:rsidR="00846CC6" w:rsidRPr="00846CC6">
        <w:rPr>
          <w:color w:val="0070C0"/>
        </w:rPr>
        <w:t>13.359</w:t>
      </w:r>
      <w:r w:rsidR="00846CC6">
        <w:t xml:space="preserve"> (“State Se</w:t>
      </w:r>
      <w:r w:rsidR="00AA5574">
        <w:t>ction</w:t>
      </w:r>
      <w:r w:rsidR="00846CC6">
        <w:t>”); and</w:t>
      </w:r>
    </w:p>
    <w:p w14:paraId="0A6C60EA" w14:textId="77777777" w:rsidR="006A207F" w:rsidRDefault="006A207F">
      <w:pPr>
        <w:pStyle w:val="BodyText"/>
        <w:spacing w:before="2"/>
      </w:pPr>
    </w:p>
    <w:p w14:paraId="7ACEAF7F" w14:textId="78E21C5B" w:rsidR="006A207F" w:rsidRDefault="00846CC6">
      <w:pPr>
        <w:pStyle w:val="BodyText"/>
        <w:ind w:left="240" w:right="371"/>
      </w:pPr>
      <w:r>
        <w:rPr>
          <w:b/>
        </w:rPr>
        <w:t>WHEREAS</w:t>
      </w:r>
      <w:r w:rsidR="00B74C76">
        <w:rPr>
          <w:b/>
        </w:rPr>
        <w:t xml:space="preserve">, </w:t>
      </w:r>
      <w:r>
        <w:t>the term</w:t>
      </w:r>
      <w:r w:rsidR="00B74C76">
        <w:t xml:space="preserve"> </w:t>
      </w:r>
      <w:r>
        <w:t>“State Se</w:t>
      </w:r>
      <w:r w:rsidR="00AA5574">
        <w:t>ction</w:t>
      </w:r>
      <w:r>
        <w:t>” shall include the actual roadbed together with all bridges, curbs, culverts, drainage structures, sidewalks, bike paths, and other improvements located within the designated right-of-way; and</w:t>
      </w:r>
    </w:p>
    <w:p w14:paraId="662F87B5" w14:textId="77777777" w:rsidR="006A207F" w:rsidRDefault="006A207F">
      <w:pPr>
        <w:pStyle w:val="BodyText"/>
        <w:spacing w:before="1"/>
      </w:pPr>
    </w:p>
    <w:p w14:paraId="48760C3C" w14:textId="49A4F1B8" w:rsidR="006A207F" w:rsidRDefault="00524662">
      <w:pPr>
        <w:pStyle w:val="BodyText"/>
        <w:spacing w:before="1"/>
        <w:ind w:left="240" w:right="475"/>
      </w:pPr>
      <w:r w:rsidRPr="00524662">
        <w:rPr>
          <w:b/>
        </w:rPr>
        <w:t>WHEREAS</w:t>
      </w:r>
      <w:r>
        <w:rPr>
          <w:b/>
        </w:rPr>
        <w:t>,</w:t>
      </w:r>
      <w:r>
        <w:t xml:space="preserve"> </w:t>
      </w:r>
      <w:r w:rsidRPr="00524662">
        <w:rPr>
          <w:color w:val="0070C0"/>
        </w:rPr>
        <w:t>Smyth County</w:t>
      </w:r>
      <w:r>
        <w:t xml:space="preserve"> requests that the Department transfer the State Se</w:t>
      </w:r>
      <w:r w:rsidR="00AA5574">
        <w:t>ction</w:t>
      </w:r>
      <w:r>
        <w:t xml:space="preserve"> from the State Highway System to the </w:t>
      </w:r>
      <w:r w:rsidRPr="00524662">
        <w:rPr>
          <w:color w:val="0070C0"/>
        </w:rPr>
        <w:t>Smyth County</w:t>
      </w:r>
      <w:r>
        <w:t xml:space="preserve"> Road System; and</w:t>
      </w:r>
    </w:p>
    <w:p w14:paraId="73C03FB2" w14:textId="77777777" w:rsidR="00524662" w:rsidRDefault="00524662">
      <w:pPr>
        <w:pStyle w:val="BodyText"/>
        <w:spacing w:before="1"/>
        <w:ind w:left="240" w:right="475"/>
      </w:pPr>
    </w:p>
    <w:p w14:paraId="31589111" w14:textId="77777777" w:rsidR="00524662" w:rsidRDefault="00524662" w:rsidP="00524662">
      <w:pPr>
        <w:pStyle w:val="BodyText"/>
        <w:spacing w:before="1"/>
        <w:ind w:left="240" w:right="475"/>
      </w:pPr>
      <w:r w:rsidRPr="00524662">
        <w:rPr>
          <w:b/>
        </w:rPr>
        <w:t>WHEREAS</w:t>
      </w:r>
      <w:r>
        <w:rPr>
          <w:b/>
        </w:rPr>
        <w:t>,</w:t>
      </w:r>
      <w:r>
        <w:t xml:space="preserve"> based on the obligations set forth herein and a consideration of the criteria set forth in Section 335.0415, Florida Statutes, the Department and </w:t>
      </w:r>
      <w:r w:rsidRPr="00524662">
        <w:rPr>
          <w:color w:val="0070C0"/>
        </w:rPr>
        <w:t>County</w:t>
      </w:r>
      <w:r>
        <w:t xml:space="preserve"> are amenable to the requested transfer; and</w:t>
      </w:r>
    </w:p>
    <w:p w14:paraId="2DC20754" w14:textId="77777777" w:rsidR="00524662" w:rsidRDefault="00524662" w:rsidP="00524662">
      <w:pPr>
        <w:pStyle w:val="BodyText"/>
        <w:spacing w:before="1"/>
        <w:ind w:left="240" w:right="475"/>
      </w:pPr>
    </w:p>
    <w:p w14:paraId="079FE64E" w14:textId="77777777" w:rsidR="00524662" w:rsidRDefault="00524662" w:rsidP="00524662">
      <w:pPr>
        <w:pStyle w:val="BodyText"/>
        <w:spacing w:before="1"/>
        <w:ind w:left="240" w:right="475"/>
        <w:rPr>
          <w:b/>
        </w:rPr>
      </w:pPr>
      <w:r>
        <w:rPr>
          <w:b/>
        </w:rPr>
        <w:t xml:space="preserve">Now, therefore, be it adopted and resolved by the </w:t>
      </w:r>
      <w:r w:rsidRPr="00524662">
        <w:rPr>
          <w:b/>
          <w:color w:val="0070C0"/>
        </w:rPr>
        <w:t>County</w:t>
      </w:r>
      <w:r>
        <w:rPr>
          <w:b/>
        </w:rPr>
        <w:t xml:space="preserve"> Commission of </w:t>
      </w:r>
      <w:r w:rsidRPr="00524662">
        <w:rPr>
          <w:b/>
          <w:color w:val="0070C0"/>
        </w:rPr>
        <w:t>Smyth</w:t>
      </w:r>
      <w:r>
        <w:rPr>
          <w:b/>
        </w:rPr>
        <w:t xml:space="preserve"> County, Florida as follows:</w:t>
      </w:r>
    </w:p>
    <w:p w14:paraId="1C52E813" w14:textId="77777777" w:rsidR="00524662" w:rsidRDefault="00524662" w:rsidP="00524662">
      <w:pPr>
        <w:pStyle w:val="BodyText"/>
        <w:spacing w:before="1"/>
        <w:ind w:left="240" w:right="475"/>
        <w:rPr>
          <w:b/>
        </w:rPr>
      </w:pPr>
    </w:p>
    <w:p w14:paraId="339DDB0C" w14:textId="77777777" w:rsidR="00524662" w:rsidRDefault="00524662" w:rsidP="00AE0D4C">
      <w:pPr>
        <w:pStyle w:val="BodyText"/>
        <w:spacing w:before="1"/>
        <w:ind w:left="720" w:right="475"/>
      </w:pPr>
      <w:r>
        <w:rPr>
          <w:b/>
        </w:rPr>
        <w:t>Section 1. Legislative findings and intent.</w:t>
      </w:r>
    </w:p>
    <w:p w14:paraId="49E93366" w14:textId="77777777" w:rsidR="006A207F" w:rsidRDefault="006A207F">
      <w:pPr>
        <w:pStyle w:val="BodyText"/>
        <w:spacing w:before="9"/>
        <w:rPr>
          <w:sz w:val="23"/>
        </w:rPr>
      </w:pPr>
    </w:p>
    <w:p w14:paraId="1265BA4E" w14:textId="77777777" w:rsidR="006A207F" w:rsidRDefault="001E195D" w:rsidP="00AE0D4C">
      <w:pPr>
        <w:pStyle w:val="ListParagraph"/>
        <w:numPr>
          <w:ilvl w:val="0"/>
          <w:numId w:val="1"/>
        </w:numPr>
        <w:tabs>
          <w:tab w:val="left" w:pos="601"/>
        </w:tabs>
        <w:ind w:left="1080"/>
        <w:jc w:val="left"/>
        <w:rPr>
          <w:sz w:val="24"/>
        </w:rPr>
      </w:pPr>
      <w:r>
        <w:rPr>
          <w:sz w:val="24"/>
        </w:rPr>
        <w:t xml:space="preserve">The </w:t>
      </w:r>
      <w:r w:rsidRPr="001E195D">
        <w:rPr>
          <w:color w:val="0070C0"/>
          <w:sz w:val="24"/>
        </w:rPr>
        <w:t>County</w:t>
      </w:r>
      <w:r>
        <w:rPr>
          <w:sz w:val="24"/>
        </w:rPr>
        <w:t xml:space="preserve"> Commission of </w:t>
      </w:r>
      <w:r w:rsidRPr="001E195D">
        <w:rPr>
          <w:color w:val="0070C0"/>
          <w:sz w:val="24"/>
        </w:rPr>
        <w:t>Smyth County</w:t>
      </w:r>
      <w:r>
        <w:rPr>
          <w:sz w:val="24"/>
        </w:rPr>
        <w:t xml:space="preserve"> hereby adopts and incorporates into this Resolution the recitals (whereas clauses) to this Resolution.</w:t>
      </w:r>
    </w:p>
    <w:p w14:paraId="63A90B8A" w14:textId="77777777" w:rsidR="002C4730" w:rsidRDefault="002C4730" w:rsidP="002C4730">
      <w:pPr>
        <w:pStyle w:val="ListParagraph"/>
        <w:tabs>
          <w:tab w:val="left" w:pos="601"/>
        </w:tabs>
        <w:ind w:left="600" w:firstLine="0"/>
        <w:jc w:val="right"/>
        <w:rPr>
          <w:sz w:val="24"/>
        </w:rPr>
      </w:pPr>
    </w:p>
    <w:p w14:paraId="672C98BA" w14:textId="77777777" w:rsidR="006A207F" w:rsidRDefault="001E195D" w:rsidP="00AE0D4C">
      <w:pPr>
        <w:pStyle w:val="ListParagraph"/>
        <w:numPr>
          <w:ilvl w:val="0"/>
          <w:numId w:val="1"/>
        </w:numPr>
        <w:tabs>
          <w:tab w:val="left" w:pos="601"/>
        </w:tabs>
        <w:spacing w:line="242" w:lineRule="auto"/>
        <w:ind w:left="1080" w:right="536"/>
        <w:jc w:val="left"/>
        <w:rPr>
          <w:sz w:val="24"/>
        </w:rPr>
      </w:pPr>
      <w:r>
        <w:rPr>
          <w:sz w:val="24"/>
        </w:rPr>
        <w:t>Although</w:t>
      </w:r>
      <w:r w:rsidR="00B74C76">
        <w:rPr>
          <w:sz w:val="24"/>
        </w:rPr>
        <w:t xml:space="preserve"> </w:t>
      </w:r>
      <w:r>
        <w:rPr>
          <w:sz w:val="24"/>
        </w:rPr>
        <w:t xml:space="preserve">not a land development regulation, this Resolution is consistent with the goals, objectives and policies of the </w:t>
      </w:r>
      <w:r w:rsidRPr="001E195D">
        <w:rPr>
          <w:color w:val="0070C0"/>
          <w:sz w:val="24"/>
        </w:rPr>
        <w:t>Comprehensive Plan of Smyth County</w:t>
      </w:r>
      <w:r w:rsidR="00B74C76">
        <w:rPr>
          <w:sz w:val="24"/>
        </w:rPr>
        <w:t>.</w:t>
      </w:r>
    </w:p>
    <w:p w14:paraId="34EC117B" w14:textId="77777777" w:rsidR="002C4730" w:rsidRPr="002C4730" w:rsidRDefault="002C4730" w:rsidP="002C4730">
      <w:pPr>
        <w:tabs>
          <w:tab w:val="left" w:pos="601"/>
        </w:tabs>
        <w:spacing w:line="242" w:lineRule="auto"/>
        <w:ind w:right="536"/>
        <w:rPr>
          <w:sz w:val="24"/>
        </w:rPr>
      </w:pPr>
    </w:p>
    <w:p w14:paraId="5F676377" w14:textId="77777777" w:rsidR="006A207F" w:rsidRPr="00B66CFD" w:rsidRDefault="00B66CFD" w:rsidP="00AE0D4C">
      <w:pPr>
        <w:pStyle w:val="ListParagraph"/>
        <w:numPr>
          <w:ilvl w:val="0"/>
          <w:numId w:val="1"/>
        </w:numPr>
        <w:tabs>
          <w:tab w:val="left" w:pos="601"/>
        </w:tabs>
        <w:spacing w:line="242" w:lineRule="auto"/>
        <w:ind w:left="1080" w:right="1041"/>
        <w:jc w:val="left"/>
        <w:rPr>
          <w:b/>
          <w:i/>
          <w:sz w:val="24"/>
        </w:rPr>
      </w:pPr>
      <w:r w:rsidRPr="00B66CFD">
        <w:rPr>
          <w:color w:val="0070C0"/>
          <w:sz w:val="24"/>
        </w:rPr>
        <w:t>Smyth County</w:t>
      </w:r>
      <w:r>
        <w:rPr>
          <w:sz w:val="24"/>
        </w:rPr>
        <w:t xml:space="preserve"> has complied with all requirements and procedures of Florida law in processing and advertising this Resolution.</w:t>
      </w:r>
    </w:p>
    <w:p w14:paraId="1C5FA686" w14:textId="77777777" w:rsidR="00B66CFD" w:rsidRPr="00B66CFD" w:rsidRDefault="00B66CFD" w:rsidP="00B66CFD">
      <w:pPr>
        <w:pStyle w:val="ListParagraph"/>
        <w:rPr>
          <w:b/>
          <w:i/>
          <w:sz w:val="24"/>
        </w:rPr>
      </w:pPr>
    </w:p>
    <w:p w14:paraId="1C841170" w14:textId="77777777" w:rsidR="00B66CFD" w:rsidRDefault="00B66CFD" w:rsidP="00AE0D4C">
      <w:pPr>
        <w:pStyle w:val="BodyText"/>
        <w:spacing w:before="1"/>
        <w:ind w:left="720" w:right="475"/>
      </w:pPr>
      <w:r>
        <w:rPr>
          <w:b/>
        </w:rPr>
        <w:t xml:space="preserve">Section 2. Jurisdiction of State Road </w:t>
      </w:r>
      <w:r w:rsidRPr="00B66CFD">
        <w:rPr>
          <w:b/>
          <w:color w:val="0070C0"/>
        </w:rPr>
        <w:t>600</w:t>
      </w:r>
      <w:r>
        <w:rPr>
          <w:b/>
        </w:rPr>
        <w:t xml:space="preserve"> (FDOT Roadway ID </w:t>
      </w:r>
      <w:r w:rsidRPr="00B66CFD">
        <w:rPr>
          <w:b/>
          <w:color w:val="0070C0"/>
        </w:rPr>
        <w:t>77-010-000</w:t>
      </w:r>
      <w:r>
        <w:rPr>
          <w:b/>
        </w:rPr>
        <w:t>); transfer.</w:t>
      </w:r>
    </w:p>
    <w:p w14:paraId="119DB65B" w14:textId="77777777" w:rsidR="00B66CFD" w:rsidRDefault="00B66CFD" w:rsidP="00B66CFD">
      <w:pPr>
        <w:pStyle w:val="BodyText"/>
        <w:spacing w:before="9"/>
        <w:rPr>
          <w:sz w:val="23"/>
        </w:rPr>
      </w:pPr>
    </w:p>
    <w:p w14:paraId="6A696B2B" w14:textId="77777777" w:rsidR="00B66CFD" w:rsidRDefault="00B66CFD" w:rsidP="00AE0D4C">
      <w:pPr>
        <w:pStyle w:val="ListParagraph"/>
        <w:numPr>
          <w:ilvl w:val="0"/>
          <w:numId w:val="2"/>
        </w:numPr>
        <w:tabs>
          <w:tab w:val="left" w:pos="601"/>
        </w:tabs>
        <w:ind w:left="1080"/>
        <w:rPr>
          <w:sz w:val="24"/>
        </w:rPr>
      </w:pPr>
      <w:r w:rsidRPr="00B66CFD">
        <w:rPr>
          <w:color w:val="0070C0"/>
          <w:sz w:val="24"/>
        </w:rPr>
        <w:t>Smyth County</w:t>
      </w:r>
      <w:r w:rsidRPr="00B66CFD">
        <w:rPr>
          <w:color w:val="000000" w:themeColor="text1"/>
          <w:sz w:val="24"/>
        </w:rPr>
        <w:t xml:space="preserve"> requests that jurisdiction of State Road </w:t>
      </w:r>
      <w:r w:rsidRPr="00B66CFD">
        <w:rPr>
          <w:color w:val="0070C0"/>
          <w:sz w:val="24"/>
        </w:rPr>
        <w:t>600</w:t>
      </w:r>
      <w:r w:rsidRPr="00B66CFD">
        <w:rPr>
          <w:color w:val="000000" w:themeColor="text1"/>
          <w:sz w:val="24"/>
        </w:rPr>
        <w:t xml:space="preserve"> (FDOT Roadway ID </w:t>
      </w:r>
      <w:r w:rsidRPr="00B66CFD">
        <w:rPr>
          <w:color w:val="0070C0"/>
          <w:sz w:val="24"/>
        </w:rPr>
        <w:t>77-010-000</w:t>
      </w:r>
      <w:r w:rsidRPr="00B66CFD">
        <w:rPr>
          <w:color w:val="000000" w:themeColor="text1"/>
          <w:sz w:val="24"/>
        </w:rPr>
        <w:t xml:space="preserve">) from milepoint </w:t>
      </w:r>
      <w:r w:rsidRPr="00B66CFD">
        <w:rPr>
          <w:color w:val="0070C0"/>
          <w:sz w:val="24"/>
        </w:rPr>
        <w:t>0.000</w:t>
      </w:r>
      <w:r w:rsidRPr="00B66CFD">
        <w:rPr>
          <w:color w:val="000000" w:themeColor="text1"/>
          <w:sz w:val="24"/>
        </w:rPr>
        <w:t xml:space="preserve"> to </w:t>
      </w:r>
      <w:r w:rsidRPr="00B66CFD">
        <w:rPr>
          <w:color w:val="0070C0"/>
          <w:sz w:val="24"/>
        </w:rPr>
        <w:t>13.359</w:t>
      </w:r>
      <w:r w:rsidRPr="00B66CFD">
        <w:rPr>
          <w:color w:val="000000" w:themeColor="text1"/>
          <w:sz w:val="24"/>
        </w:rPr>
        <w:t xml:space="preserve"> be transferred from the State of Florida to </w:t>
      </w:r>
      <w:r w:rsidRPr="00B66CFD">
        <w:rPr>
          <w:color w:val="0070C0"/>
          <w:sz w:val="24"/>
        </w:rPr>
        <w:t>Smyth County</w:t>
      </w:r>
      <w:r w:rsidRPr="00B66CFD">
        <w:rPr>
          <w:sz w:val="24"/>
        </w:rPr>
        <w:t>.</w:t>
      </w:r>
    </w:p>
    <w:p w14:paraId="69412D9B" w14:textId="77777777" w:rsidR="00B66CFD" w:rsidRDefault="00B66CFD" w:rsidP="00B66CFD">
      <w:pPr>
        <w:pStyle w:val="ListParagraph"/>
        <w:tabs>
          <w:tab w:val="left" w:pos="601"/>
        </w:tabs>
        <w:ind w:left="605" w:firstLine="0"/>
        <w:rPr>
          <w:sz w:val="24"/>
        </w:rPr>
      </w:pPr>
    </w:p>
    <w:p w14:paraId="047F7D1C" w14:textId="77777777" w:rsidR="00B66CFD" w:rsidRDefault="00B66CFD" w:rsidP="00AE0D4C">
      <w:pPr>
        <w:pStyle w:val="ListParagraph"/>
        <w:numPr>
          <w:ilvl w:val="0"/>
          <w:numId w:val="2"/>
        </w:numPr>
        <w:tabs>
          <w:tab w:val="left" w:pos="601"/>
        </w:tabs>
        <w:ind w:left="1080"/>
        <w:rPr>
          <w:sz w:val="24"/>
        </w:rPr>
      </w:pPr>
      <w:r>
        <w:rPr>
          <w:sz w:val="24"/>
        </w:rPr>
        <w:t xml:space="preserve">The </w:t>
      </w:r>
      <w:r w:rsidRPr="00B66CFD">
        <w:rPr>
          <w:color w:val="0070C0"/>
          <w:sz w:val="24"/>
        </w:rPr>
        <w:t>County</w:t>
      </w:r>
      <w:r>
        <w:rPr>
          <w:sz w:val="24"/>
        </w:rPr>
        <w:t xml:space="preserve"> authorizes the execution of the Transfer Agreement and recognizes and accepts the terms and conditions found therein.</w:t>
      </w:r>
    </w:p>
    <w:p w14:paraId="29EF60EF" w14:textId="77777777" w:rsidR="00B66CFD" w:rsidRPr="00B66CFD" w:rsidRDefault="00B66CFD" w:rsidP="00B66CFD">
      <w:pPr>
        <w:pStyle w:val="ListParagraph"/>
        <w:rPr>
          <w:sz w:val="24"/>
        </w:rPr>
      </w:pPr>
    </w:p>
    <w:p w14:paraId="5F66686B" w14:textId="77777777" w:rsidR="00B66CFD" w:rsidRDefault="00B66CFD" w:rsidP="00AE0D4C">
      <w:pPr>
        <w:pStyle w:val="ListParagraph"/>
        <w:numPr>
          <w:ilvl w:val="0"/>
          <w:numId w:val="2"/>
        </w:numPr>
        <w:tabs>
          <w:tab w:val="left" w:pos="601"/>
        </w:tabs>
        <w:ind w:left="1080"/>
        <w:rPr>
          <w:sz w:val="24"/>
        </w:rPr>
      </w:pPr>
      <w:r>
        <w:rPr>
          <w:sz w:val="24"/>
        </w:rPr>
        <w:t xml:space="preserve">The </w:t>
      </w:r>
      <w:r w:rsidRPr="00B66CFD">
        <w:rPr>
          <w:color w:val="0070C0"/>
          <w:sz w:val="24"/>
        </w:rPr>
        <w:t>County</w:t>
      </w:r>
      <w:r>
        <w:rPr>
          <w:sz w:val="24"/>
        </w:rPr>
        <w:t xml:space="preserve"> authorizes </w:t>
      </w:r>
      <w:r w:rsidRPr="00B66CFD">
        <w:rPr>
          <w:color w:val="0070C0"/>
          <w:sz w:val="24"/>
        </w:rPr>
        <w:t>John Doe</w:t>
      </w:r>
      <w:r>
        <w:rPr>
          <w:sz w:val="24"/>
        </w:rPr>
        <w:t xml:space="preserve">, </w:t>
      </w:r>
      <w:r w:rsidRPr="00B66CFD">
        <w:rPr>
          <w:color w:val="0070C0"/>
          <w:sz w:val="24"/>
        </w:rPr>
        <w:t>County Official</w:t>
      </w:r>
      <w:r>
        <w:rPr>
          <w:sz w:val="24"/>
        </w:rPr>
        <w:t xml:space="preserve">, to execute the Transfer </w:t>
      </w:r>
      <w:r>
        <w:rPr>
          <w:sz w:val="24"/>
        </w:rPr>
        <w:lastRenderedPageBreak/>
        <w:t>Agreement.</w:t>
      </w:r>
    </w:p>
    <w:p w14:paraId="76C0C887" w14:textId="77777777" w:rsidR="00FB01AD" w:rsidRPr="00FB01AD" w:rsidRDefault="00FB01AD" w:rsidP="00FB01AD">
      <w:pPr>
        <w:pStyle w:val="ListParagraph"/>
        <w:rPr>
          <w:sz w:val="24"/>
        </w:rPr>
      </w:pPr>
    </w:p>
    <w:p w14:paraId="5CD9E651" w14:textId="77777777" w:rsidR="00FB01AD" w:rsidRDefault="00FB01AD" w:rsidP="00AE0D4C">
      <w:pPr>
        <w:pStyle w:val="BodyText"/>
        <w:spacing w:before="1"/>
        <w:ind w:left="720" w:right="475"/>
      </w:pPr>
      <w:r>
        <w:rPr>
          <w:b/>
        </w:rPr>
        <w:t>Section 3. Future Implementing Actions.</w:t>
      </w:r>
    </w:p>
    <w:p w14:paraId="2E659442" w14:textId="77777777" w:rsidR="00FB01AD" w:rsidRDefault="00FB01AD" w:rsidP="00FB01AD">
      <w:pPr>
        <w:pStyle w:val="BodyText"/>
        <w:spacing w:before="9"/>
        <w:rPr>
          <w:sz w:val="23"/>
        </w:rPr>
      </w:pPr>
    </w:p>
    <w:p w14:paraId="09F571DC" w14:textId="77777777" w:rsidR="00FB01AD" w:rsidRDefault="00FB01AD" w:rsidP="00AE0D4C">
      <w:pPr>
        <w:pStyle w:val="ListParagraph"/>
        <w:numPr>
          <w:ilvl w:val="0"/>
          <w:numId w:val="3"/>
        </w:numPr>
        <w:tabs>
          <w:tab w:val="left" w:pos="601"/>
        </w:tabs>
        <w:ind w:left="1080"/>
        <w:rPr>
          <w:sz w:val="24"/>
        </w:rPr>
      </w:pPr>
      <w:r w:rsidRPr="00FB01AD">
        <w:rPr>
          <w:color w:val="000000" w:themeColor="text1"/>
          <w:sz w:val="24"/>
        </w:rPr>
        <w:t xml:space="preserve">The </w:t>
      </w:r>
      <w:r w:rsidRPr="00FB01AD">
        <w:rPr>
          <w:color w:val="0070C0"/>
          <w:sz w:val="24"/>
        </w:rPr>
        <w:t>County Manager</w:t>
      </w:r>
      <w:r w:rsidRPr="00FB01AD">
        <w:rPr>
          <w:color w:val="000000" w:themeColor="text1"/>
          <w:sz w:val="24"/>
        </w:rPr>
        <w:t>, or designee, is assigned the responsibility to take any and all necessary administrative actions that may be desirable or necessary to implement the provisions of this Resolution</w:t>
      </w:r>
      <w:r w:rsidRPr="00B66CFD">
        <w:rPr>
          <w:sz w:val="24"/>
        </w:rPr>
        <w:t>.</w:t>
      </w:r>
    </w:p>
    <w:p w14:paraId="281DBC25" w14:textId="77777777" w:rsidR="00FB01AD" w:rsidRDefault="00FB01AD" w:rsidP="00FB01AD">
      <w:pPr>
        <w:pStyle w:val="ListParagraph"/>
        <w:tabs>
          <w:tab w:val="left" w:pos="601"/>
        </w:tabs>
        <w:ind w:left="605" w:firstLine="0"/>
        <w:rPr>
          <w:sz w:val="24"/>
        </w:rPr>
      </w:pPr>
    </w:p>
    <w:p w14:paraId="17C7AC43" w14:textId="77777777" w:rsidR="00FB01AD" w:rsidRDefault="00FB01AD" w:rsidP="00AE0D4C">
      <w:pPr>
        <w:pStyle w:val="ListParagraph"/>
        <w:numPr>
          <w:ilvl w:val="0"/>
          <w:numId w:val="3"/>
        </w:numPr>
        <w:tabs>
          <w:tab w:val="left" w:pos="601"/>
        </w:tabs>
        <w:ind w:left="1080"/>
        <w:rPr>
          <w:sz w:val="24"/>
        </w:rPr>
      </w:pPr>
      <w:r>
        <w:rPr>
          <w:sz w:val="24"/>
        </w:rPr>
        <w:t xml:space="preserve">The </w:t>
      </w:r>
      <w:r w:rsidRPr="00B66CFD">
        <w:rPr>
          <w:color w:val="0070C0"/>
          <w:sz w:val="24"/>
        </w:rPr>
        <w:t>County</w:t>
      </w:r>
      <w:r>
        <w:rPr>
          <w:sz w:val="24"/>
        </w:rPr>
        <w:t xml:space="preserve"> attorney is instructed to assist the </w:t>
      </w:r>
      <w:r w:rsidRPr="00FB01AD">
        <w:rPr>
          <w:color w:val="0070C0"/>
          <w:sz w:val="24"/>
        </w:rPr>
        <w:t>County Manager</w:t>
      </w:r>
      <w:r>
        <w:rPr>
          <w:sz w:val="24"/>
        </w:rPr>
        <w:t xml:space="preserve"> in the implementation of this Resolution.</w:t>
      </w:r>
    </w:p>
    <w:p w14:paraId="6228517E" w14:textId="77777777" w:rsidR="00FB01AD" w:rsidRDefault="00FB01AD" w:rsidP="00FB01AD">
      <w:pPr>
        <w:tabs>
          <w:tab w:val="left" w:pos="601"/>
        </w:tabs>
        <w:rPr>
          <w:sz w:val="24"/>
        </w:rPr>
      </w:pPr>
    </w:p>
    <w:p w14:paraId="3FCB2FBB" w14:textId="77777777" w:rsidR="00FB01AD" w:rsidRDefault="00FB01AD" w:rsidP="00AE0D4C">
      <w:pPr>
        <w:pStyle w:val="BodyText"/>
        <w:spacing w:before="1"/>
        <w:ind w:left="720" w:right="475"/>
      </w:pPr>
      <w:r>
        <w:rPr>
          <w:b/>
        </w:rPr>
        <w:t xml:space="preserve">Section </w:t>
      </w:r>
      <w:r w:rsidR="00944188">
        <w:rPr>
          <w:b/>
        </w:rPr>
        <w:t>4</w:t>
      </w:r>
      <w:r>
        <w:rPr>
          <w:b/>
        </w:rPr>
        <w:t xml:space="preserve">. </w:t>
      </w:r>
      <w:r w:rsidR="00944188">
        <w:rPr>
          <w:b/>
        </w:rPr>
        <w:t>Conflicts</w:t>
      </w:r>
      <w:r>
        <w:rPr>
          <w:b/>
        </w:rPr>
        <w:t>.</w:t>
      </w:r>
    </w:p>
    <w:p w14:paraId="70F2F46B" w14:textId="77777777" w:rsidR="00FB01AD" w:rsidRDefault="00FB01AD" w:rsidP="00FB01AD">
      <w:pPr>
        <w:pStyle w:val="BodyText"/>
        <w:spacing w:before="9"/>
        <w:rPr>
          <w:sz w:val="23"/>
        </w:rPr>
      </w:pPr>
    </w:p>
    <w:p w14:paraId="3397A4C2" w14:textId="77777777" w:rsidR="00FB01AD" w:rsidRDefault="00944188" w:rsidP="00AE0D4C">
      <w:pPr>
        <w:pStyle w:val="ListParagraph"/>
        <w:tabs>
          <w:tab w:val="left" w:pos="601"/>
        </w:tabs>
        <w:ind w:left="720" w:firstLine="0"/>
        <w:rPr>
          <w:sz w:val="24"/>
        </w:rPr>
      </w:pPr>
      <w:r>
        <w:rPr>
          <w:color w:val="000000" w:themeColor="text1"/>
          <w:sz w:val="24"/>
        </w:rPr>
        <w:t>All resolutions or parts of resolutions in conflict with the provisions of this Resolution are hereby repealed and rescinded</w:t>
      </w:r>
      <w:r w:rsidR="00FB01AD" w:rsidRPr="00B66CFD">
        <w:rPr>
          <w:sz w:val="24"/>
        </w:rPr>
        <w:t>.</w:t>
      </w:r>
    </w:p>
    <w:p w14:paraId="5B9871EE" w14:textId="77777777" w:rsidR="00FB01AD" w:rsidRDefault="00FB01AD" w:rsidP="00FB01AD">
      <w:pPr>
        <w:pStyle w:val="ListParagraph"/>
        <w:tabs>
          <w:tab w:val="left" w:pos="601"/>
        </w:tabs>
        <w:ind w:left="605" w:firstLine="0"/>
        <w:rPr>
          <w:sz w:val="24"/>
        </w:rPr>
      </w:pPr>
    </w:p>
    <w:p w14:paraId="02578DEF" w14:textId="77777777" w:rsidR="00944188" w:rsidRDefault="00944188" w:rsidP="00AE0D4C">
      <w:pPr>
        <w:pStyle w:val="BodyText"/>
        <w:spacing w:before="1"/>
        <w:ind w:left="720" w:right="475"/>
      </w:pPr>
      <w:r>
        <w:rPr>
          <w:b/>
        </w:rPr>
        <w:t>Section 5. Savings.</w:t>
      </w:r>
    </w:p>
    <w:p w14:paraId="73ECAE76" w14:textId="77777777" w:rsidR="00944188" w:rsidRDefault="00944188" w:rsidP="00944188">
      <w:pPr>
        <w:pStyle w:val="BodyText"/>
        <w:spacing w:before="9"/>
        <w:rPr>
          <w:sz w:val="23"/>
        </w:rPr>
      </w:pPr>
    </w:p>
    <w:p w14:paraId="59EDDE41" w14:textId="77777777" w:rsidR="00944188" w:rsidRDefault="00944188" w:rsidP="00AE0D4C">
      <w:pPr>
        <w:pStyle w:val="ListParagraph"/>
        <w:tabs>
          <w:tab w:val="left" w:pos="601"/>
        </w:tabs>
        <w:ind w:left="720" w:firstLine="0"/>
        <w:rPr>
          <w:sz w:val="24"/>
        </w:rPr>
      </w:pPr>
      <w:r w:rsidRPr="00FB01AD">
        <w:rPr>
          <w:color w:val="000000" w:themeColor="text1"/>
          <w:sz w:val="24"/>
        </w:rPr>
        <w:t>The</w:t>
      </w:r>
      <w:r>
        <w:rPr>
          <w:color w:val="000000" w:themeColor="text1"/>
          <w:sz w:val="24"/>
        </w:rPr>
        <w:t xml:space="preserve"> prior actions of </w:t>
      </w:r>
      <w:r w:rsidRPr="00944188">
        <w:rPr>
          <w:color w:val="0070C0"/>
          <w:sz w:val="24"/>
        </w:rPr>
        <w:t>Smyth County</w:t>
      </w:r>
      <w:r>
        <w:rPr>
          <w:color w:val="000000" w:themeColor="text1"/>
          <w:sz w:val="24"/>
        </w:rPr>
        <w:t xml:space="preserve"> relating to projects and activities of the </w:t>
      </w:r>
      <w:r w:rsidRPr="00944188">
        <w:rPr>
          <w:color w:val="0070C0"/>
          <w:sz w:val="24"/>
        </w:rPr>
        <w:t>County</w:t>
      </w:r>
      <w:r>
        <w:rPr>
          <w:color w:val="000000" w:themeColor="text1"/>
          <w:sz w:val="24"/>
        </w:rPr>
        <w:t xml:space="preserve"> involving the FDOT, as well as related matters and processes, are hereby ratified and affirmed</w:t>
      </w:r>
      <w:r w:rsidRPr="00B66CFD">
        <w:rPr>
          <w:sz w:val="24"/>
        </w:rPr>
        <w:t>.</w:t>
      </w:r>
    </w:p>
    <w:p w14:paraId="1574380F" w14:textId="77777777" w:rsidR="00944188" w:rsidRDefault="00944188" w:rsidP="00944188">
      <w:pPr>
        <w:pStyle w:val="ListParagraph"/>
        <w:tabs>
          <w:tab w:val="left" w:pos="601"/>
        </w:tabs>
        <w:ind w:left="605" w:firstLine="0"/>
        <w:rPr>
          <w:sz w:val="24"/>
        </w:rPr>
      </w:pPr>
    </w:p>
    <w:p w14:paraId="26976620" w14:textId="77777777" w:rsidR="00944188" w:rsidRDefault="00944188" w:rsidP="00AE0D4C">
      <w:pPr>
        <w:pStyle w:val="BodyText"/>
        <w:spacing w:before="1"/>
        <w:ind w:left="720" w:right="475"/>
      </w:pPr>
      <w:r>
        <w:rPr>
          <w:b/>
        </w:rPr>
        <w:t>Section 6. Severability.</w:t>
      </w:r>
    </w:p>
    <w:p w14:paraId="1935A8D4" w14:textId="77777777" w:rsidR="00944188" w:rsidRDefault="00944188" w:rsidP="00944188">
      <w:pPr>
        <w:pStyle w:val="BodyText"/>
        <w:spacing w:before="9"/>
        <w:rPr>
          <w:sz w:val="23"/>
        </w:rPr>
      </w:pPr>
    </w:p>
    <w:p w14:paraId="3A9A8044" w14:textId="77777777" w:rsidR="00944188" w:rsidRDefault="00944188" w:rsidP="00AE0D4C">
      <w:pPr>
        <w:pStyle w:val="ListParagraph"/>
        <w:tabs>
          <w:tab w:val="left" w:pos="601"/>
        </w:tabs>
        <w:ind w:left="720" w:firstLine="0"/>
        <w:rPr>
          <w:sz w:val="24"/>
        </w:rPr>
      </w:pPr>
      <w:r>
        <w:rPr>
          <w:color w:val="000000" w:themeColor="text1"/>
          <w:sz w:val="24"/>
        </w:rPr>
        <w:t xml:space="preserve">If any section, sentence, phrase, word, or portion of this Resolution is determined to be invalid, unlawful or unconstitutional, said determination shall not be held to invalidate or impair the validity, force or effect of any other section, sentence, phrase, word, or portion </w:t>
      </w:r>
      <w:r w:rsidR="00F36795">
        <w:rPr>
          <w:color w:val="000000" w:themeColor="text1"/>
          <w:sz w:val="24"/>
        </w:rPr>
        <w:t>o</w:t>
      </w:r>
      <w:r>
        <w:rPr>
          <w:color w:val="000000" w:themeColor="text1"/>
          <w:sz w:val="24"/>
        </w:rPr>
        <w:t>f the Res</w:t>
      </w:r>
      <w:r w:rsidR="00F36795">
        <w:rPr>
          <w:color w:val="000000" w:themeColor="text1"/>
          <w:sz w:val="24"/>
        </w:rPr>
        <w:t>o</w:t>
      </w:r>
      <w:r>
        <w:rPr>
          <w:color w:val="000000" w:themeColor="text1"/>
          <w:sz w:val="24"/>
        </w:rPr>
        <w:t>lution not otherwise determined to be invalid, unlawful, or unconst</w:t>
      </w:r>
      <w:r w:rsidR="00F36795">
        <w:rPr>
          <w:color w:val="000000" w:themeColor="text1"/>
          <w:sz w:val="24"/>
        </w:rPr>
        <w:t>i</w:t>
      </w:r>
      <w:r>
        <w:rPr>
          <w:color w:val="000000" w:themeColor="text1"/>
          <w:sz w:val="24"/>
        </w:rPr>
        <w:t>t</w:t>
      </w:r>
      <w:r w:rsidR="00F36795">
        <w:rPr>
          <w:color w:val="000000" w:themeColor="text1"/>
          <w:sz w:val="24"/>
        </w:rPr>
        <w:t>ut</w:t>
      </w:r>
      <w:r>
        <w:rPr>
          <w:color w:val="000000" w:themeColor="text1"/>
          <w:sz w:val="24"/>
        </w:rPr>
        <w:t>ional</w:t>
      </w:r>
      <w:r w:rsidRPr="00B66CFD">
        <w:rPr>
          <w:sz w:val="24"/>
        </w:rPr>
        <w:t>.</w:t>
      </w:r>
    </w:p>
    <w:p w14:paraId="543793D5" w14:textId="77777777" w:rsidR="00944188" w:rsidRDefault="00944188" w:rsidP="00944188">
      <w:pPr>
        <w:pStyle w:val="ListParagraph"/>
        <w:tabs>
          <w:tab w:val="left" w:pos="601"/>
        </w:tabs>
        <w:ind w:left="605" w:firstLine="0"/>
        <w:rPr>
          <w:sz w:val="24"/>
        </w:rPr>
      </w:pPr>
    </w:p>
    <w:p w14:paraId="732F3821" w14:textId="77777777" w:rsidR="00F36795" w:rsidRDefault="00F36795" w:rsidP="00AE0D4C">
      <w:pPr>
        <w:pStyle w:val="BodyText"/>
        <w:spacing w:before="1"/>
        <w:ind w:left="720" w:right="475"/>
      </w:pPr>
      <w:r>
        <w:rPr>
          <w:b/>
        </w:rPr>
        <w:t>Section 7. Effective Date.</w:t>
      </w:r>
    </w:p>
    <w:p w14:paraId="75893D73" w14:textId="77777777" w:rsidR="00F36795" w:rsidRDefault="00F36795" w:rsidP="00F36795">
      <w:pPr>
        <w:pStyle w:val="BodyText"/>
        <w:spacing w:before="9"/>
        <w:rPr>
          <w:sz w:val="23"/>
        </w:rPr>
      </w:pPr>
    </w:p>
    <w:p w14:paraId="2D076189" w14:textId="77777777" w:rsidR="00F36795" w:rsidRDefault="00F36795" w:rsidP="00AE0D4C">
      <w:pPr>
        <w:pStyle w:val="ListParagraph"/>
        <w:tabs>
          <w:tab w:val="left" w:pos="601"/>
        </w:tabs>
        <w:ind w:left="720" w:firstLine="0"/>
        <w:rPr>
          <w:color w:val="000000" w:themeColor="text1"/>
          <w:sz w:val="24"/>
        </w:rPr>
      </w:pPr>
      <w:r>
        <w:rPr>
          <w:color w:val="000000" w:themeColor="text1"/>
          <w:sz w:val="24"/>
        </w:rPr>
        <w:t>This Resolution shall take immediate effect upon enactment.</w:t>
      </w:r>
    </w:p>
    <w:p w14:paraId="0F3588E2" w14:textId="77777777" w:rsidR="00F36795" w:rsidRDefault="00F36795" w:rsidP="00F36795">
      <w:pPr>
        <w:pStyle w:val="ListParagraph"/>
        <w:tabs>
          <w:tab w:val="left" w:pos="601"/>
        </w:tabs>
        <w:ind w:left="605" w:firstLine="0"/>
        <w:rPr>
          <w:color w:val="000000" w:themeColor="text1"/>
          <w:sz w:val="24"/>
        </w:rPr>
      </w:pPr>
    </w:p>
    <w:p w14:paraId="13D0FDDA" w14:textId="77777777" w:rsidR="006A207F" w:rsidRDefault="00F36795" w:rsidP="00AE0D4C">
      <w:pPr>
        <w:pStyle w:val="ListParagraph"/>
        <w:tabs>
          <w:tab w:val="left" w:pos="601"/>
        </w:tabs>
        <w:ind w:left="720" w:firstLine="0"/>
      </w:pPr>
      <w:r w:rsidRPr="00F36795">
        <w:rPr>
          <w:b/>
          <w:color w:val="000000" w:themeColor="text1"/>
          <w:sz w:val="24"/>
        </w:rPr>
        <w:t>Passed and adopted</w:t>
      </w:r>
      <w:r>
        <w:rPr>
          <w:color w:val="000000" w:themeColor="text1"/>
          <w:sz w:val="24"/>
        </w:rPr>
        <w:t xml:space="preserve"> this </w:t>
      </w:r>
      <w:r w:rsidRPr="00F36795">
        <w:rPr>
          <w:color w:val="0070C0"/>
          <w:sz w:val="24"/>
        </w:rPr>
        <w:t>12</w:t>
      </w:r>
      <w:r w:rsidRPr="00F36795">
        <w:rPr>
          <w:color w:val="0070C0"/>
          <w:sz w:val="24"/>
          <w:vertAlign w:val="superscript"/>
        </w:rPr>
        <w:t>th</w:t>
      </w:r>
      <w:r>
        <w:rPr>
          <w:color w:val="000000" w:themeColor="text1"/>
          <w:sz w:val="24"/>
        </w:rPr>
        <w:t xml:space="preserve"> day of </w:t>
      </w:r>
      <w:r w:rsidRPr="00F36795">
        <w:rPr>
          <w:color w:val="0070C0"/>
          <w:sz w:val="24"/>
        </w:rPr>
        <w:t>May 2018</w:t>
      </w:r>
      <w:r>
        <w:rPr>
          <w:color w:val="000000" w:themeColor="text1"/>
          <w:sz w:val="24"/>
        </w:rPr>
        <w:t>.</w:t>
      </w:r>
    </w:p>
    <w:p w14:paraId="53A74D11" w14:textId="77777777" w:rsidR="006A207F" w:rsidRDefault="006A207F">
      <w:pPr>
        <w:pStyle w:val="BodyText"/>
        <w:spacing w:before="11"/>
        <w:rPr>
          <w:sz w:val="23"/>
        </w:rPr>
      </w:pPr>
    </w:p>
    <w:p w14:paraId="544459D8" w14:textId="77777777" w:rsidR="006A207F" w:rsidRDefault="000126EA">
      <w:pPr>
        <w:pStyle w:val="BodyText"/>
        <w:tabs>
          <w:tab w:val="left" w:pos="4920"/>
        </w:tabs>
        <w:ind w:left="240"/>
      </w:pPr>
      <w:r w:rsidRPr="000126EA">
        <w:rPr>
          <w:i/>
          <w:color w:val="000000" w:themeColor="text1"/>
        </w:rPr>
        <w:t>Attest</w:t>
      </w:r>
      <w:r w:rsidRPr="000126EA">
        <w:rPr>
          <w:color w:val="000000" w:themeColor="text1"/>
        </w:rPr>
        <w:t>:</w:t>
      </w:r>
      <w:r w:rsidR="00B74C76">
        <w:tab/>
      </w:r>
      <w:r w:rsidRPr="000126EA">
        <w:rPr>
          <w:color w:val="0070C0"/>
        </w:rPr>
        <w:t>County</w:t>
      </w:r>
      <w:r>
        <w:t xml:space="preserve"> Commission of </w:t>
      </w:r>
      <w:r w:rsidRPr="000126EA">
        <w:rPr>
          <w:color w:val="0070C0"/>
        </w:rPr>
        <w:t>Smyth County</w:t>
      </w:r>
      <w:r>
        <w:t>, Florida</w:t>
      </w:r>
    </w:p>
    <w:p w14:paraId="5D37970C" w14:textId="77777777" w:rsidR="006A207F" w:rsidRDefault="006A207F">
      <w:pPr>
        <w:pStyle w:val="BodyText"/>
      </w:pPr>
    </w:p>
    <w:p w14:paraId="38AA908F" w14:textId="77777777" w:rsidR="000126EA" w:rsidRDefault="000126EA">
      <w:pPr>
        <w:pStyle w:val="BodyText"/>
      </w:pPr>
    </w:p>
    <w:p w14:paraId="027898B1" w14:textId="77777777" w:rsidR="006A207F" w:rsidRDefault="00B74C76">
      <w:pPr>
        <w:pStyle w:val="BodyText"/>
        <w:tabs>
          <w:tab w:val="left" w:pos="4261"/>
          <w:tab w:val="left" w:pos="4920"/>
          <w:tab w:val="left" w:pos="8943"/>
        </w:tabs>
        <w:ind w:left="240"/>
      </w:pPr>
      <w:r>
        <w:rPr>
          <w:u w:val="single"/>
        </w:rPr>
        <w:t xml:space="preserve"> </w:t>
      </w:r>
      <w:r>
        <w:rPr>
          <w:u w:val="single"/>
        </w:rPr>
        <w:tab/>
      </w:r>
      <w:r w:rsidR="000126EA">
        <w:tab/>
      </w:r>
      <w:r>
        <w:rPr>
          <w:u w:val="single"/>
        </w:rPr>
        <w:t xml:space="preserve"> </w:t>
      </w:r>
      <w:r>
        <w:rPr>
          <w:u w:val="single"/>
        </w:rPr>
        <w:tab/>
      </w:r>
    </w:p>
    <w:p w14:paraId="67867080" w14:textId="77777777" w:rsidR="006A207F" w:rsidRDefault="000126EA">
      <w:pPr>
        <w:pStyle w:val="BodyText"/>
        <w:tabs>
          <w:tab w:val="left" w:pos="6001"/>
        </w:tabs>
        <w:ind w:left="1106"/>
      </w:pPr>
      <w:r>
        <w:rPr>
          <w:color w:val="0070C0"/>
        </w:rPr>
        <w:t>Jane Doe, County Clerk</w:t>
      </w:r>
      <w:r w:rsidR="00B74C76">
        <w:tab/>
      </w:r>
      <w:r w:rsidRPr="000126EA">
        <w:rPr>
          <w:color w:val="0070C0"/>
        </w:rPr>
        <w:t>John Doe, County Manager</w:t>
      </w:r>
    </w:p>
    <w:p w14:paraId="2B96D32B" w14:textId="77777777" w:rsidR="006A207F" w:rsidRDefault="006A207F">
      <w:pPr>
        <w:pStyle w:val="BodyText"/>
        <w:spacing w:before="9"/>
        <w:rPr>
          <w:sz w:val="23"/>
        </w:rPr>
      </w:pPr>
    </w:p>
    <w:p w14:paraId="542FDBFB" w14:textId="77777777" w:rsidR="006A207F" w:rsidRDefault="00B74C76">
      <w:pPr>
        <w:tabs>
          <w:tab w:val="left" w:pos="4200"/>
          <w:tab w:val="left" w:pos="4920"/>
          <w:tab w:val="left" w:pos="8942"/>
        </w:tabs>
        <w:spacing w:before="1"/>
        <w:ind w:left="240"/>
        <w:rPr>
          <w:sz w:val="24"/>
        </w:rPr>
      </w:pPr>
      <w:r w:rsidRPr="000126EA">
        <w:rPr>
          <w:sz w:val="20"/>
          <w:szCs w:val="20"/>
        </w:rPr>
        <w:t>A</w:t>
      </w:r>
      <w:r w:rsidR="000126EA" w:rsidRPr="000126EA">
        <w:rPr>
          <w:sz w:val="20"/>
          <w:szCs w:val="20"/>
        </w:rPr>
        <w:t>pproved as to form and legal suffic</w:t>
      </w:r>
      <w:r w:rsidR="000126EA" w:rsidRPr="000126EA">
        <w:rPr>
          <w:i/>
          <w:sz w:val="20"/>
          <w:szCs w:val="20"/>
        </w:rPr>
        <w:t>iency</w:t>
      </w:r>
      <w:r w:rsidR="000126EA">
        <w:rPr>
          <w:i/>
          <w:sz w:val="20"/>
          <w:szCs w:val="20"/>
        </w:rPr>
        <w:t>.</w:t>
      </w:r>
      <w:r w:rsidRPr="000126EA">
        <w:rPr>
          <w:i/>
          <w:sz w:val="24"/>
        </w:rPr>
        <w:tab/>
      </w:r>
      <w:r>
        <w:rPr>
          <w:i/>
          <w:sz w:val="24"/>
        </w:rPr>
        <w:tab/>
      </w:r>
    </w:p>
    <w:p w14:paraId="4B171156" w14:textId="77777777" w:rsidR="006A207F" w:rsidRDefault="006A207F">
      <w:pPr>
        <w:pStyle w:val="BodyText"/>
        <w:spacing w:before="2"/>
        <w:rPr>
          <w:sz w:val="16"/>
        </w:rPr>
      </w:pPr>
    </w:p>
    <w:p w14:paraId="4F00F253" w14:textId="77777777" w:rsidR="006A207F" w:rsidRDefault="00B74C76" w:rsidP="000126EA">
      <w:pPr>
        <w:pStyle w:val="BodyText"/>
        <w:tabs>
          <w:tab w:val="left" w:pos="4920"/>
        </w:tabs>
        <w:spacing w:before="92"/>
        <w:ind w:left="600"/>
        <w:rPr>
          <w:sz w:val="20"/>
        </w:rPr>
      </w:pPr>
      <w:r>
        <w:tab/>
      </w:r>
    </w:p>
    <w:p w14:paraId="725D2B12" w14:textId="77777777" w:rsidR="006A207F" w:rsidRDefault="00747A0E">
      <w:pPr>
        <w:pStyle w:val="BodyText"/>
        <w:spacing w:before="4"/>
        <w:rPr>
          <w:sz w:val="22"/>
        </w:rPr>
      </w:pPr>
      <w:r>
        <w:rPr>
          <w:noProof/>
        </w:rPr>
        <mc:AlternateContent>
          <mc:Choice Requires="wps">
            <w:drawing>
              <wp:anchor distT="0" distB="0" distL="0" distR="0" simplePos="0" relativeHeight="1120" behindDoc="0" locked="0" layoutInCell="1" allowOverlap="1" wp14:anchorId="57DA07EB" wp14:editId="626EA7AC">
                <wp:simplePos x="0" y="0"/>
                <wp:positionH relativeFrom="page">
                  <wp:posOffset>914400</wp:posOffset>
                </wp:positionH>
                <wp:positionV relativeFrom="paragraph">
                  <wp:posOffset>193675</wp:posOffset>
                </wp:positionV>
                <wp:extent cx="2515235" cy="0"/>
                <wp:effectExtent l="9525" t="8890" r="8890" b="10160"/>
                <wp:wrapTopAndBottom/>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5235"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05591" id="Line 18" o:spid="_x0000_s1026" style="position:absolute;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5.25pt" to="270.0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hOsAEAAEkDAAAOAAAAZHJzL2Uyb0RvYy54bWysU8Fu2zAMvQ/YPwi6L3YyJCiMOD2k6y7d&#10;FqDtBzCSHAuTRYFUYufvJ6lJVmy3YT4IpEg+PT7S6/tpcOJkiC36Vs5ntRTGK9TWH1r5+vL46U4K&#10;juA1OPSmlWfD8n7z8cN6DI1ZYI9OGxIJxHMzhlb2MYamqlj1ZgCeYTA+BTukAWJy6VBpgjGhD65a&#10;1PWqGpF0IFSGOd0+vAXlpuB3nVHxR9exicK1MnGL5aRy7vNZbdbQHAhCb9WFBvwDiwGsT4/eoB4g&#10;gjiS/QtqsIqQsYszhUOFXWeVKT2kbub1H9089xBM6SWJw+EmE/8/WPX9tPU7ytTV5J/DE6qfLDxu&#10;e/AHUwi8nEMa3DxLVY2Bm1tJdjjsSOzHb6hTDhwjFhWmjoYMmfoTUxH7fBPbTFGodLlYzpeLz0sp&#10;1DVWQXMtDMTxq8FBZKOVzvqsAzRweuKYiUBzTcnXHh+tc2WWzosxsa1Xq7tSweisztGcx3TYbx2J&#10;E+R1KF9pK0XepxEevS5ovQH95WJHsO7NTq87f1EjC5C3jZs96vOOriqleRWal93KC/HeL9W//4DN&#10;LwAAAP//AwBQSwMEFAAGAAgAAAAhANSsEXTeAAAACQEAAA8AAABkcnMvZG93bnJldi54bWxMj0FL&#10;w0AQhe+C/2EZwZvdjaaiMZsiglAEpbbS8zY7JtHd2ZDdNrG/3hEPenxvHm++Vy4m78QBh9gF0pDN&#10;FAikOtiOGg1vm8eLGxAxGbLGBUINXxhhUZ2elKawYaRXPKxTI7iEYmE0tCn1hZSxbtGbOAs9Et/e&#10;w+BNYjk00g5m5HLv5KVS19KbjvhDa3p8aLH+XO+9hnxcTrdP2+XLtIkfTj5vj9mqOWp9fjbd34FI&#10;OKW/MPzgMzpUzLQLe7JRONZ5zluShis1B8GBea4yELtfQ1al/L+g+gYAAP//AwBQSwECLQAUAAYA&#10;CAAAACEAtoM4kv4AAADhAQAAEwAAAAAAAAAAAAAAAAAAAAAAW0NvbnRlbnRfVHlwZXNdLnhtbFBL&#10;AQItABQABgAIAAAAIQA4/SH/1gAAAJQBAAALAAAAAAAAAAAAAAAAAC8BAABfcmVscy8ucmVsc1BL&#10;AQItABQABgAIAAAAIQCliWhOsAEAAEkDAAAOAAAAAAAAAAAAAAAAAC4CAABkcnMvZTJvRG9jLnht&#10;bFBLAQItABQABgAIAAAAIQDUrBF03gAAAAkBAAAPAAAAAAAAAAAAAAAAAAoEAABkcnMvZG93bnJl&#10;di54bWxQSwUGAAAAAAQABADzAAAAFQUAAAAA&#10;" strokeweight=".84pt">
                <w10:wrap type="topAndBottom" anchorx="page"/>
              </v:line>
            </w:pict>
          </mc:Fallback>
        </mc:AlternateContent>
      </w:r>
    </w:p>
    <w:p w14:paraId="7B4A5855" w14:textId="77777777" w:rsidR="00BD2476" w:rsidRDefault="000126EA" w:rsidP="000126EA">
      <w:pPr>
        <w:tabs>
          <w:tab w:val="left" w:pos="6001"/>
        </w:tabs>
        <w:spacing w:line="252" w:lineRule="exact"/>
        <w:ind w:left="600"/>
      </w:pPr>
      <w:r w:rsidRPr="004E208B">
        <w:rPr>
          <w:color w:val="0070C0"/>
          <w:sz w:val="24"/>
        </w:rPr>
        <w:t>Jonathan Doe, County</w:t>
      </w:r>
      <w:r>
        <w:rPr>
          <w:sz w:val="24"/>
        </w:rPr>
        <w:t xml:space="preserve"> Attorney</w:t>
      </w:r>
    </w:p>
    <w:sectPr w:rsidR="00BD2476" w:rsidSect="00752887">
      <w:headerReference w:type="default" r:id="rId7"/>
      <w:pgSz w:w="12240" w:h="15840"/>
      <w:pgMar w:top="1020" w:right="1140" w:bottom="280" w:left="1200" w:header="725"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1CFA8" w14:textId="77777777" w:rsidR="00DD04CD" w:rsidRDefault="00B74C76">
      <w:r>
        <w:separator/>
      </w:r>
    </w:p>
  </w:endnote>
  <w:endnote w:type="continuationSeparator" w:id="0">
    <w:p w14:paraId="08482B1D" w14:textId="77777777" w:rsidR="00DD04CD" w:rsidRDefault="00B74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FBB22" w14:textId="77777777" w:rsidR="00DD04CD" w:rsidRDefault="00B74C76">
      <w:r>
        <w:separator/>
      </w:r>
    </w:p>
  </w:footnote>
  <w:footnote w:type="continuationSeparator" w:id="0">
    <w:p w14:paraId="19AADBE0" w14:textId="77777777" w:rsidR="00DD04CD" w:rsidRDefault="00B74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14761" w14:textId="77777777" w:rsidR="007A0D2C" w:rsidRPr="009B2BEA" w:rsidRDefault="007A0D2C" w:rsidP="007A0D2C">
    <w:pPr>
      <w:pStyle w:val="Header"/>
      <w:jc w:val="center"/>
      <w:rPr>
        <w:color w:val="000000" w:themeColor="text1"/>
      </w:rPr>
    </w:pPr>
    <w:r w:rsidRPr="009B2BEA">
      <w:rPr>
        <w:color w:val="000000" w:themeColor="text1"/>
        <w:sz w:val="12"/>
      </w:rPr>
      <w:t>STATE OF FLORIDA DEPARTMENT OF TRANSPORTATION</w:t>
    </w:r>
  </w:p>
  <w:p w14:paraId="269C1FFE" w14:textId="4882D5EA" w:rsidR="007A0D2C" w:rsidRPr="009B2BEA" w:rsidRDefault="00536475" w:rsidP="007A0D2C">
    <w:pPr>
      <w:pStyle w:val="Header"/>
      <w:jc w:val="center"/>
      <w:rPr>
        <w:b/>
        <w:color w:val="000000" w:themeColor="text1"/>
      </w:rPr>
    </w:pPr>
    <w:r>
      <w:rPr>
        <w:b/>
        <w:color w:val="000000" w:themeColor="text1"/>
      </w:rPr>
      <w:t xml:space="preserve">LOCAL </w:t>
    </w:r>
    <w:r w:rsidR="00001D77">
      <w:rPr>
        <w:b/>
        <w:color w:val="000000" w:themeColor="text1"/>
      </w:rPr>
      <w:t>ENTITY</w:t>
    </w:r>
    <w:r>
      <w:rPr>
        <w:b/>
        <w:color w:val="000000" w:themeColor="text1"/>
      </w:rPr>
      <w:t xml:space="preserve"> </w:t>
    </w:r>
    <w:r w:rsidR="00E2704E">
      <w:rPr>
        <w:b/>
        <w:color w:val="000000" w:themeColor="text1"/>
      </w:rPr>
      <w:t>R</w:t>
    </w:r>
    <w:r w:rsidR="004F6C3E">
      <w:rPr>
        <w:b/>
        <w:color w:val="000000" w:themeColor="text1"/>
      </w:rPr>
      <w:t>ESOLUTION</w:t>
    </w:r>
  </w:p>
  <w:p w14:paraId="4E841F40" w14:textId="77777777" w:rsidR="006A207F" w:rsidRPr="007A0D2C" w:rsidRDefault="007A0D2C" w:rsidP="007A0D2C">
    <w:pPr>
      <w:pStyle w:val="Header"/>
      <w:jc w:val="cent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87DE0"/>
    <w:multiLevelType w:val="hybridMultilevel"/>
    <w:tmpl w:val="9EA80FAE"/>
    <w:lvl w:ilvl="0" w:tplc="8D5A16FC">
      <w:start w:val="1"/>
      <w:numFmt w:val="lowerLetter"/>
      <w:lvlText w:val="(%1)"/>
      <w:lvlJc w:val="left"/>
      <w:pPr>
        <w:ind w:left="720" w:hanging="360"/>
      </w:pPr>
      <w:rPr>
        <w:rFonts w:ascii="Arial" w:eastAsia="Arial" w:hAnsi="Arial" w:cs="Arial" w:hint="default"/>
        <w:b w:val="0"/>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7775B9"/>
    <w:multiLevelType w:val="hybridMultilevel"/>
    <w:tmpl w:val="4D924272"/>
    <w:lvl w:ilvl="0" w:tplc="8D5A16FC">
      <w:start w:val="1"/>
      <w:numFmt w:val="lowerLetter"/>
      <w:lvlText w:val="(%1)"/>
      <w:lvlJc w:val="left"/>
      <w:pPr>
        <w:ind w:left="600" w:hanging="360"/>
        <w:jc w:val="right"/>
      </w:pPr>
      <w:rPr>
        <w:rFonts w:ascii="Arial" w:eastAsia="Arial" w:hAnsi="Arial" w:cs="Arial" w:hint="default"/>
        <w:b w:val="0"/>
        <w:w w:val="99"/>
        <w:sz w:val="24"/>
        <w:szCs w:val="24"/>
      </w:rPr>
    </w:lvl>
    <w:lvl w:ilvl="1" w:tplc="5BD21202">
      <w:numFmt w:val="bullet"/>
      <w:lvlText w:val="•"/>
      <w:lvlJc w:val="left"/>
      <w:pPr>
        <w:ind w:left="1530" w:hanging="360"/>
      </w:pPr>
      <w:rPr>
        <w:rFonts w:hint="default"/>
      </w:rPr>
    </w:lvl>
    <w:lvl w:ilvl="2" w:tplc="388242DC">
      <w:numFmt w:val="bullet"/>
      <w:lvlText w:val="•"/>
      <w:lvlJc w:val="left"/>
      <w:pPr>
        <w:ind w:left="2460" w:hanging="360"/>
      </w:pPr>
      <w:rPr>
        <w:rFonts w:hint="default"/>
      </w:rPr>
    </w:lvl>
    <w:lvl w:ilvl="3" w:tplc="63C4E5A0">
      <w:numFmt w:val="bullet"/>
      <w:lvlText w:val="•"/>
      <w:lvlJc w:val="left"/>
      <w:pPr>
        <w:ind w:left="3390" w:hanging="360"/>
      </w:pPr>
      <w:rPr>
        <w:rFonts w:hint="default"/>
      </w:rPr>
    </w:lvl>
    <w:lvl w:ilvl="4" w:tplc="BAC6CDB4">
      <w:numFmt w:val="bullet"/>
      <w:lvlText w:val="•"/>
      <w:lvlJc w:val="left"/>
      <w:pPr>
        <w:ind w:left="4320" w:hanging="360"/>
      </w:pPr>
      <w:rPr>
        <w:rFonts w:hint="default"/>
      </w:rPr>
    </w:lvl>
    <w:lvl w:ilvl="5" w:tplc="076E8A00">
      <w:numFmt w:val="bullet"/>
      <w:lvlText w:val="•"/>
      <w:lvlJc w:val="left"/>
      <w:pPr>
        <w:ind w:left="5250" w:hanging="360"/>
      </w:pPr>
      <w:rPr>
        <w:rFonts w:hint="default"/>
      </w:rPr>
    </w:lvl>
    <w:lvl w:ilvl="6" w:tplc="8EB8AE22">
      <w:numFmt w:val="bullet"/>
      <w:lvlText w:val="•"/>
      <w:lvlJc w:val="left"/>
      <w:pPr>
        <w:ind w:left="6180" w:hanging="360"/>
      </w:pPr>
      <w:rPr>
        <w:rFonts w:hint="default"/>
      </w:rPr>
    </w:lvl>
    <w:lvl w:ilvl="7" w:tplc="E61EC780">
      <w:numFmt w:val="bullet"/>
      <w:lvlText w:val="•"/>
      <w:lvlJc w:val="left"/>
      <w:pPr>
        <w:ind w:left="7110" w:hanging="360"/>
      </w:pPr>
      <w:rPr>
        <w:rFonts w:hint="default"/>
      </w:rPr>
    </w:lvl>
    <w:lvl w:ilvl="8" w:tplc="298E9B64">
      <w:numFmt w:val="bullet"/>
      <w:lvlText w:val="•"/>
      <w:lvlJc w:val="left"/>
      <w:pPr>
        <w:ind w:left="8040" w:hanging="360"/>
      </w:pPr>
      <w:rPr>
        <w:rFonts w:hint="default"/>
      </w:rPr>
    </w:lvl>
  </w:abstractNum>
  <w:abstractNum w:abstractNumId="2" w15:restartNumberingAfterBreak="0">
    <w:nsid w:val="3B2A7169"/>
    <w:multiLevelType w:val="hybridMultilevel"/>
    <w:tmpl w:val="9EA80FAE"/>
    <w:lvl w:ilvl="0" w:tplc="8D5A16FC">
      <w:start w:val="1"/>
      <w:numFmt w:val="lowerLetter"/>
      <w:lvlText w:val="(%1)"/>
      <w:lvlJc w:val="left"/>
      <w:pPr>
        <w:ind w:left="720" w:hanging="360"/>
      </w:pPr>
      <w:rPr>
        <w:rFonts w:ascii="Arial" w:eastAsia="Arial" w:hAnsi="Arial" w:cs="Arial" w:hint="default"/>
        <w:b w:val="0"/>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1974F0"/>
    <w:multiLevelType w:val="hybridMultilevel"/>
    <w:tmpl w:val="9EA80FAE"/>
    <w:lvl w:ilvl="0" w:tplc="8D5A16FC">
      <w:start w:val="1"/>
      <w:numFmt w:val="lowerLetter"/>
      <w:lvlText w:val="(%1)"/>
      <w:lvlJc w:val="left"/>
      <w:pPr>
        <w:ind w:left="720" w:hanging="360"/>
      </w:pPr>
      <w:rPr>
        <w:rFonts w:ascii="Arial" w:eastAsia="Arial" w:hAnsi="Arial" w:cs="Arial" w:hint="default"/>
        <w:b w:val="0"/>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1F2803"/>
    <w:multiLevelType w:val="hybridMultilevel"/>
    <w:tmpl w:val="9EA80FAE"/>
    <w:lvl w:ilvl="0" w:tplc="8D5A16FC">
      <w:start w:val="1"/>
      <w:numFmt w:val="lowerLetter"/>
      <w:lvlText w:val="(%1)"/>
      <w:lvlJc w:val="left"/>
      <w:pPr>
        <w:ind w:left="720" w:hanging="360"/>
      </w:pPr>
      <w:rPr>
        <w:rFonts w:ascii="Arial" w:eastAsia="Arial" w:hAnsi="Arial" w:cs="Arial" w:hint="default"/>
        <w:b w:val="0"/>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9530776">
    <w:abstractNumId w:val="1"/>
  </w:num>
  <w:num w:numId="2" w16cid:durableId="1570336552">
    <w:abstractNumId w:val="3"/>
  </w:num>
  <w:num w:numId="3" w16cid:durableId="346371052">
    <w:abstractNumId w:val="0"/>
  </w:num>
  <w:num w:numId="4" w16cid:durableId="435711095">
    <w:abstractNumId w:val="4"/>
  </w:num>
  <w:num w:numId="5" w16cid:durableId="1171487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07F"/>
    <w:rsid w:val="00001D77"/>
    <w:rsid w:val="000126EA"/>
    <w:rsid w:val="000A10A4"/>
    <w:rsid w:val="001D463C"/>
    <w:rsid w:val="001D4B19"/>
    <w:rsid w:val="001E195D"/>
    <w:rsid w:val="002077A2"/>
    <w:rsid w:val="002C4730"/>
    <w:rsid w:val="002F10BD"/>
    <w:rsid w:val="004E208B"/>
    <w:rsid w:val="004E4ED3"/>
    <w:rsid w:val="004F6C3E"/>
    <w:rsid w:val="00524662"/>
    <w:rsid w:val="00536475"/>
    <w:rsid w:val="00555F60"/>
    <w:rsid w:val="006A207F"/>
    <w:rsid w:val="00747A0E"/>
    <w:rsid w:val="00752887"/>
    <w:rsid w:val="007A0D2C"/>
    <w:rsid w:val="00843E3D"/>
    <w:rsid w:val="00846CC6"/>
    <w:rsid w:val="00855B50"/>
    <w:rsid w:val="00944188"/>
    <w:rsid w:val="0099377D"/>
    <w:rsid w:val="009B1E9C"/>
    <w:rsid w:val="00A41BED"/>
    <w:rsid w:val="00AA5574"/>
    <w:rsid w:val="00AE0D4C"/>
    <w:rsid w:val="00B66CFD"/>
    <w:rsid w:val="00B74C76"/>
    <w:rsid w:val="00BD2476"/>
    <w:rsid w:val="00CD07E4"/>
    <w:rsid w:val="00D50F7B"/>
    <w:rsid w:val="00DD04CD"/>
    <w:rsid w:val="00E2704E"/>
    <w:rsid w:val="00F36795"/>
    <w:rsid w:val="00FB0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94D8EDA"/>
  <w15:docId w15:val="{5DC7E8D0-1A4E-449B-BCE3-01D771905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074" w:right="2130"/>
      <w:jc w:val="center"/>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00" w:right="30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74C76"/>
    <w:pPr>
      <w:tabs>
        <w:tab w:val="center" w:pos="4680"/>
        <w:tab w:val="right" w:pos="9360"/>
      </w:tabs>
    </w:pPr>
  </w:style>
  <w:style w:type="character" w:customStyle="1" w:styleId="HeaderChar">
    <w:name w:val="Header Char"/>
    <w:basedOn w:val="DefaultParagraphFont"/>
    <w:link w:val="Header"/>
    <w:uiPriority w:val="99"/>
    <w:rsid w:val="00B74C76"/>
    <w:rPr>
      <w:rFonts w:ascii="Arial" w:eastAsia="Arial" w:hAnsi="Arial" w:cs="Arial"/>
    </w:rPr>
  </w:style>
  <w:style w:type="paragraph" w:styleId="Footer">
    <w:name w:val="footer"/>
    <w:basedOn w:val="Normal"/>
    <w:link w:val="FooterChar"/>
    <w:uiPriority w:val="99"/>
    <w:unhideWhenUsed/>
    <w:rsid w:val="00B74C76"/>
    <w:pPr>
      <w:tabs>
        <w:tab w:val="center" w:pos="4680"/>
        <w:tab w:val="right" w:pos="9360"/>
      </w:tabs>
    </w:pPr>
  </w:style>
  <w:style w:type="character" w:customStyle="1" w:styleId="FooterChar">
    <w:name w:val="Footer Char"/>
    <w:basedOn w:val="DefaultParagraphFont"/>
    <w:link w:val="Footer"/>
    <w:uiPriority w:val="99"/>
    <w:rsid w:val="00B74C76"/>
    <w:rPr>
      <w:rFonts w:ascii="Arial" w:eastAsia="Arial" w:hAnsi="Arial" w:cs="Arial"/>
    </w:rPr>
  </w:style>
  <w:style w:type="table" w:styleId="TableGrid">
    <w:name w:val="Table Grid"/>
    <w:basedOn w:val="TableNormal"/>
    <w:uiPriority w:val="39"/>
    <w:rsid w:val="002F1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89735B-8BA7-4092-88BB-C519D6175CA0}"/>
</file>

<file path=customXml/itemProps2.xml><?xml version="1.0" encoding="utf-8"?>
<ds:datastoreItem xmlns:ds="http://schemas.openxmlformats.org/officeDocument/2006/customXml" ds:itemID="{0670EB6A-6C77-4610-8605-24C4F6124782}"/>
</file>

<file path=customXml/itemProps3.xml><?xml version="1.0" encoding="utf-8"?>
<ds:datastoreItem xmlns:ds="http://schemas.openxmlformats.org/officeDocument/2006/customXml" ds:itemID="{1572BE36-A5C1-4F88-B237-5F2871DA7CFD}"/>
</file>

<file path=docProps/app.xml><?xml version="1.0" encoding="utf-8"?>
<Properties xmlns="http://schemas.openxmlformats.org/officeDocument/2006/extended-properties" xmlns:vt="http://schemas.openxmlformats.org/officeDocument/2006/docPropsVTypes">
  <Template>Normal.dotm</Template>
  <TotalTime>1</TotalTime>
  <Pages>2</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ROAD JURISDICTION</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JURISDICTION</dc:title>
  <dc:creator>Gordon Morgan</dc:creator>
  <cp:lastModifiedBy>Scott, Jerry</cp:lastModifiedBy>
  <cp:revision>3</cp:revision>
  <dcterms:created xsi:type="dcterms:W3CDTF">2022-08-05T19:08:00Z</dcterms:created>
  <dcterms:modified xsi:type="dcterms:W3CDTF">2022-08-05T19:08:00Z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2014-08-06T00:00:00Z</vt:filetime>
  </property>
  <property fmtid="{D5CDD505-2E9C-101B-9397-08002B2CF9AE}" pid="3" name="Creator">
    <vt:lpwstr>Microsoft® Word 2013</vt:lpwstr>
  </property>
  <property fmtid="{D5CDD505-2E9C-101B-9397-08002B2CF9AE}" pid="4" name="LastSaved">
    <vt:filetime>2017-08-11T00:00:00Z</vt:filetime>
  </property>
</Properties>
</file>