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w:t>
      </w:r>
      <w:r>
        <w:rPr/>
        <w:t xml:space="preserve">REQUIREMENTS AND RESPONSIBILITY TO THE PUBLIC – INSURANCE</w:t>
      </w:r>
      <w:r>
        <w:rPr/>
        <w:t xml:space="preserve"> – COMMERCIAL GENERAL LIABILITY INSURANCE</w:t>
      </w:r>
      <w:r>
        <w:rPr/>
        <w:t xml:space="preserve"> (BUSINESS DEVELOPMENT INITIATIVE)</w:t>
      </w:r>
      <w:r>
        <w:rPr/>
        <w:t xml:space="preserve">.</w:t>
      </w:r>
    </w:p>
    <w:p>
      <w:pPr>
        <w:pStyle w:val="Dates"/>
        <w:spacing/>
        <w:rPr/>
      </w:pPr>
      <w:r>
        <w:rPr/>
        <w:t xml:space="preserve">(REV 4-10-15)</w:t>
      </w:r>
      <w:r>
        <w:rPr/>
        <w:t xml:space="preserve"> (FA 7-13-15) (1-21)</w:t>
      </w:r>
    </w:p>
    <w:p>
      <w:pPr>
        <w:pStyle w:val="LeadInSentence"/>
        <w:spacing/>
        <w:rPr/>
      </w:pPr>
      <w:bookmarkStart w:id="2" w:name="_GoBack"/>
      <w:bookmarkEnd w:id="2"/>
      <w:r>
        <w:rPr/>
        <w:t xml:space="preserve">SUBARTICLE 7-13.2 is deleted and the following substituted:</w:t>
      </w:r>
    </w:p>
    <w:p>
      <w:pPr>
        <w:pStyle w:val="BodyText"/>
        <w:spacing/>
        <w:rPr/>
      </w:pPr>
      <w:r>
        <w:rPr/>
        <w:tab/>
        <w:t xml:space="preserve"/>
      </w:r>
      <w:r>
        <w:rPr>
          <w:b/>
          <w:bCs/>
        </w:rPr>
        <w:t xml:space="preserve">7-13.2 Commercial General Liability Insurance:</w:t>
      </w:r>
      <w:r>
        <w:rPr/>
        <w:t xml:space="preserve"> Carry Commercial General Liability insurance providing continuous coverage for all work or operations performed under the Contract. Such insurance </w:t>
      </w:r>
      <w:r>
        <w:rPr/>
        <w:t xml:space="preserve">shall</w:t>
      </w:r>
      <w:r>
        <w:rPr/>
        <w:t xml:space="preserve">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w:t>
      </w:r>
      <w:r>
        <w:rPr/>
        <w:t xml:space="preserve">shall</w:t>
      </w:r>
      <w:r>
        <w:rPr/>
        <w:t xml:space="preserve"> be on an “occurrence” basis and include Products/Completed Operations coverage. The coverage afforded to the Department as an Additional Insured </w:t>
      </w:r>
      <w:r>
        <w:rPr/>
        <w:t xml:space="preserve">shall</w:t>
      </w:r>
      <w:r>
        <w:rPr/>
        <w:t xml:space="preserve"> be primary as to any other available insurance and </w:t>
      </w:r>
      <w:r>
        <w:rPr/>
        <w:t xml:space="preserve">shall </w:t>
      </w:r>
      <w:r>
        <w:rPr/>
        <w:t xml:space="preserve">not be more restrictive than the coverage afforded to the Named Insured. The limits of coverage </w:t>
      </w:r>
      <w:r>
        <w:rPr/>
        <w:t xml:space="preserve">shall</w:t>
      </w:r>
      <w:r>
        <w:rPr/>
        <w:t xml:space="preserve"> not be less than</w:t>
      </w:r>
      <w:r>
        <w:rPr/>
        <w:t xml:space="preserve"> </w:t>
      </w:r>
      <w:r>
        <w:rPr/>
        <w:t xml:space="preserve">$100,000 for each occurrence and not less than a $300,000 annual general aggregate, inclusive of amounts provided by an umbrella or excess policy. The limits of coverage described herein </w:t>
      </w:r>
      <w:r>
        <w:rPr/>
        <w:t xml:space="preserve">shall</w:t>
      </w:r>
      <w:r>
        <w:rPr/>
        <w:t xml:space="preserve"> apply fully to the work or operations performed under the </w:t>
      </w:r>
      <w:r>
        <w:rPr/>
        <w:t xml:space="preserve">Contract, and</w:t>
      </w:r>
      <w:r>
        <w:rPr/>
        <w:t xml:space="preserve"> may not be shared with or diminished by claims unrelated to the contract. Pay all deductibles as required</w:t>
      </w:r>
      <w:r>
        <w:rPr/>
        <w:t xml:space="preserve"> by the policy</w:t>
      </w:r>
      <w:r>
        <w:rPr/>
        <w:t xml:space="preserve">. No policy/ies or coverage described herein </w:t>
      </w:r>
      <w:r>
        <w:rPr/>
        <w:t xml:space="preserve">may</w:t>
      </w:r>
      <w:r>
        <w:rPr/>
        <w:t xml:space="preserve">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w:t>
      </w:r>
      <w:r>
        <w:rPr/>
        <w:t xml:space="preserve">shall</w:t>
      </w:r>
      <w:r>
        <w:rPr/>
        <w:t xml:space="preserve"> be notified in writing within ten days of any cancellation, notice of cancellation, lapse, renewal, or proposed change to any policy or coverage described herein. The Department’s approval or failure to disapprove any policy/ies, coverage, or ACORD Certificates </w:t>
      </w:r>
      <w:r>
        <w:rPr/>
        <w:t xml:space="preserve">shall</w:t>
      </w:r>
      <w:r>
        <w:rPr/>
        <w:t xml:space="preserve"> not relieve or excuse any obligation to procure and maintain the insurance required herein, nor serve as a waiver of any rights or defenses the Department may have.</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Segoe UI">
    <w:charset w:val="0"/>
    <w:family w:val="swiss"/>
    <w:pitch w:val="variable"/>
    <w:sig w:usb0="E4002EFF" w:usb1="C000E47F"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proofState w:spelling="dirty" w:grammar="clean"/>
  <w:attachedTemplate r:id="rId1"/>
  <w:linkStyle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spacing w:after="160" w:line="259" w:lineRule="auto"/>
    </w:pPr>
    <w:rPr>
      <w:sz w:val="22"/>
      <w:szCs w:val="22"/>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pPr>
      <w:keepNext/>
      <w:tabs>
        <w:tab w:val="left" w:pos="720"/>
      </w:tabs>
      <w:spacing w:before="240"/>
    </w:pPr>
    <w:rPr>
      <w:rFonts w:ascii="Times New Roman" w:hAnsi="Times New Roman" w:eastAsia="Times New Roman" w:cs="Times New Roman"/>
      <w:b/>
      <w:sz w:val="24"/>
    </w:rPr>
  </w:style>
  <w:style w:type="paragraph" w:styleId="LeadInSentence" w:customStyle="1">
    <w:name w:val="Lead In Sentence"/>
    <w:next w:val="BodyText"/>
    <w:pPr>
      <w:keepNext/>
      <w:spacing w:after="240"/>
      <w:ind w:firstLine="720"/>
    </w:pPr>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2"/>
    </w:numPr>
    <w:pPr>
      <w:keepLines/>
      <w:numPr>
        <w:ilvl w:val="0"/>
        <w:numId w:val="2"/>
      </w:numPr>
      <w:spacing w:before="0" w:after="0"/>
    </w:pPr>
    <w:rPr>
      <w:szCs w:val="24"/>
    </w:rPr>
  </w:style>
  <w:style w:type="paragraph" w:styleId="Section102" w:customStyle="1">
    <w:name w:val="Section 102"/>
    <w:basedOn w:val="Heading9"/>
    <w:numPr>
      <w:ilvl w:val="0"/>
      <w:numId w:val="3"/>
    </w:numPr>
    <w:pPr>
      <w:widowControl w:val="false"/>
      <w:numPr>
        <w:ilvl w:val="0"/>
        <w:numId w:val="3"/>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sz w:val="22"/>
      <w:szCs w:val="22"/>
    </w:rPr>
  </w:style>
  <w:style w:type="paragraph" w:styleId="Footer">
    <w:name w:val="Footer"/>
    <w:basedOn w:val="Normal"/>
    <w:link w:val="FooterChar"/>
    <w:pPr>
      <w:tabs>
        <w:tab w:val="center" w:pos="4320"/>
        <w:tab w:val="right" w:pos="8640"/>
      </w:tabs>
      <w:spacing/>
    </w:pPr>
    <w:rPr/>
  </w:style>
  <w:style w:type="character" w:styleId="FooterChar" w:customStyle="1">
    <w:name w:val="Footer Char"/>
    <w:basedOn w:val="DefaultParagraphFont"/>
    <w:link w:val="Footer"/>
    <w:rPr>
      <w:sz w:val="22"/>
      <w:szCs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rFonts w:ascii="Times New Roman" w:hAnsi="Times New Roman" w:eastAsia="Times New Roman" w:cs="Times New Roman"/>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rFonts w:ascii="Times New Roman" w:hAnsi="Times New Roman" w:eastAsia="Times New Roman" w:cs="Times New Roman"/>
      <w:b/>
      <w:bCs/>
    </w:rPr>
  </w:style>
  <w:style w:type="paragraph" w:styleId="Revision" w:customStyle="1">
    <w:name w:val="Revision"/>
    <w:semiHidden/>
    <w:pPr>
      <w:spacing/>
    </w:pPr>
    <w:rPr>
      <w:rFonts w:ascii="Times New Roman" w:hAnsi="Times New Roman" w:eastAsia="Times New Roman" w:cs="Times New Roman"/>
      <w:sz w:val="24"/>
      <w:szCs w:val="24"/>
    </w:rPr>
  </w:style>
  <w:style w:type="paragraph" w:styleId="BalloonText">
    <w:name w:val="Balloon Text"/>
    <w:basedOn w:val="Normal"/>
    <w:link w:val="BalloonTextChar"/>
    <w:semiHidden/>
    <w:unhideWhenUsed/>
    <w:pPr>
      <w:spacing/>
    </w:pPr>
    <w:rPr>
      <w:rFonts w:ascii="Segoe UI" w:hAnsi="Segoe UI" w:eastAsia="Segoe UI" w:cs="Segoe UI"/>
      <w:sz w:val="18"/>
      <w:szCs w:val="18"/>
    </w:rPr>
  </w:style>
  <w:style w:type="character" w:styleId="BalloonTextChar" w:customStyle="1">
    <w:name w:val="Balloon Text Char"/>
    <w:basedOn w:val="DefaultParagraphFont"/>
    <w:link w:val="BalloonText"/>
    <w:semiHidden/>
    <w:rPr>
      <w:rFonts w:ascii="Segoe UI" w:hAnsi="Segoe UI" w:eastAsia="Times New Roman" w:cs="Segoe UI"/>
      <w:sz w:val="18"/>
      <w:szCs w:val="18"/>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336</Words>
  <Characters>1920</Characters>
  <Application>Microsoft Office Word</Application>
  <DocSecurity>0</DocSecurity>
  <Lines>16</Lines>
  <Paragraphs>4</Paragraphs>
  <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Townsend, Olivia</dc:creator>
  <cp:keywords/>
  <dc:description/>
  <cp:lastModifiedBy>Hunsicker, Darla</cp:lastModifiedBy>
  <cp:revision>2</cp:revision>
  <dcterms:created xsi:type="dcterms:W3CDTF">2020-03-10T03:12:00Z</dcterms:created>
  <dcterms:modified xsi:type="dcterms:W3CDTF">2020-03-10T03:12:00Z</dcterms:modified>
  <cp:category>Construction1 Maintenance1 </cp:category>
</cp:coreProperties>
</file>