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570</w:t>
      </w:r>
      <w:r>
        <w:rPr/>
        <w:t xml:space="preserve">-50</w:t>
      </w:r>
      <w:r>
        <w:rPr/>
        <w:tab/>
        <w:t xml:space="preserve"/>
      </w:r>
      <w:r>
        <w:rPr/>
        <w:t xml:space="preserve">FERTILIZING</w:t>
      </w:r>
      <w:r>
        <w:rPr/>
        <w:t xml:space="preserve">.</w:t>
      </w:r>
    </w:p>
    <w:p>
      <w:pPr>
        <w:pStyle w:val="Dates"/>
        <w:spacing/>
        <w:rPr/>
      </w:pPr>
      <w:r>
        <w:rPr/>
        <w:tab/>
        <w:t xml:space="preserve"/>
      </w:r>
      <w:r>
        <w:rPr/>
        <w:t xml:space="preserve">(REV</w:t>
      </w:r>
      <w:r>
        <w:rPr/>
        <w:t xml:space="preserve"> 8-6-13</w:t>
      </w:r>
      <w:r>
        <w:rPr/>
        <w:t xml:space="preserve">)</w:t>
      </w:r>
      <w:r>
        <w:rPr/>
        <w:t xml:space="preserve"> (1-21)</w:t>
      </w:r>
    </w:p>
    <w:p>
      <w:pPr>
        <w:pStyle w:val="LeadInSentence"/>
        <w:spacing/>
        <w:rPr/>
      </w:pPr>
      <w:bookmarkStart w:id="3" w:name="OLE_LINK2"/>
      <w:bookmarkStart w:id="4" w:name="OLE_LINK1"/>
      <w:r>
        <w:rPr/>
        <w:t xml:space="preserve">The following new Section is added after Section 570: </w:t>
      </w:r>
      <w:bookmarkEnd w:id="3"/>
      <w:bookmarkEnd w:id="4"/>
    </w:p>
    <w:p>
      <w:pPr>
        <w:pStyle w:val="SectionHeading"/>
        <w:spacing/>
        <w:rPr/>
      </w:pPr>
      <w:r>
        <w:rPr/>
        <w:t xml:space="preserve">SECTION </w:t>
      </w:r>
      <w:r>
        <w:rPr/>
        <w:t xml:space="preserve">570-50</w:t>
      </w:r>
      <w:r>
        <w:rPr/>
        <w:br/>
      </w:r>
      <w:r>
        <w:rPr/>
        <w:t xml:space="preserve">FERTILIZING</w:t>
      </w:r>
    </w:p>
    <w:p>
      <w:pPr>
        <w:pStyle w:val="Article"/>
        <w:spacing/>
        <w:rPr/>
      </w:pPr>
      <w:r>
        <w:rPr/>
        <w:t xml:space="preserve">570-50.1</w:t>
      </w:r>
      <w:r>
        <w:rPr/>
        <w:t xml:space="preserve"> </w:t>
      </w:r>
      <w:r>
        <w:rPr/>
        <w:t xml:space="preserve">Description.</w:t>
      </w:r>
    </w:p>
    <w:p>
      <w:pPr>
        <w:pStyle w:val="BodyText"/>
        <w:spacing/>
        <w:rPr>
          <w:szCs w:val="24"/>
        </w:rPr>
      </w:pPr>
      <w:r>
        <w:rPr/>
        <w:tab/>
        <w:t xml:space="preserve"/>
      </w:r>
      <w:r>
        <w:rPr>
          <w:szCs w:val="24"/>
        </w:rPr>
        <w:t xml:space="preserve">Fertilize as required for the enhancement of the growth of healthy turf as called for in the plans or Work Document issued by the Engineer.</w:t>
      </w:r>
    </w:p>
    <w:p>
      <w:pPr>
        <w:pStyle w:val="Article"/>
        <w:spacing/>
        <w:rPr/>
      </w:pPr>
      <w:r>
        <w:rPr/>
        <w:t xml:space="preserve">570-50.2</w:t>
      </w:r>
      <w:r>
        <w:rPr/>
        <w:t xml:space="preserve"> </w:t>
      </w:r>
      <w:r>
        <w:rPr/>
        <w:t xml:space="preserve">Materials.</w:t>
      </w:r>
    </w:p>
    <w:p>
      <w:pPr>
        <w:pStyle w:val="BodyText"/>
        <w:spacing/>
        <w:rPr>
          <w:szCs w:val="24"/>
        </w:rPr>
      </w:pPr>
      <w:r>
        <w:rPr/>
        <w:tab/>
        <w:t xml:space="preserve"/>
      </w:r>
      <w:r>
        <w:rPr>
          <w:szCs w:val="24"/>
        </w:rPr>
        <w:t xml:space="preserve">Use material for the fertilizer meeting </w:t>
      </w:r>
      <w:r>
        <w:rPr>
          <w:szCs w:val="24"/>
        </w:rPr>
        <w:t xml:space="preserve">the requirements of Section 982.</w:t>
      </w:r>
      <w:r>
        <w:rPr>
          <w:szCs w:val="24"/>
        </w:rPr>
        <w:t xml:space="preserve"> </w:t>
      </w:r>
    </w:p>
    <w:p>
      <w:pPr>
        <w:pStyle w:val="BodyText"/>
        <w:spacing/>
        <w:rPr>
          <w:szCs w:val="24"/>
        </w:rPr>
      </w:pPr>
      <w:r>
        <w:rPr>
          <w:szCs w:val="24"/>
        </w:rPr>
        <w:tab/>
        <w:t xml:space="preserve"/>
      </w:r>
      <w:r>
        <w:rPr>
          <w:szCs w:val="24"/>
        </w:rPr>
        <w:t xml:space="preserve">T</w:t>
      </w:r>
      <w:r>
        <w:rPr>
          <w:szCs w:val="24"/>
        </w:rPr>
        <w:t xml:space="preserve">he chemical designation of the fertilizer will be </w:t>
      </w:r>
      <w:bookmarkStart w:id="5" w:name="bk1"/>
      <w:r>
        <w:rPr>
          <w:szCs w:val="24"/>
          <w:highlight w:val="yellow"/>
        </w:rPr>
        <w:t xml:space="preserve">____</w:t>
      </w:r>
      <w:bookmarkEnd w:id="5"/>
      <w:r>
        <w:rPr>
          <w:szCs w:val="24"/>
        </w:rPr>
        <w:t xml:space="preserve"> - </w:t>
      </w:r>
      <w:bookmarkStart w:id="6" w:name="bk2"/>
      <w:r>
        <w:rPr>
          <w:szCs w:val="24"/>
          <w:highlight w:val="yellow"/>
        </w:rPr>
        <w:t xml:space="preserve">____</w:t>
      </w:r>
      <w:bookmarkEnd w:id="6"/>
      <w:r>
        <w:rPr>
          <w:szCs w:val="24"/>
        </w:rPr>
        <w:t xml:space="preserve"> - </w:t>
      </w:r>
      <w:bookmarkStart w:id="7" w:name="bk3"/>
      <w:r>
        <w:rPr>
          <w:szCs w:val="24"/>
          <w:highlight w:val="yellow"/>
        </w:rPr>
        <w:t xml:space="preserve">____</w:t>
      </w:r>
      <w:bookmarkEnd w:id="7"/>
      <w:r>
        <w:rPr>
          <w:szCs w:val="24"/>
        </w:rPr>
        <w:t xml:space="preserve"> </w:t>
      </w:r>
    </w:p>
    <w:p>
      <w:pPr>
        <w:pStyle w:val="BodyText"/>
        <w:spacing/>
        <w:rPr>
          <w:szCs w:val="24"/>
        </w:rPr>
      </w:pPr>
      <w:r>
        <w:rPr>
          <w:szCs w:val="24"/>
        </w:rPr>
        <w:tab/>
        <w:t xml:space="preserve"/>
      </w:r>
      <w:r>
        <w:rPr>
          <w:szCs w:val="24"/>
        </w:rPr>
        <w:t xml:space="preserve">Spread the fertilizer at a rate of </w:t>
      </w:r>
      <w:bookmarkStart w:id="8" w:name="bk4"/>
      <w:r>
        <w:rPr>
          <w:szCs w:val="24"/>
          <w:highlight w:val="yellow"/>
        </w:rPr>
        <w:t xml:space="preserve">_________</w:t>
      </w:r>
      <w:bookmarkEnd w:id="8"/>
      <w:r>
        <w:rPr>
          <w:szCs w:val="24"/>
        </w:rPr>
        <w:t xml:space="preserve"> pounds per acre. </w:t>
      </w:r>
    </w:p>
    <w:p>
      <w:pPr>
        <w:pStyle w:val="BodyText"/>
        <w:spacing/>
        <w:rPr>
          <w:szCs w:val="24"/>
        </w:rPr>
      </w:pPr>
      <w:r>
        <w:rPr>
          <w:szCs w:val="24"/>
        </w:rPr>
        <w:tab/>
        <w:t xml:space="preserve"/>
      </w:r>
      <w:r>
        <w:rPr>
          <w:szCs w:val="24"/>
        </w:rPr>
        <w:t xml:space="preserve">Material may be sampled and tested at any time as determined by the Engineer.</w:t>
      </w:r>
    </w:p>
    <w:p>
      <w:pPr>
        <w:pStyle w:val="Article"/>
        <w:spacing/>
        <w:rPr/>
      </w:pPr>
      <w:r>
        <w:rPr/>
        <w:t xml:space="preserve">570-50.3 Equipment and Application.</w:t>
      </w:r>
    </w:p>
    <w:p>
      <w:pPr>
        <w:pStyle w:val="BodyText"/>
        <w:spacing/>
        <w:rPr>
          <w:szCs w:val="24"/>
        </w:rPr>
      </w:pPr>
      <w:r>
        <w:rPr>
          <w:b/>
          <w:bCs/>
        </w:rPr>
        <w:tab/>
        <w:t xml:space="preserve"/>
      </w:r>
      <w:r>
        <w:rPr>
          <w:b/>
          <w:bCs/>
          <w:szCs w:val="24"/>
        </w:rPr>
        <w:t xml:space="preserve">570-50.3.1</w:t>
      </w:r>
      <w:r>
        <w:rPr>
          <w:b/>
          <w:bCs/>
        </w:rPr>
        <w:t xml:space="preserve"> </w:t>
      </w:r>
      <w:r>
        <w:rPr>
          <w:b/>
          <w:bCs/>
          <w:szCs w:val="24"/>
        </w:rPr>
        <w:t xml:space="preserve">Fertilizer Spreader:</w:t>
      </w:r>
      <w:r>
        <w:rPr>
          <w:szCs w:val="24"/>
        </w:rPr>
        <w:t xml:space="preserve"> Use a device capable of uniformly distributing the material at the specified rate. Use appropriate equipment and methods to prevent the fertilizer from being broadcast on the roadway or on vehicles.</w:t>
      </w:r>
    </w:p>
    <w:p>
      <w:pPr>
        <w:pStyle w:val="BodyText"/>
        <w:spacing/>
        <w:rPr>
          <w:szCs w:val="24"/>
        </w:rPr>
      </w:pPr>
      <w:r>
        <w:rPr>
          <w:b/>
          <w:bCs/>
          <w:szCs w:val="24"/>
        </w:rPr>
        <w:tab/>
        <w:t xml:space="preserve"/>
      </w:r>
      <w:r>
        <w:rPr>
          <w:b/>
          <w:bCs/>
          <w:szCs w:val="24"/>
        </w:rPr>
        <w:t xml:space="preserve">570-50.3.2 Application of Fertilizer:</w:t>
      </w:r>
      <w:r>
        <w:rPr>
          <w:szCs w:val="24"/>
        </w:rPr>
        <w:t xml:space="preserve"> The Department will not permit fertilizing operations when wind velocities exceed 15</w:t>
      </w:r>
      <w:r>
        <w:rPr>
          <w:szCs w:val="24"/>
        </w:rPr>
        <w:t xml:space="preserve"> </w:t>
      </w:r>
      <w:r>
        <w:rPr>
          <w:szCs w:val="24"/>
        </w:rPr>
        <w:t xml:space="preserve">miles per hour. Apply fertilizer by hand on steep slopes or other areas where machine spreading may not be practical.</w:t>
      </w:r>
    </w:p>
    <w:p>
      <w:pPr>
        <w:pStyle w:val="Article"/>
        <w:spacing/>
        <w:rPr/>
      </w:pPr>
      <w:r>
        <w:rPr/>
        <w:t xml:space="preserve">570-50.4 Method of Measurement.</w:t>
      </w:r>
    </w:p>
    <w:p>
      <w:pPr>
        <w:pStyle w:val="BodyText"/>
        <w:spacing/>
        <w:rPr>
          <w:szCs w:val="24"/>
        </w:rPr>
      </w:pPr>
      <w:r>
        <w:rPr/>
        <w:tab/>
        <w:t xml:space="preserve"/>
      </w:r>
      <w:r>
        <w:rPr>
          <w:szCs w:val="24"/>
        </w:rPr>
        <w:t xml:space="preserve">The quantities to be paid for will be for the net weight in tons of fertilizer applied.</w:t>
      </w:r>
    </w:p>
    <w:p>
      <w:pPr>
        <w:pStyle w:val="BodyText"/>
        <w:spacing/>
        <w:rPr>
          <w:szCs w:val="24"/>
        </w:rPr>
      </w:pPr>
      <w:r>
        <w:rPr>
          <w:szCs w:val="24"/>
        </w:rPr>
        <w:tab/>
        <w:t xml:space="preserve"/>
      </w:r>
      <w:r>
        <w:rPr>
          <w:szCs w:val="24"/>
        </w:rPr>
        <w:t xml:space="preserve">The number of sacks used will determin</w:t>
      </w:r>
      <w:r>
        <w:rPr>
          <w:szCs w:val="24"/>
        </w:rPr>
        <w:t xml:space="preserve">e the weight of the fertilizer.</w:t>
      </w:r>
      <w:r>
        <w:rPr>
          <w:szCs w:val="24"/>
        </w:rPr>
        <w:t xml:space="preserve"> If bulk fertilizer is used, furnish weight tickets showing gross weight, tare weight, and net weight to the Engineer for every load distributed. Failure to provide weight tickets from Florida Department of Agriculture certified scales will result in no payment for those loads.</w:t>
      </w:r>
    </w:p>
    <w:p>
      <w:pPr>
        <w:pStyle w:val="Article"/>
        <w:spacing/>
        <w:rPr/>
      </w:pPr>
      <w:r>
        <w:rPr/>
        <w:t xml:space="preserve">570-50.5 Basis of Payment.</w:t>
      </w:r>
    </w:p>
    <w:p>
      <w:pPr>
        <w:pStyle w:val="BodyText"/>
        <w:spacing/>
        <w:rPr>
          <w:szCs w:val="24"/>
        </w:rPr>
      </w:pPr>
      <w:r>
        <w:rPr/>
        <w:tab/>
        <w:t xml:space="preserve"/>
      </w:r>
      <w:r>
        <w:rPr>
          <w:szCs w:val="24"/>
        </w:rPr>
        <w:t xml:space="preserve">Price and payment will be full compensation for all work and materials specified including all incidentals necessary to complete the work.</w:t>
      </w:r>
    </w:p>
    <w:p>
      <w:pPr>
        <w:pStyle w:val="BodyText"/>
        <w:spacing/>
        <w:rPr>
          <w:szCs w:val="24"/>
        </w:rPr>
      </w:pPr>
      <w:r>
        <w:rPr>
          <w:szCs w:val="24"/>
        </w:rPr>
        <w:tab/>
        <w:t xml:space="preserve"/>
      </w:r>
      <w:r>
        <w:rPr>
          <w:szCs w:val="24"/>
        </w:rPr>
        <w:tab/>
        <w:t xml:space="preserve"/>
      </w:r>
      <w:r>
        <w:rPr>
          <w:szCs w:val="24"/>
        </w:rPr>
        <w:t xml:space="preserve">Payment will be made under the items specified in the Bid Price Proposal.</w:t>
      </w:r>
    </w:p>
    <w:p>
      <w:pPr>
        <w:pStyle w:val="BodyText"/>
        <w:spacing/>
        <w:rPr>
          <w:szCs w:val="24"/>
        </w:rPr>
      </w:pPr>
    </w:p>
    <w:p>
      <w:pPr>
        <w:pStyle w:val="BodyText"/>
        <w:spacing/>
        <w:rPr>
          <w:szCs w:val="24"/>
        </w:rPr>
      </w:pPr>
    </w:p>
    <w:sectPr>
      <w:endnotePr>
        <w:numFmt w:val="decimal"/>
      </w:endnote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5">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7">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8">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5"/>
    </w:numPr>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FootnoteReference">
    <w:name w:val="Footnote Reference"/>
    <w:basedOn w:val="DefaultParagraphFont"/>
    <w:rPr/>
  </w:style>
  <w:style w:type="paragraph" w:styleId="BodyTextHeading" w:customStyle="1">
    <w:name w:val="Body Text Heading"/>
    <w:pPr>
      <w:spacing/>
    </w:pPr>
    <w:rPr>
      <w:sz w:val="24"/>
    </w:rPr>
  </w:style>
  <w:style w:type="paragraph" w:styleId="SMSPTitle" w:customStyle="1">
    <w:name w:val="SMSP Title"/>
    <w:pPr>
      <w:tabs>
        <w:tab w:val="left" w:pos="0"/>
      </w:tabs>
      <w:spacing/>
      <w:jc w:val="center"/>
    </w:pPr>
    <w:rPr>
      <w:b/>
      <w:sz w:val="24"/>
    </w:rPr>
  </w:style>
  <w:style w:type="paragraph" w:styleId="BodyText1" w:customStyle="1">
    <w:name w:val="Body Text1"/>
    <w:pPr>
      <w:tabs>
        <w:tab w:val="left" w:pos="720"/>
        <w:tab w:val="left" w:pos="1440"/>
      </w:tabs>
      <w:spacing/>
      <w:ind w:firstLine="720"/>
      <w:jc w:val="both"/>
    </w:pPr>
    <w:rPr>
      <w:sz w:val="22"/>
    </w:rPr>
  </w:style>
  <w:style w:type="paragraph" w:styleId="Article" w:customStyle="1">
    <w:name w:val="Article"/>
    <w:next w:val="BodyText"/>
    <w:link w:val="ArticleChar"/>
    <w:pPr>
      <w:keepNext/>
      <w:tabs>
        <w:tab w:val="left" w:pos="720"/>
      </w:tabs>
      <w:spacing w:before="240"/>
    </w:pPr>
    <w:rPr>
      <w:b/>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Bodytext10"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
    <w:name w:val="Body Text"/>
    <w:next w:val="Normal"/>
    <w:pPr>
      <w:tabs>
        <w:tab w:val="left" w:pos="720"/>
      </w:tabs>
      <w:spacing/>
    </w:pPr>
    <w:rPr>
      <w:sz w:val="24"/>
    </w:rPr>
  </w:style>
  <w:style w:type="paragraph" w:styleId="Section80" w:customStyle="1">
    <w:name w:val="Section8"/>
    <w:basedOn w:val="Normal"/>
    <w:numPr>
      <w:ilvl w:val="0"/>
      <w:numId w:val="7"/>
    </w:numPr>
    <w:pPr>
      <w:numPr>
        <w:ilvl w:val="0"/>
        <w:numId w:val="7"/>
      </w:numPr>
      <w:tabs>
        <w:tab w:val="left" w:pos="1440"/>
        <w:tab w:val="left" w:pos="1800"/>
      </w:tabs>
      <w:spacing/>
      <w:outlineLvl w:val="7"/>
    </w:pPr>
    <w:rPr>
      <w:b/>
    </w:rPr>
  </w:style>
  <w:style w:type="paragraph" w:styleId="Section102" w:customStyle="1">
    <w:name w:val="Section102"/>
    <w:basedOn w:val="Section80"/>
    <w:numPr>
      <w:ilvl w:val="0"/>
      <w:numId w:val="8"/>
    </w:numPr>
    <w:pPr>
      <w:numPr>
        <w:ilvl w:val="0"/>
        <w:numId w:val="8"/>
      </w:numPr>
      <w:tabs>
        <w:tab w:val="left" w:pos="720"/>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6"/>
    </w:numPr>
    <w:pPr>
      <w:keepLines/>
      <w:numPr>
        <w:ilvl w:val="0"/>
        <w:numId w:val="6"/>
      </w:numPr>
      <w:spacing w:before="0" w:after="0"/>
    </w:pPr>
    <w:rPr>
      <w:szCs w:val="24"/>
    </w:rPr>
  </w:style>
  <w:style w:type="paragraph" w:styleId="Section1020" w:customStyle="1">
    <w:name w:val="Section 102"/>
    <w:basedOn w:val="Heading9"/>
    <w:numPr>
      <w:ilvl w:val="0"/>
      <w:numId w:val="9"/>
    </w:numPr>
    <w:pPr>
      <w:widowControl w:val="false"/>
      <w:numPr>
        <w:ilvl w:val="0"/>
        <w:numId w:val="9"/>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mt954rh/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271</Words>
  <Characters>1550</Characters>
  <Application>Microsoft Office Word</Application>
  <DocSecurity>0</DocSecurity>
  <Lines>12</Lines>
  <Paragraphs>3</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revision>3</cp:revision>
  <dcterms:created xsi:type="dcterms:W3CDTF">2020-04-01T14:08:00Z</dcterms:created>
  <dcterms:modified xsi:type="dcterms:W3CDTF">2020-04-01T14:09:00Z</dcterms:modified>
  <cp:category>Maintenance1 </cp:category>
</cp:coreProperties>
</file>