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thermoplastic pavement markings – hot spray.</w:t>
      </w:r>
    </w:p>
    <w:p>
      <w:pPr>
        <w:pStyle w:val="Dates"/>
        <w:spacing/>
        <w:rPr/>
      </w:pPr>
      <w:r>
        <w:rPr/>
        <w:t xml:space="preserve">(REV </w:t>
      </w:r>
      <w:r>
        <w:rPr/>
        <w:t xml:space="preserve">1</w:t>
      </w:r>
      <w:r>
        <w:rPr/>
        <w:t xml:space="preserve">-</w:t>
      </w:r>
      <w:r>
        <w:rPr/>
        <w:t xml:space="preserve">31</w:t>
      </w:r>
      <w:r>
        <w:rPr/>
        <w:t xml:space="preserve">-</w:t>
      </w:r>
      <w:r>
        <w:rPr/>
        <w:t xml:space="preserve">20</w:t>
      </w:r>
      <w:r>
        <w:rPr/>
        <w:t xml:space="preserve">) </w:t>
      </w:r>
      <w:r>
        <w:rPr/>
        <w:t xml:space="preserve">(1-21)</w:t>
      </w:r>
    </w:p>
    <w:p>
      <w:pPr>
        <w:pStyle w:val="LeadInSentence"/>
        <w:spacing/>
        <w:rPr/>
      </w:pPr>
      <w:r>
        <w:rPr/>
        <w:t xml:space="preserve">SUBARTICLE 711-2</w:t>
      </w:r>
      <w:r>
        <w:rPr/>
        <w:t xml:space="preserve"> </w:t>
      </w:r>
      <w:r>
        <w:rPr/>
        <w:t xml:space="preserve">is deleted and the following substituted:</w:t>
      </w:r>
    </w:p>
    <w:p>
      <w:pPr>
        <w:pStyle w:val="Article"/>
        <w:spacing/>
        <w:rPr/>
      </w:pPr>
      <w:r>
        <w:rPr/>
        <w:t xml:space="preserve">711-2 Materials.</w:t>
      </w:r>
    </w:p>
    <w:p>
      <w:pPr>
        <w:pStyle w:val="BodyText"/>
        <w:spacing/>
        <w:rPr/>
      </w:pPr>
      <w:r>
        <w:rPr/>
        <w:tab/>
        <w:t xml:space="preserve"/>
      </w:r>
      <w:r>
        <w:rPr/>
        <w:t xml:space="preserve">Use only materials listed on the Department’s Approved Product List (APL)</w:t>
      </w:r>
      <w:r>
        <w:rPr>
          <w:szCs w:val="24"/>
        </w:rPr>
        <w:t xml:space="preserve"> </w:t>
      </w:r>
      <w:r>
        <w:rPr/>
        <w:t xml:space="preserve">meeting the following requirements</w:t>
      </w:r>
      <w:r>
        <w:rPr/>
        <w:t xml:space="preserve">. </w:t>
      </w:r>
    </w:p>
    <w:p>
      <w:pPr>
        <w:pStyle w:val="BodyText"/>
        <w:tabs>
          <w:tab w:val="clear" w:pos="720"/>
          <w:tab w:val="right" w:leader="dot" w:pos="7920"/>
          <w:tab w:val="left" w:pos="8640"/>
        </w:tabs>
        <w:spacing/>
        <w:ind w:firstLine="1080"/>
        <w:rPr/>
      </w:pPr>
      <w:r>
        <w:rPr/>
        <w:t xml:space="preserve">Standard and Refurbishment Thermoplastic</w:t>
      </w:r>
      <w:r>
        <w:rPr/>
        <w:tab/>
        <w:t xml:space="preserve"/>
      </w:r>
      <w:r>
        <w:rPr/>
        <w:t xml:space="preserve">971-1 and 971-5</w:t>
      </w:r>
    </w:p>
    <w:p>
      <w:pPr>
        <w:pStyle w:val="BodyText"/>
        <w:tabs>
          <w:tab w:val="clear" w:pos="720"/>
          <w:tab w:val="right" w:leader="dot" w:pos="7920"/>
          <w:tab w:val="left" w:pos="8640"/>
        </w:tabs>
        <w:spacing/>
        <w:ind w:firstLine="1080"/>
        <w:rPr/>
      </w:pPr>
      <w:r>
        <w:rPr/>
        <w:t xml:space="preserve">Refurbishment of Existing Stripes</w:t>
      </w:r>
      <w:r>
        <w:rPr/>
        <w:tab/>
        <w:t xml:space="preserve"/>
      </w:r>
      <w:r>
        <w:rPr/>
        <w:t xml:space="preserve">971-1, 971-5 and 971-10</w:t>
      </w:r>
    </w:p>
    <w:p>
      <w:pPr>
        <w:pStyle w:val="BodyText"/>
        <w:tabs>
          <w:tab w:val="clear" w:pos="720"/>
          <w:tab w:val="right" w:leader="dot" w:pos="7920"/>
          <w:tab w:val="left" w:pos="8640"/>
        </w:tabs>
        <w:spacing/>
        <w:ind w:firstLine="1080"/>
        <w:rPr/>
      </w:pPr>
      <w:r>
        <w:rPr/>
        <w:t xml:space="preserve">Preformed Thermoplastic</w:t>
      </w:r>
      <w:r>
        <w:rPr/>
        <w:tab/>
        <w:t xml:space="preserve"/>
      </w:r>
      <w:r>
        <w:rPr/>
        <w:t xml:space="preserve">971-1 and 971-6</w:t>
      </w:r>
    </w:p>
    <w:p>
      <w:pPr>
        <w:pStyle w:val="BodyText"/>
        <w:tabs>
          <w:tab w:val="clear" w:pos="720"/>
          <w:tab w:val="right" w:leader="dot" w:pos="7920"/>
          <w:tab w:val="left" w:pos="8640"/>
        </w:tabs>
        <w:spacing/>
        <w:ind w:firstLine="1080"/>
        <w:rPr/>
      </w:pPr>
      <w:r>
        <w:rPr/>
        <w:t xml:space="preserve">Glass Spheres</w:t>
      </w:r>
      <w:r>
        <w:rPr/>
        <w:tab/>
        <w:t xml:space="preserve"/>
      </w:r>
      <w:r>
        <w:rPr/>
        <w:t xml:space="preserve">971-1 and 971-2</w:t>
      </w:r>
    </w:p>
    <w:p>
      <w:pPr>
        <w:pStyle w:val="BodyText"/>
        <w:spacing/>
        <w:rPr/>
      </w:pPr>
      <w:r>
        <w:rPr/>
        <w:tab/>
        <w:t xml:space="preserve"/>
      </w:r>
      <w:r>
        <w:rPr/>
        <w:t xml:space="preserve">Use </w:t>
      </w:r>
      <w:r>
        <w:rPr/>
        <w:t xml:space="preserve">sand </w:t>
      </w:r>
      <w:r>
        <w:rPr/>
        <w:t xml:space="preserve">materials meeting the requirements of 971-5.4.</w:t>
      </w:r>
    </w:p>
    <w:p>
      <w:pPr>
        <w:pStyle w:val="BodyText"/>
        <w:spacing/>
        <w:rPr/>
      </w:pPr>
      <w:r>
        <w:rPr/>
        <w:tab/>
        <w:t xml:space="preserve"/>
      </w:r>
      <w:r>
        <w:rPr/>
        <w:t xml:space="preserve">The Engineer will take random samples of all material in accordance with the Department’s Sampling, Testing and Reporting Guide schedule.</w:t>
      </w:r>
    </w:p>
    <w:p>
      <w:pPr>
        <w:pStyle w:val="BodyText"/>
        <w:spacing/>
        <w:rPr>
          <w:b/>
        </w:rPr>
      </w:pPr>
    </w:p>
    <w:p>
      <w:pPr>
        <w:pStyle w:val="BodyText"/>
        <w:spacing/>
        <w:rPr>
          <w:b/>
        </w:rPr>
      </w:pPr>
    </w:p>
    <w:p>
      <w:pPr>
        <w:pStyle w:val="LeadInSentence"/>
        <w:spacing/>
        <w:rPr/>
      </w:pPr>
      <w:r>
        <w:rPr/>
        <w:t xml:space="preserve">ARTICLE 711-4 is deleted and the following substituted:</w:t>
      </w:r>
    </w:p>
    <w:p>
      <w:pPr>
        <w:pStyle w:val="Article"/>
        <w:spacing/>
        <w:rPr/>
      </w:pPr>
      <w:r>
        <w:rPr/>
        <w:t xml:space="preserve">711-4 Application.</w:t>
      </w:r>
    </w:p>
    <w:p>
      <w:pPr>
        <w:pStyle w:val="BodyText"/>
        <w:spacing/>
        <w:rPr/>
      </w:pPr>
      <w:r>
        <w:rPr/>
        <w:tab/>
        <w:t xml:space="preserve"/>
      </w:r>
      <w:r>
        <w:rPr>
          <w:b/>
          <w:bCs/>
        </w:rPr>
        <w:t xml:space="preserve">711-4.1 General:</w:t>
      </w:r>
      <w:r>
        <w:rPr/>
        <w:t xml:space="preserve"> </w:t>
      </w:r>
      <w:r>
        <w:rPr/>
        <w:t xml:space="preserve">Remove existing thermoplastic pavement markings using a method approved by the Engineer such that pavement surface scars or traces of the removed thermoplastic pavement markings will not conflict with new pavement markings. </w:t>
      </w:r>
      <w:r>
        <w:rPr/>
        <w:t xml:space="preserve">Do not use paint to </w:t>
      </w:r>
      <w:r>
        <w:rPr/>
        <w:t xml:space="preserve">blackout, hide, or disguise</w:t>
      </w:r>
      <w:r>
        <w:rPr/>
        <w:t xml:space="preserve"> existing pavement markings.</w:t>
      </w:r>
    </w:p>
    <w:p>
      <w:pPr>
        <w:pStyle w:val="BodyText"/>
        <w:spacing/>
        <w:rPr/>
      </w:pPr>
      <w:r>
        <w:rPr/>
        <w:tab/>
        <w:t xml:space="preserve"/>
      </w:r>
      <w:r>
        <w:rPr/>
        <w:tab/>
        <w:t xml:space="preserve"/>
      </w:r>
      <w:r>
        <w:rPr/>
        <w:t xml:space="preserve">Before applying pavement markings, remove any material that would adversely affect the bond of the pavement markings by a method approved by the Engineer.</w:t>
      </w:r>
    </w:p>
    <w:p>
      <w:pPr>
        <w:pStyle w:val="BodyText"/>
        <w:spacing/>
        <w:rPr/>
      </w:pPr>
      <w:r>
        <w:rPr/>
        <w:tab/>
        <w:t xml:space="preserve"/>
      </w:r>
      <w:r>
        <w:rPr/>
        <w:tab/>
        <w:t xml:space="preserve"/>
      </w:r>
      <w:r>
        <w:rPr/>
        <w:t xml:space="preserve">Before applying pavement markings to any </w:t>
      </w:r>
      <w:r>
        <w:rPr/>
        <w:t xml:space="preserve">portland</w:t>
      </w:r>
      <w:r>
        <w:rPr/>
        <w:t xml:space="preserve"> cement concrete surface, apply a primer, sealer, or surface preparation adhesive of the type recommended by the manufacturer. Offset longitudinal lines at least 2 inches from any longitudinal joints of </w:t>
      </w:r>
      <w:r>
        <w:rPr/>
        <w:t xml:space="preserve">portland</w:t>
      </w:r>
      <w:r>
        <w:rPr/>
        <w:t xml:space="preserve"> cement concrete pavement.</w:t>
      </w:r>
    </w:p>
    <w:p>
      <w:pPr>
        <w:pStyle w:val="BodyText"/>
        <w:spacing/>
        <w:rPr/>
      </w:pPr>
      <w:r>
        <w:rPr/>
        <w:tab/>
        <w:t xml:space="preserve"/>
      </w:r>
      <w:r>
        <w:rPr/>
        <w:tab/>
        <w:t xml:space="preserve"/>
      </w:r>
      <w:r>
        <w:rPr/>
        <w:t xml:space="preserve">Apply pavement markings to dry surfaces only, and when the ambient air and surface temperature is at least 50ºF and rising for asphalt surfaces and 60°F and rising for concrete surfaces.</w:t>
      </w:r>
    </w:p>
    <w:p>
      <w:pPr>
        <w:pStyle w:val="BodyText"/>
        <w:spacing/>
        <w:rPr/>
      </w:pPr>
      <w:r>
        <w:rPr/>
        <w:tab/>
        <w:t xml:space="preserve"/>
      </w:r>
      <w:r>
        <w:rPr/>
        <w:tab/>
        <w:t xml:space="preserve"/>
      </w:r>
      <w:r>
        <w:rPr/>
        <w:t xml:space="preserve">Apply pavement markings to the same tolerances in dimensions and in alignment </w:t>
      </w:r>
      <w:r>
        <w:rPr/>
        <w:t xml:space="preserve">as </w:t>
      </w:r>
      <w:r>
        <w:rPr/>
        <w:t xml:space="preserve">specified in 710-5. When applying pavement markings over existing markings, ensure that no more than 2 inches on either end </w:t>
      </w:r>
      <w:r>
        <w:rPr/>
        <w:t xml:space="preserve">and</w:t>
      </w:r>
      <w:r>
        <w:rPr/>
        <w:t xml:space="preserve"> not more than 1 inch on either side of the existing line is visible.</w:t>
      </w:r>
    </w:p>
    <w:p>
      <w:pPr>
        <w:pStyle w:val="BodyText"/>
        <w:spacing/>
        <w:rPr/>
      </w:pPr>
      <w:r>
        <w:rPr/>
        <w:tab/>
        <w:t xml:space="preserve"/>
      </w:r>
      <w:r>
        <w:rPr/>
        <w:tab/>
        <w:t xml:space="preserve"/>
      </w:r>
      <w:r>
        <w:rPr/>
        <w:t xml:space="preserve">Apply thermoplastic material to the pavement by extrusion or other means approved by the Engineer.</w:t>
      </w:r>
    </w:p>
    <w:p>
      <w:pPr>
        <w:pStyle w:val="BodyText"/>
        <w:spacing/>
        <w:rPr/>
      </w:pPr>
      <w:r>
        <w:rPr/>
        <w:tab/>
        <w:t xml:space="preserve"/>
      </w:r>
      <w:r>
        <w:rPr/>
        <w:tab/>
        <w:t xml:space="preserve"/>
      </w:r>
      <w:r>
        <w:rPr/>
        <w:t xml:space="preserve">When thermoplastic pavement markings are to be removed and replaced, apply new thermoplastic pavement markings prior to opening to traffic.</w:t>
      </w:r>
    </w:p>
    <w:p>
      <w:pPr>
        <w:pStyle w:val="BodyText"/>
        <w:spacing/>
        <w:rPr/>
      </w:pPr>
      <w:r>
        <w:rPr/>
        <w:tab/>
        <w:t xml:space="preserve"/>
      </w:r>
      <w:r>
        <w:rPr/>
        <w:tab/>
        <w:t xml:space="preserve"/>
      </w:r>
      <w:r>
        <w:rPr/>
        <w:t xml:space="preserve">Conduct field tests in accordance with FM 5-541.Take test readings representative of the </w:t>
      </w:r>
      <w:r>
        <w:rPr/>
        <w:t xml:space="preserve">pavement marking</w:t>
      </w:r>
      <w:r>
        <w:rPr/>
        <w:t xml:space="preserve"> performance. Remove and replace pavement markings not meeting the requirements of this Section at no additional cost to the Department.</w:t>
      </w:r>
    </w:p>
    <w:p>
      <w:pPr>
        <w:pStyle w:val="BodyText"/>
        <w:spacing/>
        <w:rPr/>
      </w:pPr>
      <w:r>
        <w:rPr/>
        <w:tab/>
        <w:t xml:space="preserve"/>
      </w:r>
      <w:r>
        <w:rPr/>
        <w:tab/>
        <w:t xml:space="preserve"/>
      </w:r>
      <w:r>
        <w:rPr>
          <w:szCs w:val="24"/>
        </w:rPr>
        <w:t xml:space="preserve"> </w:t>
      </w:r>
      <w:r>
        <w:rPr/>
        <w:t xml:space="preserve">Wait at least 14 days after constructing the final asphalt surface course to place thermoplastic </w:t>
      </w:r>
      <w:r>
        <w:rPr/>
        <w:t xml:space="preserve">pavement</w:t>
      </w:r>
      <w:r>
        <w:rPr/>
        <w:t xml:space="preserve"> markings. Provide temporary pavement markings during the interim period prior to opening the road to traffic.</w:t>
      </w:r>
    </w:p>
    <w:p>
      <w:pPr>
        <w:pStyle w:val="BodyText"/>
        <w:spacing/>
        <w:rPr/>
      </w:pPr>
      <w:r>
        <w:rPr/>
        <w:tab/>
        <w:t xml:space="preserve"/>
      </w:r>
      <w:r>
        <w:rPr/>
        <w:tab/>
        <w:t xml:space="preserve"/>
      </w:r>
      <w:r>
        <w:rPr>
          <w:b/>
        </w:rPr>
        <w:t xml:space="preserve">711-4.1.1 Preformed Thermoplastic: </w:t>
      </w:r>
      <w:r>
        <w:rPr/>
        <w:t xml:space="preserve">Apply markings to dry surfaces only and when ambient air temperature is at least 32°F. Prior to installation, follow the manufacturer’s recommendations for pre-heating.</w:t>
      </w:r>
      <w:r>
        <w:rPr/>
        <w:t xml:space="preserve"> For railroad dynamic envelopes. Keep all equipment and personnel out of the foul area.</w:t>
      </w:r>
    </w:p>
    <w:p>
      <w:pPr>
        <w:pStyle w:val="BodyText"/>
        <w:spacing/>
        <w:rPr>
          <w:b/>
          <w:bCs/>
        </w:rPr>
      </w:pPr>
      <w:r>
        <w:rPr>
          <w:b/>
          <w:bCs/>
        </w:rPr>
        <w:tab/>
        <w:t xml:space="preserve"/>
      </w:r>
      <w:r>
        <w:rPr>
          <w:b/>
          <w:bCs/>
        </w:rPr>
        <w:t xml:space="preserve">711-4.2 Thickness:</w:t>
      </w:r>
    </w:p>
    <w:p>
      <w:pPr>
        <w:pStyle w:val="BodyText"/>
        <w:spacing/>
        <w:rPr/>
      </w:pPr>
      <w:r>
        <w:rPr/>
        <w:tab/>
        <w:t xml:space="preserve"/>
      </w:r>
      <w:r>
        <w:rPr/>
        <w:tab/>
        <w:t xml:space="preserve"/>
      </w:r>
      <w:r>
        <w:rPr>
          <w:b/>
          <w:bCs/>
        </w:rPr>
        <w:t xml:space="preserve">711-4.2.1 </w:t>
      </w:r>
      <w:r>
        <w:rPr>
          <w:b/>
          <w:bCs/>
        </w:rPr>
        <w:t xml:space="preserve">Standard Thermoplastic Markings</w:t>
      </w:r>
      <w:r>
        <w:rPr>
          <w:b/>
          <w:bCs/>
        </w:rPr>
        <w:t xml:space="preserve">:</w:t>
      </w:r>
      <w:r>
        <w:rPr/>
        <w:t xml:space="preserve"> </w:t>
      </w:r>
      <w:r>
        <w:rPr/>
        <w:t xml:space="preserve">Apply or recap standard thermoplastic pavement markings for longitudinal lines to attain a minimum thickness of 0.10 inch or 100</w:t>
      </w:r>
      <w:r>
        <w:rPr/>
        <w:t xml:space="preserve"> </w:t>
      </w:r>
      <w:r>
        <w:rPr/>
        <w:t xml:space="preserve">mils and a maximum thickness 0.15 inch or 150</w:t>
      </w:r>
      <w:r>
        <w:rPr/>
        <w:t xml:space="preserve"> </w:t>
      </w:r>
      <w:r>
        <w:rPr/>
        <w:t xml:space="preserve">mils maximum thickness, when measured above the pavement surface.</w:t>
      </w:r>
    </w:p>
    <w:p>
      <w:pPr>
        <w:pStyle w:val="BodyText"/>
        <w:spacing/>
        <w:rPr/>
      </w:pPr>
      <w:r>
        <w:rPr/>
        <w:tab/>
        <w:t xml:space="preserve"/>
      </w:r>
      <w:r>
        <w:rPr/>
        <w:tab/>
        <w:t xml:space="preserve"/>
      </w:r>
      <w:r>
        <w:rPr/>
        <w:tab/>
        <w:t xml:space="preserve"/>
      </w:r>
      <w:r>
        <w:rPr/>
        <w:t xml:space="preserve">All chevrons, diagonal and transverse lines, messages, symbols, and arrows, wherever located, will have a thickness of 0.09</w:t>
      </w:r>
      <w:r>
        <w:rPr/>
        <w:t xml:space="preserve"> </w:t>
      </w:r>
      <w:r>
        <w:rPr/>
        <w:t xml:space="preserve">inch or 90</w:t>
      </w:r>
      <w:r>
        <w:rPr/>
        <w:t xml:space="preserve"> </w:t>
      </w:r>
      <w:r>
        <w:rPr/>
        <w:t xml:space="preserve">mils to 0.12 inch or 120</w:t>
      </w:r>
      <w:r>
        <w:rPr/>
        <w:t xml:space="preserve"> </w:t>
      </w:r>
      <w:r>
        <w:rPr/>
        <w:t xml:space="preserve">mils when measured above the pavement surface.</w:t>
      </w:r>
    </w:p>
    <w:p>
      <w:pPr>
        <w:pStyle w:val="BodyText"/>
        <w:spacing/>
        <w:rPr/>
      </w:pPr>
      <w:r>
        <w:rPr/>
        <w:tab/>
        <w:t xml:space="preserve"/>
      </w:r>
      <w:r>
        <w:rPr/>
        <w:tab/>
        <w:t xml:space="preserve"/>
      </w:r>
      <w:r>
        <w:rPr/>
        <w:tab/>
        <w:t xml:space="preserve"/>
      </w:r>
      <w:r>
        <w:rPr/>
        <w:t xml:space="preserve">Measure, record and certify on Department approved form and submit to the Engineer, the thickness of white and yellow pavement markings in accordance with FM 5-541.</w:t>
      </w:r>
    </w:p>
    <w:p>
      <w:pPr>
        <w:pStyle w:val="BodyText"/>
        <w:spacing/>
        <w:rPr/>
      </w:pPr>
      <w:r>
        <w:rPr/>
        <w:tab/>
        <w:t xml:space="preserve"/>
      </w:r>
      <w:r>
        <w:rPr/>
        <w:tab/>
        <w:t xml:space="preserve"/>
      </w:r>
      <w:r>
        <w:rPr/>
        <w:tab/>
        <w:t xml:space="preserve"/>
      </w:r>
      <w:r>
        <w:rPr/>
        <w:t xml:space="preserve">The Engineer will verify the thickness of the pavement markings in accordance with FM 5-541 within 30 days of receipt of the Contractor’s certification.</w:t>
      </w:r>
    </w:p>
    <w:p>
      <w:pPr>
        <w:pStyle w:val="BodyText"/>
        <w:spacing/>
        <w:rPr/>
      </w:pPr>
      <w:r>
        <w:rPr>
          <w:b/>
          <w:bCs/>
        </w:rPr>
        <w:tab/>
        <w:t xml:space="preserve"/>
      </w:r>
      <w:r>
        <w:rPr>
          <w:b/>
          <w:bCs/>
        </w:rPr>
        <w:tab/>
        <w:t xml:space="preserve"/>
      </w:r>
      <w:r>
        <w:rPr>
          <w:b/>
          <w:bCs/>
        </w:rPr>
        <w:t xml:space="preserve">711-4.2.2 Refurbish</w:t>
      </w:r>
      <w:r>
        <w:rPr>
          <w:b/>
          <w:bCs/>
        </w:rPr>
        <w:t xml:space="preserve">ment Thermoplastic</w:t>
      </w:r>
      <w:r>
        <w:rPr>
          <w:b/>
          <w:bCs/>
        </w:rPr>
        <w:t xml:space="preserve"> Markings:</w:t>
      </w:r>
      <w:r>
        <w:rPr/>
        <w:t xml:space="preserve"> </w:t>
      </w:r>
      <w:r>
        <w:rPr/>
        <w:t xml:space="preserve">Apply a minimum of 0.06 inch or 60</w:t>
      </w:r>
      <w:r>
        <w:rPr/>
        <w:t xml:space="preserve"> </w:t>
      </w:r>
      <w:r>
        <w:rPr/>
        <w:t xml:space="preserve">mils of thermoplastic material. Ensure that the combination of the existing marking and the overlay after application of glass spheres does not exceed the maximum thickness of 0.150 inch or 150</w:t>
      </w:r>
      <w:r>
        <w:rPr/>
        <w:t xml:space="preserve"> </w:t>
      </w:r>
      <w:r>
        <w:rPr/>
        <w:t xml:space="preserve">mils for all lines</w:t>
      </w:r>
      <w:r>
        <w:rPr/>
        <w:t xml:space="preserve">.</w:t>
      </w:r>
    </w:p>
    <w:p>
      <w:pPr>
        <w:pStyle w:val="BodyText"/>
        <w:spacing/>
        <w:rPr/>
      </w:pPr>
      <w:r>
        <w:rPr/>
        <w:tab/>
        <w:t xml:space="preserve"/>
      </w:r>
      <w:r>
        <w:rPr/>
        <w:tab/>
        <w:t xml:space="preserve"/>
      </w:r>
      <w:r>
        <w:rPr/>
        <w:tab/>
        <w:t xml:space="preserve"/>
      </w:r>
      <w:r>
        <w:rPr/>
        <w:t xml:space="preserve">Measure, record and certify on Department approved form and submit to the Engineer, the thickness of white and yellow pavement markings in accordance with FM 5-541.</w:t>
      </w:r>
    </w:p>
    <w:p>
      <w:pPr>
        <w:pStyle w:val="BodyText"/>
        <w:spacing/>
        <w:rPr/>
      </w:pPr>
      <w:r>
        <w:rPr/>
        <w:tab/>
        <w:t xml:space="preserve"/>
      </w:r>
      <w:r>
        <w:rPr/>
        <w:tab/>
        <w:t xml:space="preserve"/>
      </w:r>
      <w:r>
        <w:rPr/>
        <w:tab/>
        <w:t xml:space="preserve"/>
      </w:r>
      <w:r>
        <w:rPr/>
        <w:t xml:space="preserve">The Engineer will verify the thickness of the pavement markings in accordance with FM 5-541 within 30 days of receipt of the Contractor’s certification.</w:t>
      </w:r>
    </w:p>
    <w:p>
      <w:pPr>
        <w:pStyle w:val="BodyText"/>
        <w:spacing/>
        <w:rPr/>
      </w:pPr>
      <w:r>
        <w:rPr/>
        <w:tab/>
        <w:t xml:space="preserve"/>
      </w:r>
      <w:r>
        <w:rPr/>
        <w:tab/>
        <w:t xml:space="preserve"/>
      </w:r>
      <w:r>
        <w:rPr>
          <w:b/>
        </w:rPr>
        <w:t xml:space="preserve">711</w:t>
      </w:r>
      <w:r>
        <w:rPr>
          <w:b/>
        </w:rPr>
        <w:t xml:space="preserve">-</w:t>
      </w:r>
      <w:r>
        <w:rPr>
          <w:b/>
        </w:rPr>
        <w:t xml:space="preserve">4.2.3 Preformed Thermoplastic:</w:t>
      </w:r>
      <w:r>
        <w:rPr/>
        <w:t xml:space="preserve"> Apply 0.12</w:t>
      </w:r>
      <w:r>
        <w:rPr/>
        <w:t xml:space="preserve">5 </w:t>
      </w:r>
      <w:r>
        <w:rPr/>
        <w:t xml:space="preserve">inch or 12</w:t>
      </w:r>
      <w:r>
        <w:rPr/>
        <w:t xml:space="preserve">5 </w:t>
      </w:r>
      <w:r>
        <w:rPr/>
        <w:t xml:space="preserve">mils of preformed thermoplastic material.</w:t>
      </w:r>
    </w:p>
    <w:p>
      <w:pPr>
        <w:pStyle w:val="BodyText"/>
        <w:spacing/>
        <w:rPr/>
      </w:pPr>
      <w:r>
        <w:rPr/>
        <w:tab/>
        <w:t xml:space="preserve"/>
      </w:r>
      <w:r>
        <w:rPr/>
        <w:tab/>
        <w:t xml:space="preserve"/>
      </w:r>
      <w:r>
        <w:rPr/>
        <w:tab/>
        <w:t xml:space="preserve"/>
      </w:r>
      <w:r>
        <w:rPr/>
        <w:t xml:space="preserve">Measure, record and certify on Department approved form and submit to the Engineer, the thickness of the pavement markings in accordance with FM 5-541.</w:t>
      </w:r>
    </w:p>
    <w:p>
      <w:pPr>
        <w:pStyle w:val="BodyText"/>
        <w:spacing/>
        <w:rPr/>
      </w:pPr>
      <w:r>
        <w:rPr/>
        <w:tab/>
        <w:t xml:space="preserve"/>
      </w:r>
      <w:r>
        <w:rPr>
          <w:b/>
          <w:bCs/>
        </w:rPr>
        <w:t xml:space="preserve">711-4.3 Retroreflectivity:</w:t>
      </w:r>
      <w:r>
        <w:rPr/>
        <w:t xml:space="preserve"> </w:t>
      </w:r>
      <w:r>
        <w:rPr/>
        <w:t xml:space="preserve">Apply white and yellow pavement markings that will attain an initial retroreflectivity of not less than 450 mcd/lx·m</w:t>
      </w:r>
      <w:r>
        <w:rPr>
          <w:vertAlign w:val="superscript"/>
        </w:rPr>
        <w:t xml:space="preserve">2</w:t>
      </w:r>
      <w:r>
        <w:rPr/>
        <w:t xml:space="preserve"> and not less than 350 mcd/lx·m</w:t>
      </w:r>
      <w:r>
        <w:rPr>
          <w:vertAlign w:val="superscript"/>
        </w:rPr>
        <w:t xml:space="preserve">2</w:t>
      </w:r>
      <w:r>
        <w:rPr/>
        <w:t xml:space="preserve">, respectively for all longitudinal lines. All chevrons, diagonal lines, stop lines, messages, symbols, and arrows will attain an initial retroreflectivity of not less than 300 mcd/lx·m</w:t>
      </w:r>
      <w:r>
        <w:rPr>
          <w:vertAlign w:val="superscript"/>
        </w:rPr>
        <w:t xml:space="preserve">2 </w:t>
      </w:r>
      <w:r>
        <w:rPr/>
        <w:t xml:space="preserve">and 250 mcd/lx·m</w:t>
      </w:r>
      <w:r>
        <w:rPr>
          <w:vertAlign w:val="superscript"/>
        </w:rPr>
        <w:t xml:space="preserve">2</w:t>
      </w:r>
      <w:r>
        <w:rPr/>
        <w:t xml:space="preserve"> for white and yellow respectively. All crosswalks</w:t>
      </w:r>
      <w:r>
        <w:rPr/>
        <w:t xml:space="preserve">, railroad dynamic envelopes</w:t>
      </w:r>
      <w:r>
        <w:rPr/>
        <w:t xml:space="preserve"> and bi</w:t>
      </w:r>
      <w:r>
        <w:rPr/>
        <w:t xml:space="preserve">cycle</w:t>
      </w:r>
      <w:r>
        <w:rPr/>
        <w:t xml:space="preserve"> </w:t>
      </w:r>
      <w:r>
        <w:rPr/>
        <w:t xml:space="preserve">markings</w:t>
      </w:r>
      <w:r>
        <w:rPr/>
        <w:t xml:space="preserve"> shall attain an initial retroreflectivity of not less than 275 mcd/lx·m</w:t>
      </w:r>
      <w:r>
        <w:rPr>
          <w:vertAlign w:val="superscript"/>
        </w:rPr>
        <w:t xml:space="preserve">2</w:t>
      </w:r>
      <w:r>
        <w:rPr/>
        <w:t xml:space="preserve">.</w:t>
      </w:r>
    </w:p>
    <w:p>
      <w:pPr>
        <w:pStyle w:val="BodyText"/>
        <w:spacing/>
        <w:rPr/>
      </w:pPr>
      <w:r>
        <w:rPr/>
        <w:tab/>
        <w:t xml:space="preserve"/>
      </w:r>
      <w:r>
        <w:rPr/>
        <w:tab/>
        <w:t xml:space="preserve"/>
      </w:r>
      <w:r>
        <w:rPr/>
        <w:t xml:space="preserve">When using hot spray thermoplastic material, apply white and yellow </w:t>
      </w:r>
      <w:r>
        <w:rPr/>
        <w:t xml:space="preserve">pavement</w:t>
      </w:r>
      <w:r>
        <w:rPr/>
        <w:t xml:space="preserve"> markings that will attain an initial retroreflectivity of not less than 300 mcd/lx·m2 and not less than 250 mcd/lx·m2, respectively for all longitudinal lines. All pedestrian crosswalks shall attain an initial retroreflectivity </w:t>
      </w:r>
      <w:r>
        <w:rPr/>
        <w:t xml:space="preserve">of not less than 275 mcd/lx·m2.</w:t>
      </w:r>
    </w:p>
    <w:p>
      <w:pPr>
        <w:pStyle w:val="BodyText"/>
        <w:spacing/>
        <w:rPr/>
      </w:pPr>
      <w:r>
        <w:rPr/>
        <w:tab/>
        <w:t xml:space="preserve"/>
      </w:r>
      <w:r>
        <w:rPr/>
        <w:tab/>
        <w:t xml:space="preserve"/>
      </w:r>
      <w:r>
        <w:rPr/>
        <w:t xml:space="preserve">Measure, record and certify on Department approved form and submit to the Engineer, the retroreflectivity of white and yellow pavement markings in accordance with FM 5-541.</w:t>
      </w:r>
    </w:p>
    <w:p>
      <w:pPr>
        <w:pStyle w:val="BodyText"/>
        <w:spacing/>
        <w:rPr>
          <w:b/>
          <w:bCs/>
        </w:rPr>
      </w:pPr>
      <w:r>
        <w:rPr>
          <w:b/>
          <w:bCs/>
        </w:rPr>
        <w:tab/>
        <w:t xml:space="preserve"/>
      </w:r>
      <w:r>
        <w:rPr>
          <w:b/>
          <w:bCs/>
        </w:rPr>
        <w:t xml:space="preserve">711-4.4 Glass Spheres:</w:t>
      </w:r>
    </w:p>
    <w:p>
      <w:pPr>
        <w:pStyle w:val="BodyText"/>
        <w:spacing/>
        <w:rPr/>
      </w:pPr>
      <w:r>
        <w:rPr>
          <w:b/>
        </w:rPr>
        <w:tab/>
        <w:t xml:space="preserve"/>
      </w:r>
      <w:r>
        <w:rPr>
          <w:b/>
        </w:rPr>
        <w:tab/>
        <w:t xml:space="preserve"/>
      </w:r>
      <w:r>
        <w:rPr>
          <w:b/>
        </w:rPr>
        <w:t xml:space="preserve">711-4.4.1 Longitudinal Lines: </w:t>
      </w:r>
      <w:r>
        <w:rPr/>
        <w:t xml:space="preserve">For</w:t>
      </w:r>
      <w:r>
        <w:rPr/>
        <w:t xml:space="preserve"> standard thermoplastic marking</w:t>
      </w:r>
      <w:r>
        <w:rPr/>
        <w:t xml:space="preserve">s</w:t>
      </w:r>
      <w:r>
        <w:rPr/>
        <w:t xml:space="preserve">, apply the first drop of Type 4 or larger glass spheres immediately followed by the second drop of Type 1 glass spheres. For refurbishment thermoplastic markings, apply a single drop of Type 3 glass spheres. Apply reflective glass spheres to all markings at the rates determined by the manufacturer’s recommendations.</w:t>
      </w:r>
    </w:p>
    <w:p>
      <w:pPr>
        <w:pStyle w:val="BodyText"/>
        <w:spacing/>
        <w:rPr/>
      </w:pPr>
      <w:r>
        <w:rPr/>
        <w:tab/>
        <w:t xml:space="preserve"/>
      </w:r>
      <w:r>
        <w:rPr/>
        <w:tab/>
        <w:t xml:space="preserve"/>
      </w:r>
      <w:r>
        <w:rPr>
          <w:b/>
        </w:rPr>
        <w:t xml:space="preserve">711-4.4.2 </w:t>
      </w:r>
      <w:r>
        <w:rPr>
          <w:b/>
        </w:rPr>
        <w:t xml:space="preserve">Chevrons, Diagonal and </w:t>
      </w:r>
      <w:r>
        <w:rPr>
          <w:b/>
        </w:rPr>
        <w:t xml:space="preserve">Transverse </w:t>
      </w:r>
      <w:r>
        <w:rPr>
          <w:b/>
        </w:rPr>
        <w:t xml:space="preserve">Lines, Messages, Symbols, and Arrows</w:t>
      </w:r>
      <w:r>
        <w:rPr>
          <w:b/>
        </w:rPr>
        <w:t xml:space="preserve">:</w:t>
      </w:r>
      <w:r>
        <w:rPr/>
        <w:t xml:space="preserve"> </w:t>
      </w:r>
      <w:r>
        <w:rPr/>
        <w:t xml:space="preserve">For standard or refurbishment thermoplastic markings, apply a single drop of Type 1 glass spheres. Apply retroreflective glass spheres to all markings at the rates determined by the manufacturer’s recommendations.</w:t>
      </w:r>
    </w:p>
    <w:p>
      <w:pPr>
        <w:pStyle w:val="BodyText"/>
        <w:spacing/>
        <w:rPr/>
      </w:pPr>
      <w:r>
        <w:rPr/>
        <w:tab/>
        <w:t xml:space="preserve"/>
      </w:r>
      <w:r>
        <w:rPr/>
        <w:tab/>
        <w:t xml:space="preserve"/>
      </w:r>
      <w:r>
        <w:rPr/>
        <w:tab/>
        <w:t xml:space="preserve"/>
      </w:r>
      <w:r>
        <w:rPr/>
        <w:t xml:space="preserve">Apply a mixture consisting of 50% glass spheres and 50% sharp silica sand to all standard thermoplastic crosswalk lines at the rates determined by the manufacturer’s recommendations.</w:t>
      </w:r>
    </w:p>
    <w:p>
      <w:pPr>
        <w:pStyle w:val="BodyText"/>
        <w:spacing/>
        <w:rPr/>
      </w:pPr>
      <w:r>
        <w:rPr/>
        <w:tab/>
        <w:t xml:space="preserve"/>
      </w:r>
      <w:r>
        <w:rPr/>
        <w:tab/>
        <w:t xml:space="preserve"/>
      </w:r>
      <w:r>
        <w:rPr>
          <w:b/>
        </w:rPr>
        <w:t xml:space="preserve">711-4.4.3 Preformed Markings: </w:t>
      </w:r>
      <w:r>
        <w:rPr/>
        <w:t xml:space="preserve">These markings are factory supplied with glass spheres and skid resistant material.</w:t>
      </w:r>
      <w:r>
        <w:rPr/>
        <w:t xml:space="preserve"> </w:t>
      </w:r>
      <w:r>
        <w:rPr/>
        <w:t xml:space="preserve">Apply glass spheres and skid resistant material in accordance with the manufacturer’s instructions</w:t>
      </w:r>
      <w:r>
        <w:rPr/>
        <w:t xml:space="preserve">.</w:t>
      </w:r>
    </w:p>
    <w:p>
      <w:pPr>
        <w:pStyle w:val="BodyText"/>
        <w:spacing/>
        <w:rPr/>
      </w:pPr>
    </w:p>
    <w:p>
      <w:pPr>
        <w:pStyle w:val="BodyText"/>
        <w:spacing/>
        <w:rPr/>
      </w:pPr>
    </w:p>
    <w:sectPr>
      <w:headerReference w:type="default" r:id="rId1"/>
      <w:endnotePr>
        <w:numFmt w:val="decimal"/>
      </w:endnotePr>
      <w:type w:val="nextPage"/>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r>
      <w:rPr/>
      <w:t xml:space="preser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rawingGridHorizontalSpacing xmlns:w="http://schemas.openxmlformats.org/wordprocessingml/2006/main" w:val="120"/>
  <w:displayHorizontalDrawingGridEvery xmlns:w="http://schemas.openxmlformats.org/wordprocessingml/2006/main" w:val="2"/>
  <w:displayVerticalDrawingGridEvery xmlns:w="http://schemas.openxmlformats.org/wordprocessingml/2006/main" w:val="2"/>
  <w:noPunctuationKerning xmlns:w="http://schemas.openxmlformats.org/wordprocessingml/2006/main"/>
  <w:characterSpacingControl xmlns:w="http://schemas.openxmlformats.org/wordprocessingml/2006/main" w:val="doNotCompress"/>
  <w:endnotePr>
    <w:numFmt w:val="decimal"/>
  </w:endnotePr>
  <w:compat>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link w:val="ArticleChar"/>
    <w:pPr>
      <w:keepNext/>
      <w:tabs>
        <w:tab w:val="left" w:pos="720"/>
      </w:tabs>
      <w:spacing w:before="240"/>
    </w:pPr>
    <w:rPr>
      <w:b/>
      <w:sz w:val="24"/>
    </w:rPr>
  </w:style>
  <w:style w:type="paragraph" w:styleId="BodyText">
    <w:name w:val="Body Text"/>
    <w:next w:val="Normal"/>
    <w:link w:val="BodyTextChar"/>
    <w:pPr>
      <w:tabs>
        <w:tab w:val="left" w:pos="720"/>
      </w:tabs>
      <w:spacing/>
    </w:pPr>
    <w:rPr>
      <w:sz w:val="24"/>
    </w:rPr>
  </w:style>
  <w:style w:type="paragraph" w:styleId="LeadInSentence" w:customStyle="1">
    <w:name w:val="Lead In Sentence"/>
    <w:next w:val="BodyText"/>
    <w:pPr>
      <w:keepNext/>
      <w:spacing w:after="240"/>
      <w:ind w:firstLine="720"/>
    </w:pPr>
    <w:rPr>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next w:val="Normal"/>
    <w:link w:val="HeaderChar"/>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BalloonText">
    <w:name w:val="Balloon Text"/>
    <w:basedOn w:val="Normal"/>
    <w:link w:val="BalloonTextChar"/>
    <w:pPr>
      <w:spacing/>
    </w:pPr>
    <w:rPr>
      <w:rFonts w:ascii="Tahoma" w:hAnsi="Tahoma" w:eastAsia="Tahoma" w:cs="Tahoma"/>
      <w:sz w:val="16"/>
      <w:szCs w:val="16"/>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BodyTextChar" w:customStyle="1">
    <w:name w:val="Body Text Char"/>
    <w:basedOn w:val="DefaultParagraphFont"/>
    <w:link w:val="BodyText"/>
    <w:rPr>
      <w:sz w:val="24"/>
    </w:rPr>
  </w:style>
  <w:style w:type="character" w:styleId="HeaderChar" w:customStyle="1">
    <w:name w:val="Header Char"/>
    <w:basedOn w:val="DefaultParagraphFont"/>
    <w:link w:val="Header"/>
    <w:rPr>
      <w:sz w:val="24"/>
      <w:szCs w:val="24"/>
    </w:rPr>
  </w:style>
  <w:style w:type="character" w:styleId="Heading2Char" w:customStyle="1">
    <w:name w:val="Heading 2 Char"/>
    <w:basedOn w:val="DefaultParagraphFont"/>
    <w:link w:val="Heading2"/>
    <w:rPr>
      <w:rFonts w:cs="Arial"/>
      <w:b/>
      <w:bCs/>
      <w:iCs/>
      <w:caps/>
      <w:sz w:val="24"/>
      <w:szCs w:val="28"/>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paragraph" w:styleId="Revision" w:customStyle="1">
    <w:name w:val="Revision"/>
    <w:semiHidden/>
    <w:pPr>
      <w:spacing/>
    </w:pPr>
    <w:rPr>
      <w:sz w:val="24"/>
      <w:szCs w:val="24"/>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 Id="rId6"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sp965jf/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3</Pages>
  <Words>1021</Words>
  <Characters>5825</Characters>
  <Application>Microsoft Office Word</Application>
  <DocSecurity>0</DocSecurity>
  <Lines>48</Lines>
  <Paragraphs>13</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THERMOPLASTIC TRAFFIC STRIPES AND MARKINGS</dc:title>
  <dc:subject/>
  <dc:creator>jlf</dc:creator>
  <cp:keywords/>
  <cp:lastModifiedBy>Frimmel, Rebecca</cp:lastModifiedBy>
  <cp:lastPrinted>2005-05-02T12:36:00Z</cp:lastPrinted>
  <cp:revision>3</cp:revision>
  <dcterms:created xsi:type="dcterms:W3CDTF">2020-07-10T18:59:00Z</dcterms:created>
  <dcterms:modified xsi:type="dcterms:W3CDTF">2020-07-13T11:44:00Z</dcterms:modified>
  <cp:category>Maintenance1 </cp:category>
</cp:coreProperties>
</file>