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GoBack"/>
      <w:bookmarkEnd w:id="2"/>
      <w:r>
        <w:rPr/>
        <w:t xml:space="preserve">PIPE CULVERTS </w:t>
      </w:r>
      <w:r>
        <w:rPr/>
        <w:t xml:space="preserve">- </w:t>
      </w:r>
      <w:r>
        <w:rPr/>
        <w:t xml:space="preserve">CHEMICAL GROUT</w:t>
      </w:r>
      <w:r>
        <w:rPr/>
        <w:t xml:space="preserve">.</w:t>
      </w:r>
    </w:p>
    <w:p>
      <w:pPr>
        <w:pStyle w:val="Dates"/>
        <w:spacing/>
        <w:rPr/>
      </w:pPr>
      <w:r>
        <w:rPr/>
        <w:t xml:space="preserve">(REV </w:t>
      </w:r>
      <w:r>
        <w:rPr/>
        <w:t xml:space="preserve">6-23-15</w:t>
      </w:r>
      <w:r>
        <w:rPr/>
        <w:t xml:space="preserve">)</w:t>
      </w:r>
      <w:r>
        <w:rPr/>
        <w:t xml:space="preserve"> </w:t>
      </w:r>
      <w:r>
        <w:rPr/>
        <w:t xml:space="preserve">(1-21)</w:t>
      </w:r>
    </w:p>
    <w:p>
      <w:pPr>
        <w:pStyle w:val="LeadInSentence"/>
        <w:spacing/>
        <w:rPr/>
      </w:pPr>
      <w:r>
        <w:rPr/>
        <w:t xml:space="preserve">ARTICLE 430-7 is expanded by the following</w:t>
      </w:r>
      <w:r>
        <w:rPr/>
        <w:t xml:space="preserve"> new Subarticles</w:t>
      </w:r>
      <w:r>
        <w:rPr/>
        <w:t xml:space="preserve">:</w:t>
      </w:r>
    </w:p>
    <w:p>
      <w:pPr>
        <w:pStyle w:val="BodyText"/>
        <w:spacing/>
        <w:rPr>
          <w:rFonts w:eastAsia="TimesNewRoman"/>
        </w:rPr>
      </w:pPr>
      <w:r>
        <w:rPr/>
        <w:tab/>
        <w:t xml:space="preserve"/>
      </w:r>
      <w:r>
        <w:rPr>
          <w:b/>
        </w:rPr>
        <w:t xml:space="preserve">430-7.5 Sealing Joints for Existing Pipe Using Chemical Grouting: </w:t>
      </w:r>
      <w:r>
        <w:rPr/>
        <w:t xml:space="preserve">S</w:t>
      </w:r>
      <w:r>
        <w:rPr/>
        <w:t xml:space="preserve">elect the appropriate chemical grouts and additives, </w:t>
      </w:r>
      <w:r>
        <w:rPr>
          <w:rFonts w:eastAsia="TimesNewRoman"/>
        </w:rPr>
        <w:t xml:space="preserve">in accordance with ASTM</w:t>
      </w:r>
      <w:r>
        <w:rPr>
          <w:rFonts w:eastAsia="TimesNewRoman"/>
        </w:rPr>
        <w:t xml:space="preserve"> </w:t>
      </w:r>
      <w:r>
        <w:rPr>
          <w:rFonts w:eastAsia="TimesNewRoman"/>
        </w:rPr>
        <w:t xml:space="preserve">2304</w:t>
      </w:r>
      <w:r>
        <w:rPr/>
        <w:t xml:space="preserve">. </w:t>
      </w:r>
      <w:r>
        <w:rPr>
          <w:rFonts w:eastAsia="TimesNewRoman"/>
        </w:rPr>
        <w:t xml:space="preserve">Furnish all equipment, material, and labor necessary to clean, i</w:t>
      </w:r>
      <w:r>
        <w:rPr/>
        <w:t xml:space="preserve">nspect, test, and seal pipe joints</w:t>
      </w:r>
      <w:r>
        <w:rPr/>
        <w:t xml:space="preserve">. </w:t>
      </w:r>
      <w:r>
        <w:rPr/>
        <w:t xml:space="preserve">For pipe sizes larger than 42</w:t>
      </w:r>
      <w:r>
        <w:rPr/>
        <w:t xml:space="preserve"> inches</w:t>
      </w:r>
      <w:r>
        <w:rPr/>
        <w:t xml:space="preserve">, </w:t>
      </w:r>
      <w:r>
        <w:rPr/>
        <w:t xml:space="preserve">utilize</w:t>
      </w:r>
      <w:r>
        <w:rPr/>
        <w:t xml:space="preserve"> the method</w:t>
      </w:r>
      <w:r>
        <w:rPr/>
        <w:t xml:space="preserve"> and grout</w:t>
      </w:r>
      <w:r>
        <w:rPr/>
        <w:t xml:space="preserve"> recommended by the </w:t>
      </w:r>
      <w:r>
        <w:rPr/>
        <w:t xml:space="preserve">manufacture</w:t>
      </w:r>
      <w:r>
        <w:rPr/>
        <w:t xml:space="preserve">r</w:t>
      </w:r>
      <w:r>
        <w:rPr/>
        <w:t xml:space="preserve">.</w:t>
      </w:r>
      <w:r>
        <w:rPr/>
        <w:t xml:space="preserve"> </w:t>
      </w:r>
      <w:r>
        <w:rPr/>
        <w:t xml:space="preserve">Supply a</w:t>
      </w:r>
      <w:r>
        <w:rPr/>
        <w:t xml:space="preserve"> copy </w:t>
      </w:r>
      <w:r>
        <w:rPr/>
        <w:t xml:space="preserve">of the method 14</w:t>
      </w:r>
      <w:r>
        <w:rPr/>
        <w:t xml:space="preserve"> </w:t>
      </w:r>
      <w:r>
        <w:rPr/>
        <w:t xml:space="preserve">days prior to the start of work </w:t>
      </w:r>
      <w:r>
        <w:rPr/>
        <w:t xml:space="preserve">to the Engineer</w:t>
      </w:r>
      <w:r>
        <w:rPr/>
        <w:t xml:space="preserve"> for review</w:t>
      </w:r>
      <w:r>
        <w:rPr/>
        <w:t xml:space="preserve">.</w:t>
      </w:r>
      <w:r>
        <w:rPr/>
        <w:t xml:space="preserve"> </w:t>
      </w:r>
      <w:r>
        <w:rPr>
          <w:rFonts w:eastAsia="TimesNewRoman"/>
        </w:rPr>
        <w:t xml:space="preserve">Provide the Engineer with</w:t>
      </w:r>
      <w:r>
        <w:rPr>
          <w:rFonts w:eastAsia="TimesNewRoman"/>
        </w:rPr>
        <w:t xml:space="preserve"> a certification from the manufacture</w:t>
      </w:r>
      <w:r>
        <w:rPr>
          <w:rFonts w:eastAsia="TimesNewRoman"/>
        </w:rPr>
        <w:t xml:space="preserve">r</w:t>
      </w:r>
      <w:r>
        <w:rPr>
          <w:rFonts w:eastAsia="TimesNewRoman"/>
        </w:rPr>
        <w:t xml:space="preserve"> that the chemical grout </w:t>
      </w:r>
      <w:r>
        <w:rPr>
          <w:rFonts w:eastAsia="TimesNewRoman"/>
        </w:rPr>
        <w:t xml:space="preserve">and additives </w:t>
      </w:r>
      <w:r>
        <w:rPr>
          <w:rFonts w:eastAsia="TimesNewRoman"/>
        </w:rPr>
        <w:t xml:space="preserve">selected </w:t>
      </w:r>
      <w:r>
        <w:rPr>
          <w:rFonts w:eastAsia="TimesNewRoman"/>
        </w:rPr>
        <w:t xml:space="preserve">are</w:t>
      </w:r>
      <w:r>
        <w:rPr>
          <w:rFonts w:eastAsia="TimesNewRoman"/>
        </w:rPr>
        <w:t xml:space="preserve"> the correct product</w:t>
      </w:r>
      <w:r>
        <w:rPr>
          <w:rFonts w:eastAsia="TimesNewRoman"/>
        </w:rPr>
        <w:t xml:space="preserve">s</w:t>
      </w:r>
      <w:r>
        <w:rPr>
          <w:rFonts w:eastAsia="TimesNewRoman"/>
        </w:rPr>
        <w:t xml:space="preserve"> for the specific application and conditions at the locations specified in the Contract or Work Document.</w:t>
      </w:r>
    </w:p>
    <w:p>
      <w:pPr>
        <w:pStyle w:val="BodyText"/>
        <w:spacing/>
        <w:rPr>
          <w:rFonts w:eastAsia="TimesNewRoman"/>
        </w:rPr>
      </w:pPr>
      <w:r>
        <w:rPr>
          <w:rFonts w:eastAsia="TimesNewRoman"/>
        </w:rPr>
        <w:tab/>
        <w:t xml:space="preserve"/>
      </w:r>
      <w:r>
        <w:rPr>
          <w:rFonts w:eastAsia="TimesNewRoman"/>
        </w:rPr>
        <w:tab/>
        <w:t xml:space="preserve"/>
      </w:r>
      <w:r>
        <w:rPr>
          <w:rFonts w:eastAsia="TimesNewRoman"/>
          <w:b/>
        </w:rPr>
        <w:t xml:space="preserve">430-7.5.1 Report Submission: </w:t>
      </w:r>
      <w:r>
        <w:rPr>
          <w:rFonts w:eastAsia="TimesNewRoman"/>
        </w:rPr>
        <w:t xml:space="preserve">Submit a report to the Department which contains a minimum of the following: 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>Location</w:t>
      </w:r>
      <w:r>
        <w:rPr>
          <w:szCs w:val="24"/>
        </w:rPr>
        <w:t xml:space="preserve"> of the sewer pipe section.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>Type of pipe material and diameter.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>The test pressure before and after sealing and the duration of the test.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>The volume of grout material used to seal each joint.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>The </w:t>
      </w:r>
      <w:r>
        <w:rPr>
          <w:szCs w:val="24"/>
        </w:rPr>
        <w:t xml:space="preserve">actual </w:t>
      </w:r>
      <w:r>
        <w:rPr>
          <w:szCs w:val="24"/>
        </w:rPr>
        <w:t xml:space="preserve">set </w:t>
      </w:r>
      <w:r>
        <w:rPr>
          <w:szCs w:val="24"/>
        </w:rPr>
        <w:t xml:space="preserve">time</w:t>
      </w:r>
      <w:r>
        <w:rPr>
          <w:szCs w:val="24"/>
        </w:rPr>
        <w:t xml:space="preserve">.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>The grouting material used </w:t>
      </w:r>
      <w:r>
        <w:rPr>
          <w:szCs w:val="24"/>
        </w:rPr>
        <w:t xml:space="preserve">including</w:t>
      </w:r>
      <w:r>
        <w:rPr>
          <w:szCs w:val="24"/>
        </w:rPr>
        <w:t xml:space="preserve"> additives and their respective quantities.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>Video recording </w:t>
      </w:r>
      <w:r>
        <w:rPr>
          <w:szCs w:val="24"/>
        </w:rPr>
        <w:t xml:space="preserve">which must </w:t>
      </w:r>
      <w:r>
        <w:rPr>
          <w:szCs w:val="24"/>
        </w:rPr>
        <w:t xml:space="preserve">include testing and sealing operations for each joint (including inflation and deflation over the joint). Video recordings must meet the requirements in 430-4.8. The grout must be visible on the video recording</w:t>
      </w:r>
      <w:r>
        <w:rPr>
          <w:szCs w:val="24"/>
        </w:rPr>
        <w:t xml:space="preserve">s</w:t>
      </w:r>
      <w:r>
        <w:rPr>
          <w:szCs w:val="24"/>
        </w:rPr>
        <w:t xml:space="preserve">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p>
      <w:pPr>
        <w:pStyle w:val="LeadInSentence"/>
        <w:spacing/>
        <w:rPr/>
      </w:pPr>
      <w:r>
        <w:rPr/>
        <w:t xml:space="preserve">SUBARTICLE 430-12.10 is deleted and </w:t>
      </w:r>
      <w:r>
        <w:rPr/>
        <w:t xml:space="preserve">the following substituted</w:t>
      </w:r>
      <w:r>
        <w:rPr/>
        <w:t xml:space="preserve">: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b/>
          <w:szCs w:val="24"/>
        </w:rPr>
        <w:t xml:space="preserve">430-12.10 Chemical Grouting: </w:t>
      </w:r>
      <w:r>
        <w:rPr>
          <w:szCs w:val="24"/>
        </w:rPr>
        <w:t xml:space="preserve">Price and payment will be full compensation for all </w:t>
      </w:r>
      <w:r>
        <w:rPr>
          <w:szCs w:val="24"/>
        </w:rPr>
        <w:t xml:space="preserve">equipment, materials and labor</w:t>
      </w:r>
      <w:r>
        <w:rPr>
          <w:szCs w:val="24"/>
        </w:rPr>
        <w:t xml:space="preserve"> required including video recording</w:t>
      </w:r>
      <w:r>
        <w:rPr>
          <w:szCs w:val="24"/>
        </w:rPr>
        <w:t xml:space="preserve">s</w:t>
      </w:r>
      <w:r>
        <w:rPr>
          <w:szCs w:val="24"/>
        </w:rPr>
        <w:t xml:space="preserve">.</w:t>
      </w:r>
    </w:p>
    <w:p>
      <w:pPr>
        <w:pStyle w:val="BodyText"/>
        <w:spacing/>
        <w:rPr/>
      </w:pPr>
      <w:r>
        <w:rPr>
          <w:szCs w:val="24"/>
        </w:rPr>
        <w:tab/>
        <w:t xml:space="preserve"/>
      </w:r>
      <w:r>
        <w:rPr>
          <w:b/>
          <w:szCs w:val="24"/>
        </w:rPr>
        <w:t xml:space="preserve">430-12.1</w:t>
      </w:r>
      <w:r>
        <w:rPr>
          <w:b/>
          <w:szCs w:val="24"/>
        </w:rPr>
        <w:t xml:space="preserve">2</w:t>
      </w:r>
      <w:r>
        <w:rPr>
          <w:szCs w:val="24"/>
        </w:rPr>
        <w:t xml:space="preserve"> Payment will be made under the items specified in the Bid Price Proposal.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Goudy Old Style">
    <w:charset w:val="0"/>
    <w:family w:val="roman"/>
    <w:pitch w:val="variable"/>
    <w:sig w:usb0="00000003" w:usb1="00000000" w:usb2="00000000" w:usb3="00000000" w:csb0="00000001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3EF7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decimal"/>
      <w:suff w:val="tab"/>
      <w:lvlText w:val="(%2)"/>
      <w:pPr>
        <w:spacing/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2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3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5">
    <w:nsid w:val="4BC51581"/>
    <w:lvl w:ilvl="0">
      <w:start w:val="1"/>
      <w:numFmt w:val="lowerLetter"/>
      <w:suff w:val="tab"/>
      <w:lvlText w:val="(%1)"/>
      <w:pPr>
        <w:spacing/>
        <w:ind w:left="2520" w:hanging="360"/>
      </w:pPr>
      <w:rPr>
        <w:rFonts w:eastAsia="TimesNewRoman"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6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7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embedSystemFonts xmlns:w="http://schemas.openxmlformats.org/wordprocessingml/2006/main"/>
  <w:proofState w:spelling="clean" w:grammar="clean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 xmlns:w="http://schemas.openxmlformats.org/wordprocessingml/2006/main"/>
  <w:defaultTabStop w:val="720"/>
  <w:drawingGridHorizontalSpacing xmlns:w="http://schemas.openxmlformats.org/wordprocessingml/2006/main" w:val="12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</w:compat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3"/>
    </w:numPr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/>
      <w:jc w:val="center"/>
      <w:outlineLvl w:val="3"/>
    </w:pPr>
    <w:rPr>
      <w:rFonts w:ascii="Goudy Old Style" w:hAnsi="Goudy Old Style" w:eastAsia="Goudy Old Style" w:cs="Goudy Old Style"/>
      <w:sz w:val="3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unhideWhenUsed/>
    <w:rPr/>
  </w:style>
  <w:style w:type="paragraph" w:styleId="Abbreviation" w:customStyle="1">
    <w:name w:val="Abbreviation"/>
    <w:basedOn w:val="Normal"/>
    <w:pPr>
      <w:tabs>
        <w:tab w:val="left" w:pos="2160"/>
      </w:tabs>
      <w:spacing/>
      <w:ind w:left="1872" w:hanging="1440"/>
    </w:pPr>
    <w:rPr>
      <w:sz w:val="20"/>
      <w:szCs w:val="20"/>
    </w:rPr>
  </w:style>
  <w:style w:type="paragraph" w:styleId="Article" w:customStyle="1">
    <w:name w:val="Article"/>
    <w:next w:val="BodyText"/>
    <w:link w:val="ArticleChar"/>
    <w:pPr>
      <w:keepNext/>
      <w:tabs>
        <w:tab w:val="left" w:pos="720"/>
      </w:tabs>
      <w:spacing w:before="240"/>
    </w:pPr>
    <w:rPr>
      <w:b/>
      <w:sz w:val="24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</w:tabs>
      <w:spacing/>
      <w:ind w:left="3060" w:hanging="2340"/>
    </w:pPr>
    <w:rPr>
      <w:sz w:val="22"/>
      <w:szCs w:val="22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56"/>
      <w:szCs w:val="32"/>
    </w:rPr>
  </w:style>
  <w:style w:type="paragraph" w:styleId="BookTitle" w:customStyle="1">
    <w:name w:val="BookTitle"/>
    <w:basedOn w:val="Title"/>
    <w:pPr>
      <w:spacing/>
    </w:pPr>
    <w:rPr>
      <w:szCs w:val="56"/>
    </w:rPr>
  </w:style>
  <w:style w:type="paragraph" w:styleId="Definition" w:customStyle="1">
    <w:name w:val="Definition"/>
    <w:basedOn w:val="Article"/>
    <w:next w:val="BodyText"/>
    <w:pPr>
      <w:spacing w:before="120"/>
    </w:pPr>
    <w:rPr>
      <w:sz w:val="22"/>
    </w:rPr>
  </w:style>
  <w:style w:type="paragraph" w:styleId="Division" w:customStyle="1">
    <w:name w:val="Division"/>
    <w:basedOn w:val="Heading1"/>
    <w:pPr>
      <w:spacing w:before="0" w:after="240"/>
      <w:jc w:val="center"/>
    </w:pPr>
    <w:rPr>
      <w:sz w:val="26"/>
    </w:rPr>
  </w:style>
  <w:style w:type="paragraph" w:styleId="DocumentMap">
    <w:name w:val="Document Map"/>
    <w:basedOn w:val="Normal"/>
    <w:semiHidden/>
    <w:pPr>
      <w:shd w:val="clear" w:color="auto" w:fill="000080"/>
      <w:spacing/>
    </w:pPr>
    <w:rPr>
      <w:rFonts w:ascii="Tahoma" w:hAnsi="Tahoma" w:eastAsia="Tahoma" w:cs="Tahom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paragraph" w:styleId="Groups" w:customStyle="1">
    <w:name w:val="Groups"/>
    <w:basedOn w:val="Heading2"/>
    <w:pPr>
      <w:spacing w:before="0" w:after="240"/>
      <w:jc w:val="center"/>
    </w:pPr>
    <w:rPr>
      <w:b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  <w:semiHidden/>
    <w:pPr>
      <w:tabs>
        <w:tab w:val="right" w:leader="dot" w:pos="3230"/>
      </w:tabs>
      <w:spacing/>
      <w:ind w:left="240" w:hanging="240"/>
    </w:pPr>
    <w:rPr>
      <w:noProof/>
      <w:sz w:val="20"/>
      <w:szCs w:val="21"/>
    </w:rPr>
  </w:style>
  <w:style w:type="paragraph" w:styleId="Index2">
    <w:name w:val="Index 2"/>
    <w:basedOn w:val="Normal"/>
    <w:next w:val="Normal"/>
    <w:semiHidden/>
    <w:pPr>
      <w:tabs>
        <w:tab w:val="right" w:leader="dot" w:pos="3230"/>
      </w:tabs>
      <w:spacing/>
      <w:ind w:left="480" w:hanging="240"/>
    </w:pPr>
    <w:rPr>
      <w:noProof/>
      <w:sz w:val="20"/>
      <w:szCs w:val="21"/>
    </w:rPr>
  </w:style>
  <w:style w:type="paragraph" w:styleId="Index3">
    <w:name w:val="Index 3"/>
    <w:basedOn w:val="Normal"/>
    <w:next w:val="Normal"/>
    <w:semiHidden/>
    <w:pPr>
      <w:spacing/>
      <w:ind w:left="720" w:hanging="240"/>
    </w:pPr>
    <w:rPr>
      <w:sz w:val="20"/>
      <w:szCs w:val="21"/>
    </w:rPr>
  </w:style>
  <w:style w:type="paragraph" w:styleId="Index4">
    <w:name w:val="Index 4"/>
    <w:basedOn w:val="Normal"/>
    <w:next w:val="Normal"/>
    <w:semiHidden/>
    <w:pPr>
      <w:spacing/>
      <w:ind w:left="960" w:hanging="240"/>
    </w:pPr>
    <w:rPr>
      <w:sz w:val="20"/>
      <w:szCs w:val="21"/>
    </w:rPr>
  </w:style>
  <w:style w:type="paragraph" w:styleId="Index5">
    <w:name w:val="Index 5"/>
    <w:basedOn w:val="Normal"/>
    <w:next w:val="Normal"/>
    <w:semiHidden/>
    <w:pPr>
      <w:spacing/>
      <w:ind w:left="1200" w:hanging="240"/>
    </w:pPr>
    <w:rPr>
      <w:sz w:val="20"/>
      <w:szCs w:val="21"/>
    </w:rPr>
  </w:style>
  <w:style w:type="paragraph" w:styleId="Index6">
    <w:name w:val="Index 6"/>
    <w:basedOn w:val="Normal"/>
    <w:next w:val="Normal"/>
    <w:semiHidden/>
    <w:pPr>
      <w:spacing/>
      <w:ind w:left="1440" w:hanging="240"/>
    </w:pPr>
    <w:rPr>
      <w:szCs w:val="21"/>
    </w:rPr>
  </w:style>
  <w:style w:type="paragraph" w:styleId="Index7">
    <w:name w:val="Index 7"/>
    <w:basedOn w:val="Normal"/>
    <w:next w:val="Normal"/>
    <w:semiHidden/>
    <w:pPr>
      <w:spacing/>
      <w:ind w:left="1680" w:hanging="240"/>
    </w:pPr>
    <w:rPr>
      <w:szCs w:val="21"/>
    </w:rPr>
  </w:style>
  <w:style w:type="paragraph" w:styleId="Index8">
    <w:name w:val="Index 8"/>
    <w:basedOn w:val="Normal"/>
    <w:next w:val="Normal"/>
    <w:semiHidden/>
    <w:pPr>
      <w:spacing/>
      <w:ind w:left="1920" w:hanging="240"/>
    </w:pPr>
    <w:rPr>
      <w:szCs w:val="21"/>
    </w:rPr>
  </w:style>
  <w:style w:type="paragraph" w:styleId="Index9">
    <w:name w:val="Index 9"/>
    <w:basedOn w:val="Normal"/>
    <w:next w:val="Normal"/>
    <w:semiHidden/>
    <w:pPr>
      <w:spacing/>
      <w:ind w:left="2160" w:hanging="240"/>
    </w:pPr>
    <w:rPr>
      <w:szCs w:val="21"/>
    </w:rPr>
  </w:style>
  <w:style w:type="paragraph" w:styleId="IndexHeading">
    <w:name w:val="Index Heading"/>
    <w:basedOn w:val="Normal"/>
    <w:next w:val="Index1"/>
    <w:semiHidden/>
    <w:pPr>
      <w:keepNext/>
      <w:pBdr>
        <w:top w:val="double" w:color="auto" w:sz="6" w:space="0" w:shadow="on"/>
        <w:left w:val="double" w:color="auto" w:sz="6" w:space="0" w:shadow="on"/>
        <w:bottom w:val="double" w:color="auto" w:sz="6" w:space="0" w:shadow="on"/>
        <w:right w:val="double" w:color="auto" w:sz="6" w:space="0" w:shadow="on"/>
      </w:pBdr>
      <w:spacing w:before="240" w:after="120"/>
      <w:jc w:val="center"/>
    </w:pPr>
    <w:rPr>
      <w:rFonts w:ascii="Arial" w:hAnsi="Arial" w:eastAsia="Arial" w:cs="Arial"/>
      <w:b/>
      <w:bCs/>
      <w:szCs w:val="26"/>
    </w:rPr>
  </w:style>
  <w:style w:type="paragraph" w:styleId="LeadInSentence" w:customStyle="1">
    <w:name w:val="Lead In Sentence"/>
    <w:next w:val="BodyText"/>
    <w:link w:val="LeadInSentenceChar"/>
    <w:pPr>
      <w:keepNext/>
      <w:spacing w:after="240"/>
      <w:ind w:firstLine="720"/>
    </w:pPr>
    <w:rPr>
      <w:sz w:val="24"/>
    </w:rPr>
  </w:style>
  <w:style w:type="character" w:styleId="PageNumber">
    <w:name w:val="Page Number"/>
    <w:basedOn w:val="DefaultParagraphFont"/>
    <w:rPr/>
  </w:style>
  <w:style w:type="paragraph" w:styleId="PayItemPayUnit" w:customStyle="1">
    <w:name w:val="Pay Item/Pay Unit"/>
    <w:basedOn w:val="Normal"/>
    <w:pPr>
      <w:tabs>
        <w:tab w:val="left" w:pos="1080"/>
        <w:tab w:val="left" w:pos="1728"/>
        <w:tab w:val="left" w:pos="5184"/>
        <w:tab w:val="left" w:pos="5400"/>
      </w:tabs>
      <w:spacing/>
      <w:ind w:left="864"/>
    </w:pPr>
    <w:rPr>
      <w:sz w:val="20"/>
      <w:szCs w:val="20"/>
    </w:rPr>
  </w:style>
  <w:style w:type="paragraph" w:styleId="PayItemPayUnitTitle" w:customStyle="1">
    <w:name w:val="Pay Item/Pay Unit Title"/>
    <w:basedOn w:val="Normal"/>
    <w:pPr>
      <w:keepNext/>
      <w:tabs>
        <w:tab w:val="left" w:pos="5184"/>
      </w:tabs>
      <w:spacing w:after="200"/>
      <w:ind w:left="864"/>
      <w:jc w:val="both"/>
    </w:pPr>
    <w:rPr>
      <w:sz w:val="20"/>
      <w:szCs w:val="20"/>
      <w:u w:val="words"/>
    </w:rPr>
  </w:style>
  <w:style w:type="paragraph" w:styleId="Section1020" w:customStyle="1">
    <w:name w:val="Section 102"/>
    <w:basedOn w:val="Heading9"/>
    <w:numPr>
      <w:ilvl w:val="0"/>
      <w:numId w:val="8"/>
    </w:numPr>
    <w:pPr>
      <w:widowControl w:val="false"/>
      <w:numPr>
        <w:ilvl w:val="0"/>
        <w:numId w:val="8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Section8" w:customStyle="1">
    <w:name w:val="Section 8"/>
    <w:basedOn w:val="Heading8"/>
    <w:next w:val="Dates"/>
    <w:numPr>
      <w:ilvl w:val="0"/>
      <w:numId w:val="4"/>
    </w:numPr>
    <w:pPr>
      <w:keepLines/>
      <w:numPr>
        <w:ilvl w:val="0"/>
        <w:numId w:val="4"/>
      </w:numPr>
      <w:spacing w:before="0" w:after="0"/>
    </w:pPr>
    <w:rPr>
      <w:szCs w:val="24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Section80" w:customStyle="1">
    <w:name w:val="Section8"/>
    <w:basedOn w:val="Normal"/>
    <w:numPr>
      <w:ilvl w:val="0"/>
      <w:numId w:val="5"/>
    </w:numPr>
    <w:pPr>
      <w:numPr>
        <w:ilvl w:val="0"/>
        <w:numId w:val="5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7"/>
    </w:numPr>
    <w:pPr>
      <w:numPr>
        <w:ilvl w:val="0"/>
        <w:numId w:val="7"/>
      </w:numPr>
      <w:tabs>
        <w:tab w:val="left" w:pos="720"/>
        <w:tab w:val="left" w:pos="2160"/>
      </w:tabs>
      <w:spacing/>
      <w:outlineLvl w:val="8"/>
    </w:pPr>
    <w:rPr/>
  </w:style>
  <w:style w:type="paragraph" w:styleId="Style1" w:customStyle="1">
    <w:name w:val="Style1"/>
    <w:basedOn w:val="BodyText"/>
    <w:pPr>
      <w:spacing/>
    </w:pPr>
    <w:rPr/>
  </w:style>
  <w:style w:type="paragraph" w:styleId="Subarticle" w:customStyle="1">
    <w:name w:val="Subarticle"/>
    <w:pPr>
      <w:keepNext/>
      <w:spacing/>
      <w:ind w:firstLine="720"/>
    </w:pPr>
    <w:rPr>
      <w:b/>
      <w:sz w:val="24"/>
      <w:szCs w:val="24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2">
    <w:name w:val="TOC 2"/>
    <w:basedOn w:val="Normal"/>
    <w:next w:val="Normal"/>
    <w:semiHidden/>
    <w:pPr>
      <w:spacing/>
      <w:ind w:left="1080" w:right="1080" w:hanging="720"/>
    </w:pPr>
    <w:rPr/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character" w:styleId="PlaceholderText" w:customStyle="1">
    <w:name w:val="Placeholder Text"/>
    <w:basedOn w:val="DefaultParagraphFont"/>
    <w:semiHidden/>
    <w:rPr>
      <w:color w:val="808080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character" w:styleId="BodyTextChar" w:customStyle="1">
    <w:name w:val="Body Text Char"/>
    <w:basedOn w:val="DefaultParagraphFont"/>
    <w:link w:val="BodyText"/>
    <w:rPr>
      <w:sz w:val="24"/>
    </w:rPr>
  </w:style>
  <w:style w:type="character" w:styleId="Heading1Char" w:customStyle="1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Arial" w:cs="Arial"/>
      <w:b/>
      <w:sz w:val="24"/>
      <w:szCs w:val="22"/>
    </w:rPr>
  </w:style>
  <w:style w:type="paragraph" w:styleId="Default" w:customStyle="1">
    <w:name w:val="Default"/>
    <w:pPr>
      <w:autoSpaceDE w:val="false"/>
      <w:autoSpaceDN w:val="false"/>
      <w:adjustRightInd w:val="false"/>
      <w:spacing/>
    </w:pPr>
    <w:rPr>
      <w:color w:val="000000"/>
      <w:sz w:val="24"/>
      <w:szCs w:val="24"/>
    </w:rPr>
  </w:style>
  <w:style w:type="character" w:styleId="Heading2Char" w:customStyle="1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</w:rPr>
  </w:style>
  <w:style w:type="paragraph" w:styleId="Subdivision" w:customStyle="1">
    <w:name w:val="Subdivision"/>
    <w:basedOn w:val="Normal"/>
    <w:qFormat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  <w:style w:type="character" w:styleId="LeadInSentenceChar" w:customStyle="1">
    <w:name w:val="Lead In Sentence Char"/>
    <w:basedOn w:val="DefaultParagraphFont"/>
    <w:link w:val="LeadInSentence"/>
    <w:rPr>
      <w:sz w:val="24"/>
    </w:rPr>
  </w:style>
  <w:style w:type="character" w:styleId="TitleChar" w:customStyle="1">
    <w:name w:val="Title Char"/>
    <w:basedOn w:val="DefaultParagraphFont"/>
    <w:link w:val="Title"/>
    <w:rPr>
      <w:rFonts w:cs="Arial"/>
      <w:b/>
      <w:bCs/>
      <w:kern w:val="28"/>
      <w:sz w:val="56"/>
      <w:szCs w:val="32"/>
    </w:rPr>
  </w:style>
  <w:style w:type="paragraph" w:styleId="ListParagraph">
    <w:name w:val="List Paragraph"/>
    <w:basedOn w:val="Normal"/>
    <w:qFormat/>
    <w:pPr>
      <w:widowControl w:val="true"/>
      <w:autoSpaceDE w:val="true"/>
      <w:autoSpaceDN w:val="true"/>
      <w:adjustRightInd w:val="true"/>
      <w:spacing/>
      <w:ind w:left="720"/>
    </w:pPr>
    <w:rPr>
      <w:rFonts w:ascii="Calibri" w:hAnsi="Calibri" w:eastAsia="Calibri" w:cs="Calibri"/>
      <w:sz w:val="22"/>
      <w:szCs w:val="22"/>
    </w:rPr>
  </w:style>
  <w:style w:type="character" w:styleId="CommentReference" w:customStyle="1">
    <w:name w:val="annotation reference"/>
    <w:basedOn w:val="DefaultParagraphFont"/>
    <w:semiHidden/>
    <w:unhideWhenUsed/>
    <w:rPr>
      <w:sz w:val="16"/>
      <w:szCs w:val="16"/>
    </w:rPr>
  </w:style>
  <w:style w:type="paragraph" w:styleId="CommentText" w:customStyle="1">
    <w:name w:val="annotation text"/>
    <w:basedOn w:val="Normal"/>
    <w:link w:val="CommentTextChar"/>
    <w:semiHidden/>
    <w:unhideWhenUsed/>
    <w:pPr>
      <w:spacing/>
    </w:pPr>
    <w:rPr>
      <w:sz w:val="20"/>
      <w:szCs w:val="20"/>
    </w:rPr>
  </w:style>
  <w:style w:type="character" w:styleId="CommentTextChar" w:customStyle="1">
    <w:name w:val="Comment Text Char"/>
    <w:basedOn w:val="DefaultParagraphFont"/>
    <w:semiHidden/>
    <w:rPr/>
  </w:style>
  <w:style w:type="paragraph" w:styleId="CommentSubject" w:customStyle="1">
    <w:name w:val="annotation subject"/>
    <w:basedOn w:val="CommentText"/>
    <w:next w:val="annotationsubject"/>
    <w:link w:val="CommentSubjectChar"/>
    <w:semiHidden/>
    <w:unhideWhenUsed/>
    <w:pPr>
      <w:spacing/>
    </w:pPr>
    <w:rPr>
      <w:b/>
      <w:bCs/>
    </w:rPr>
  </w:style>
  <w:style w:type="character" w:styleId="CommentSubjectChar" w:customStyle="1">
    <w:name w:val="Comment Subject Char"/>
    <w:basedOn w:val="DefaultParagraphFont"/>
    <w:semiHidden/>
    <w:rPr>
      <w:b/>
      <w:bCs/>
    </w:rPr>
  </w:style>
  <w:style w:type="character" w:styleId="Heading4Char" w:customStyle="1">
    <w:name w:val="Heading 4 Char"/>
    <w:basedOn w:val="DefaultParagraphFont"/>
    <w:link w:val="Heading4"/>
    <w:rPr>
      <w:rFonts w:ascii="Goudy Old Style" w:hAnsi="Goudy Old Style" w:eastAsia="Goudy Old Style" w:cs="Goudy Old Style"/>
      <w:sz w:val="36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BodyTextLeft1" w:customStyle="1">
    <w:name w:val="Style Body Text + Left: 1&quot;"/>
    <w:basedOn w:val="BodyText"/>
    <w:qFormat/>
    <w:pPr>
      <w:widowControl w:val="false"/>
      <w:spacing/>
      <w:ind w:left="1440"/>
    </w:pPr>
    <w:rPr/>
  </w:style>
  <w:style w:type="paragraph" w:styleId="Revision" w:customStyle="1">
    <w:name w:val="Revision"/>
    <w:semiHidden/>
    <w:pPr>
      <w:spacing/>
    </w:pPr>
    <w:rPr>
      <w:sz w:val="24"/>
      <w:szCs w:val="24"/>
    </w:rPr>
  </w:style>
  <w:style w:type="character" w:styleId="ArticleChar" w:customStyle="1">
    <w:name w:val="Article Char"/>
    <w:basedOn w:val="DefaultParagraphFont"/>
    <w:link w:val="Article"/>
    <w:rPr>
      <w:b/>
      <w:sz w:val="24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sp965ft/AppData/Roaming/Microsoft/Templat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A59F-836B-4641-9568-D3641FE77541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0</TotalTime>
  <Pages>1</Pages>
  <Words>263</Words>
  <Characters>1505</Characters>
  <Application>Microsoft Office Word</Application>
  <DocSecurity>0</DocSecurity>
  <Lines>12</Lines>
  <Paragraphs>3</Paragraphs>
  <Company>Florida Department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SP965ft</dc:creator>
  <cp:keywords/>
  <cp:lastModifiedBy>Rebecca</cp:lastModifiedBy>
  <cp:lastPrinted>2015-01-06T17:53:00Z</cp:lastPrinted>
  <cp:revision>3</cp:revision>
  <dcterms:created xsi:type="dcterms:W3CDTF">2020-03-31T21:48:00Z</dcterms:created>
  <dcterms:modified xsi:type="dcterms:W3CDTF">2020-03-31T21:49:00Z</dcterms:modified>
  <cp:category>Maintenance1 </cp:category>
</cp:coreProperties>
</file>