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Heading2"/>
        <w:spacing/>
        <w:rPr/>
      </w:pPr>
      <w:bookmarkStart w:id="2" w:name="_GoBack"/>
      <w:bookmarkEnd w:id="2"/>
      <w:r>
        <w:rPr/>
        <w:t xml:space="preserve">INLETS, MANHOLES, AND JUNCTION BOXES</w:t>
      </w:r>
      <w:r>
        <w:rPr/>
        <w:t xml:space="preserve">.</w:t>
      </w:r>
    </w:p>
    <w:p>
      <w:pPr>
        <w:pStyle w:val="Dates"/>
        <w:spacing/>
        <w:rPr/>
      </w:pPr>
      <w:r>
        <w:rPr/>
        <w:t xml:space="preserve">(REV </w:t>
      </w:r>
      <w:r>
        <w:rPr/>
        <w:t xml:space="preserve">3-9-18</w:t>
      </w:r>
      <w:r>
        <w:rPr/>
        <w:t xml:space="preserve">)</w:t>
      </w:r>
      <w:r>
        <w:rPr/>
        <w:t xml:space="preserve"> </w:t>
      </w:r>
      <w:r>
        <w:rPr/>
        <w:t xml:space="preserve">(1-21)</w:t>
      </w:r>
    </w:p>
    <w:p>
      <w:pPr>
        <w:pStyle w:val="LeadInSentence"/>
        <w:spacing/>
        <w:rPr/>
      </w:pPr>
      <w:r>
        <w:rPr/>
        <w:t xml:space="preserve">ARTICLE 425-6 is expanded by the addition of the following new </w:t>
      </w:r>
      <w:r>
        <w:rPr/>
        <w:t xml:space="preserve">Subarticle</w:t>
      </w:r>
      <w:r>
        <w:rPr/>
        <w:t xml:space="preserve">:</w:t>
      </w:r>
    </w:p>
    <w:p>
      <w:pPr>
        <w:pStyle w:val="BodyText"/>
        <w:spacing/>
        <w:rPr/>
      </w:pPr>
      <w:r>
        <w:rPr>
          <w:b/>
          <w:bCs/>
        </w:rPr>
        <w:tab/>
        <w:t xml:space="preserve"/>
      </w:r>
      <w:r>
        <w:rPr>
          <w:b/>
          <w:bCs/>
        </w:rPr>
        <w:t xml:space="preserve">425-6.</w:t>
      </w:r>
      <w:r>
        <w:rPr>
          <w:b/>
          <w:bCs/>
        </w:rPr>
        <w:t xml:space="preserve">8</w:t>
      </w:r>
      <w:r>
        <w:rPr>
          <w:b/>
          <w:bCs/>
        </w:rPr>
        <w:t xml:space="preserve"> </w:t>
      </w:r>
      <w:r>
        <w:rPr>
          <w:b/>
          <w:bCs/>
        </w:rPr>
        <w:t xml:space="preserve">Cleaning of Manholes and Inlets:</w:t>
      </w:r>
      <w:r>
        <w:rPr/>
        <w:t xml:space="preserve"> </w:t>
      </w:r>
      <w:r>
        <w:rPr/>
        <w:t xml:space="preserve">Clean manholes and inlets </w:t>
      </w:r>
      <w:r>
        <w:rPr/>
        <w:t xml:space="preserve">us</w:t>
      </w:r>
      <w:r>
        <w:rPr/>
        <w:t xml:space="preserve">ing</w:t>
      </w:r>
      <w:r>
        <w:rPr/>
        <w:t xml:space="preserve"> </w:t>
      </w:r>
      <w:r>
        <w:rPr/>
        <w:t xml:space="preserve">a jet/vacuuming system or pumping system capable of removing water and debris into a collection bin. Remove and dispose of the water and debris collected in accordance with </w:t>
      </w:r>
      <w:r>
        <w:rPr/>
        <w:t xml:space="preserve">F</w:t>
      </w:r>
      <w:r>
        <w:rPr/>
        <w:t xml:space="preserve">ederal</w:t>
      </w:r>
      <w:r>
        <w:rPr/>
        <w:t xml:space="preserve">, </w:t>
      </w:r>
      <w:r>
        <w:rPr/>
        <w:t xml:space="preserve">S</w:t>
      </w:r>
      <w:r>
        <w:rPr/>
        <w:t xml:space="preserve">tate</w:t>
      </w:r>
      <w:r>
        <w:rPr/>
        <w:t xml:space="preserve">, and </w:t>
      </w:r>
      <w:r>
        <w:rPr/>
        <w:t xml:space="preserve">L</w:t>
      </w:r>
      <w:r>
        <w:rPr/>
        <w:t xml:space="preserve">ocal </w:t>
      </w:r>
      <w:r>
        <w:rPr/>
        <w:t xml:space="preserve">Rules</w:t>
      </w:r>
      <w:r>
        <w:rPr/>
        <w:t xml:space="preserve"> </w:t>
      </w:r>
      <w:r>
        <w:rPr/>
        <w:t xml:space="preserve">and </w:t>
      </w:r>
      <w:r>
        <w:rPr/>
        <w:t xml:space="preserve">R</w:t>
      </w:r>
      <w:r>
        <w:rPr/>
        <w:t xml:space="preserve">egulations</w:t>
      </w:r>
      <w:r>
        <w:rPr/>
        <w:t xml:space="preserve">.</w:t>
      </w:r>
    </w:p>
    <w:p>
      <w:pPr>
        <w:spacing/>
        <w:jc w:val="both"/>
        <w:rPr/>
      </w:pPr>
    </w:p>
    <w:p>
      <w:pPr>
        <w:spacing/>
        <w:jc w:val="both"/>
        <w:rPr/>
      </w:pPr>
    </w:p>
    <w:p>
      <w:pPr>
        <w:pStyle w:val="LeadInSentence"/>
        <w:spacing/>
        <w:rPr/>
      </w:pPr>
      <w:r>
        <w:rPr/>
        <w:t xml:space="preserve">ARTICLE 425-7 </w:t>
      </w:r>
      <w:r>
        <w:rPr/>
        <w:t xml:space="preserve">is </w:t>
      </w:r>
      <w:r>
        <w:rPr/>
        <w:t xml:space="preserve">deleted and replaced </w:t>
      </w:r>
      <w:r>
        <w:rPr/>
        <w:t xml:space="preserve">by the following:</w:t>
      </w:r>
    </w:p>
    <w:p>
      <w:pPr>
        <w:pStyle w:val="Article"/>
        <w:spacing/>
        <w:rPr/>
      </w:pPr>
      <w:r>
        <w:rPr/>
        <w:t xml:space="preserve">425-7 Method of Measurement.</w:t>
      </w:r>
    </w:p>
    <w:p>
      <w:pPr>
        <w:pStyle w:val="BodyText"/>
        <w:spacing/>
        <w:rPr>
          <w:szCs w:val="24"/>
        </w:rPr>
      </w:pPr>
      <w:r>
        <w:rPr>
          <w:szCs w:val="24"/>
        </w:rPr>
        <w:tab/>
        <w:t xml:space="preserve"/>
      </w:r>
      <w:r>
        <w:rPr>
          <w:szCs w:val="24"/>
        </w:rPr>
        <w:t xml:space="preserve">The quantities to be paid for under this Section will also include</w:t>
      </w:r>
      <w:r>
        <w:rPr>
          <w:szCs w:val="24"/>
        </w:rPr>
        <w:t xml:space="preserve">:</w:t>
      </w:r>
    </w:p>
    <w:p>
      <w:pPr>
        <w:pStyle w:val="BodyText"/>
        <w:spacing/>
        <w:rPr>
          <w:szCs w:val="24"/>
        </w:rPr>
      </w:pPr>
      <w:r>
        <w:rPr>
          <w:szCs w:val="24"/>
        </w:rPr>
        <w:tab/>
        <w:t xml:space="preserve"/>
      </w:r>
      <w:r>
        <w:rPr>
          <w:szCs w:val="24"/>
        </w:rPr>
        <w:tab/>
        <w:t xml:space="preserve"/>
      </w:r>
      <w:r>
        <w:rPr>
          <w:szCs w:val="24"/>
        </w:rPr>
        <w:t xml:space="preserve">1.</w:t>
      </w:r>
      <w:r>
        <w:rPr>
          <w:szCs w:val="24"/>
        </w:rPr>
        <w:t xml:space="preserve"> </w:t>
      </w:r>
      <w:r>
        <w:rPr>
          <w:szCs w:val="24"/>
        </w:rPr>
        <w:t xml:space="preserve">The </w:t>
      </w:r>
      <w:r>
        <w:rPr>
          <w:szCs w:val="24"/>
        </w:rPr>
        <w:t xml:space="preserve">number of existing drainage structures modified, </w:t>
      </w:r>
    </w:p>
    <w:p>
      <w:pPr>
        <w:pStyle w:val="BodyText"/>
        <w:spacing/>
        <w:rPr>
          <w:szCs w:val="24"/>
        </w:rPr>
      </w:pPr>
      <w:r>
        <w:rPr>
          <w:szCs w:val="24"/>
        </w:rPr>
        <w:tab/>
        <w:t xml:space="preserve"/>
      </w:r>
      <w:r>
        <w:rPr>
          <w:szCs w:val="24"/>
        </w:rPr>
        <w:tab/>
        <w:t xml:space="preserve"/>
      </w:r>
      <w:r>
        <w:rPr>
          <w:szCs w:val="24"/>
        </w:rPr>
        <w:t xml:space="preserve">2.</w:t>
      </w:r>
      <w:r>
        <w:rPr>
          <w:szCs w:val="24"/>
        </w:rPr>
        <w:t xml:space="preserve"> </w:t>
      </w:r>
      <w:r>
        <w:rPr>
          <w:szCs w:val="24"/>
        </w:rPr>
        <w:t xml:space="preserve">The </w:t>
      </w:r>
      <w:r>
        <w:rPr>
          <w:szCs w:val="24"/>
        </w:rPr>
        <w:t xml:space="preserve">number of inlets relocated, </w:t>
      </w:r>
    </w:p>
    <w:p>
      <w:pPr>
        <w:pStyle w:val="BodyText"/>
        <w:spacing/>
        <w:rPr>
          <w:szCs w:val="24"/>
        </w:rPr>
      </w:pPr>
      <w:r>
        <w:rPr>
          <w:szCs w:val="24"/>
        </w:rPr>
        <w:tab/>
        <w:t xml:space="preserve"/>
      </w:r>
      <w:r>
        <w:rPr>
          <w:szCs w:val="24"/>
        </w:rPr>
        <w:tab/>
        <w:t xml:space="preserve"/>
      </w:r>
      <w:r>
        <w:rPr>
          <w:szCs w:val="24"/>
        </w:rPr>
        <w:t xml:space="preserve">3.</w:t>
      </w:r>
      <w:r>
        <w:rPr>
          <w:szCs w:val="24"/>
        </w:rPr>
        <w:t xml:space="preserve"> </w:t>
      </w:r>
      <w:r>
        <w:rPr>
          <w:szCs w:val="24"/>
        </w:rPr>
        <w:t xml:space="preserve">The </w:t>
      </w:r>
      <w:r>
        <w:rPr>
          <w:szCs w:val="24"/>
        </w:rPr>
        <w:t xml:space="preserve">number of inlets modified, </w:t>
      </w:r>
    </w:p>
    <w:p>
      <w:pPr>
        <w:pStyle w:val="BodyText"/>
        <w:spacing/>
        <w:rPr>
          <w:szCs w:val="24"/>
        </w:rPr>
      </w:pPr>
      <w:r>
        <w:rPr>
          <w:szCs w:val="24"/>
        </w:rPr>
        <w:tab/>
        <w:t xml:space="preserve"/>
      </w:r>
      <w:r>
        <w:rPr>
          <w:szCs w:val="24"/>
        </w:rPr>
        <w:tab/>
        <w:t xml:space="preserve"/>
      </w:r>
      <w:r>
        <w:rPr>
          <w:szCs w:val="24"/>
        </w:rPr>
        <w:t xml:space="preserve">4.</w:t>
      </w:r>
      <w:r>
        <w:rPr>
          <w:szCs w:val="24"/>
        </w:rPr>
        <w:t xml:space="preserve"> </w:t>
      </w:r>
      <w:r>
        <w:rPr>
          <w:szCs w:val="24"/>
        </w:rPr>
        <w:t xml:space="preserve">The </w:t>
      </w:r>
      <w:r>
        <w:rPr>
          <w:szCs w:val="24"/>
        </w:rPr>
        <w:t xml:space="preserve">number of manholes and inlets cleaned, </w:t>
      </w:r>
    </w:p>
    <w:p>
      <w:pPr>
        <w:pStyle w:val="BodyText"/>
        <w:spacing/>
        <w:rPr>
          <w:szCs w:val="24"/>
        </w:rPr>
      </w:pPr>
      <w:r>
        <w:rPr>
          <w:szCs w:val="24"/>
        </w:rPr>
        <w:tab/>
        <w:t xml:space="preserve"/>
      </w:r>
      <w:r>
        <w:rPr>
          <w:szCs w:val="24"/>
        </w:rPr>
        <w:tab/>
        <w:t xml:space="preserve"/>
      </w:r>
      <w:r>
        <w:rPr>
          <w:szCs w:val="24"/>
        </w:rPr>
        <w:t xml:space="preserve">5.</w:t>
      </w:r>
      <w:r>
        <w:rPr>
          <w:szCs w:val="24"/>
        </w:rPr>
        <w:t xml:space="preserve"> </w:t>
      </w:r>
      <w:r>
        <w:rPr>
          <w:szCs w:val="24"/>
        </w:rPr>
        <w:t xml:space="preserve">The </w:t>
      </w:r>
      <w:r>
        <w:rPr>
          <w:szCs w:val="24"/>
        </w:rPr>
        <w:t xml:space="preserve">number of leaks repaired in manholes and inlets, </w:t>
      </w:r>
    </w:p>
    <w:p>
      <w:pPr>
        <w:pStyle w:val="BodyText"/>
        <w:spacing/>
        <w:rPr>
          <w:szCs w:val="24"/>
        </w:rPr>
      </w:pPr>
      <w:r>
        <w:rPr>
          <w:szCs w:val="24"/>
        </w:rPr>
        <w:tab/>
        <w:t xml:space="preserve"/>
      </w:r>
      <w:r>
        <w:rPr>
          <w:szCs w:val="24"/>
        </w:rPr>
        <w:tab/>
        <w:t xml:space="preserve"/>
      </w:r>
      <w:r>
        <w:rPr>
          <w:szCs w:val="24"/>
        </w:rPr>
        <w:t xml:space="preserve">6.</w:t>
      </w:r>
      <w:r>
        <w:rPr>
          <w:szCs w:val="24"/>
        </w:rPr>
        <w:t xml:space="preserve"> </w:t>
      </w:r>
      <w:r>
        <w:rPr>
          <w:szCs w:val="24"/>
        </w:rPr>
        <w:t xml:space="preserve">The </w:t>
      </w:r>
      <w:r>
        <w:rPr>
          <w:szCs w:val="24"/>
        </w:rPr>
        <w:t xml:space="preserve">number of frames and grates furnished and installed, </w:t>
      </w:r>
    </w:p>
    <w:p>
      <w:pPr>
        <w:pStyle w:val="BodyText"/>
        <w:spacing/>
        <w:rPr>
          <w:szCs w:val="24"/>
        </w:rPr>
      </w:pPr>
      <w:r>
        <w:rPr>
          <w:szCs w:val="24"/>
        </w:rPr>
        <w:tab/>
        <w:t xml:space="preserve"/>
      </w:r>
      <w:r>
        <w:rPr>
          <w:szCs w:val="24"/>
        </w:rPr>
        <w:tab/>
        <w:t xml:space="preserve"/>
      </w:r>
      <w:r>
        <w:rPr>
          <w:szCs w:val="24"/>
        </w:rPr>
        <w:t xml:space="preserve">7.</w:t>
      </w:r>
      <w:r>
        <w:rPr>
          <w:szCs w:val="24"/>
        </w:rPr>
        <w:t xml:space="preserve"> </w:t>
      </w:r>
      <w:r>
        <w:rPr>
          <w:szCs w:val="24"/>
        </w:rPr>
        <w:t xml:space="preserve">The </w:t>
      </w:r>
      <w:r>
        <w:rPr>
          <w:szCs w:val="24"/>
        </w:rPr>
        <w:t xml:space="preserve">number of frames and grates reset, </w:t>
      </w:r>
    </w:p>
    <w:p>
      <w:pPr>
        <w:pStyle w:val="BodyText"/>
        <w:spacing/>
        <w:rPr>
          <w:szCs w:val="24"/>
        </w:rPr>
      </w:pPr>
      <w:r>
        <w:rPr>
          <w:szCs w:val="24"/>
        </w:rPr>
        <w:tab/>
        <w:t xml:space="preserve"/>
      </w:r>
      <w:r>
        <w:rPr>
          <w:szCs w:val="24"/>
        </w:rPr>
        <w:tab/>
        <w:t xml:space="preserve"/>
      </w:r>
      <w:r>
        <w:rPr>
          <w:szCs w:val="24"/>
        </w:rPr>
        <w:t xml:space="preserve">8.</w:t>
      </w:r>
      <w:r>
        <w:rPr>
          <w:szCs w:val="24"/>
        </w:rPr>
        <w:t xml:space="preserve"> </w:t>
      </w:r>
      <w:r>
        <w:rPr>
          <w:szCs w:val="24"/>
        </w:rPr>
        <w:t xml:space="preserve">The </w:t>
      </w:r>
      <w:r>
        <w:rPr>
          <w:szCs w:val="24"/>
        </w:rPr>
        <w:t xml:space="preserve">number of manholes and inlets cleaned and sealed, </w:t>
      </w:r>
    </w:p>
    <w:p>
      <w:pPr>
        <w:pStyle w:val="BodyText"/>
        <w:spacing/>
        <w:rPr>
          <w:szCs w:val="24"/>
        </w:rPr>
      </w:pPr>
      <w:r>
        <w:rPr>
          <w:szCs w:val="24"/>
        </w:rPr>
        <w:tab/>
        <w:t xml:space="preserve"/>
      </w:r>
      <w:r>
        <w:rPr>
          <w:szCs w:val="24"/>
        </w:rPr>
        <w:tab/>
        <w:t xml:space="preserve"/>
      </w:r>
      <w:r>
        <w:rPr>
          <w:szCs w:val="24"/>
        </w:rPr>
        <w:t xml:space="preserve">9.</w:t>
      </w:r>
      <w:r>
        <w:rPr>
          <w:szCs w:val="24"/>
        </w:rPr>
        <w:t xml:space="preserve"> </w:t>
      </w:r>
      <w:r>
        <w:rPr>
          <w:szCs w:val="24"/>
        </w:rPr>
        <w:t xml:space="preserve">The </w:t>
      </w:r>
      <w:r>
        <w:rPr>
          <w:szCs w:val="24"/>
        </w:rPr>
        <w:t xml:space="preserve">number of precast caps for inlets (or poured-in-place caps for inlets), </w:t>
      </w:r>
    </w:p>
    <w:p>
      <w:pPr>
        <w:pStyle w:val="BodyText"/>
        <w:spacing/>
        <w:rPr>
          <w:szCs w:val="24"/>
        </w:rPr>
      </w:pPr>
      <w:r>
        <w:rPr>
          <w:szCs w:val="24"/>
        </w:rPr>
        <w:tab/>
        <w:t xml:space="preserve"/>
      </w:r>
      <w:r>
        <w:rPr>
          <w:szCs w:val="24"/>
        </w:rPr>
        <w:tab/>
        <w:t xml:space="preserve"/>
      </w:r>
      <w:r>
        <w:rPr>
          <w:szCs w:val="24"/>
        </w:rPr>
        <w:t xml:space="preserve">10.</w:t>
      </w:r>
      <w:r>
        <w:rPr>
          <w:szCs w:val="24"/>
        </w:rPr>
        <w:t xml:space="preserve"> </w:t>
      </w:r>
      <w:r>
        <w:rPr>
          <w:szCs w:val="24"/>
        </w:rPr>
        <w:t xml:space="preserve">The </w:t>
      </w:r>
      <w:r>
        <w:rPr>
          <w:szCs w:val="24"/>
        </w:rPr>
        <w:t xml:space="preserve">number of grates replaced.</w:t>
      </w:r>
    </w:p>
    <w:p>
      <w:pPr>
        <w:spacing/>
        <w:jc w:val="both"/>
        <w:rPr/>
      </w:pPr>
    </w:p>
    <w:p>
      <w:pPr>
        <w:spacing/>
        <w:jc w:val="both"/>
        <w:rPr/>
      </w:pPr>
    </w:p>
    <w:p>
      <w:pPr>
        <w:pStyle w:val="LeadInSentence"/>
        <w:spacing/>
        <w:rPr/>
      </w:pPr>
      <w:r>
        <w:rPr/>
        <w:t xml:space="preserve">ARTICLE 425-8 </w:t>
      </w:r>
      <w:r>
        <w:rPr/>
        <w:t xml:space="preserve">is </w:t>
      </w:r>
      <w:r>
        <w:rPr/>
        <w:t xml:space="preserve">deleted and replaced </w:t>
      </w:r>
      <w:r>
        <w:rPr/>
        <w:t xml:space="preserve">by the following:</w:t>
      </w:r>
    </w:p>
    <w:p>
      <w:pPr>
        <w:pStyle w:val="Article"/>
        <w:spacing/>
        <w:rPr/>
      </w:pPr>
      <w:r>
        <w:rPr/>
        <w:t xml:space="preserve">425-8 Basis of </w:t>
      </w:r>
      <w:r>
        <w:rPr/>
        <w:t xml:space="preserve">Payment</w:t>
      </w:r>
      <w:r>
        <w:rPr/>
        <w:t xml:space="preserve">.</w:t>
      </w:r>
    </w:p>
    <w:p>
      <w:pPr>
        <w:pStyle w:val="BodyText"/>
        <w:spacing/>
        <w:rPr/>
      </w:pPr>
      <w:r>
        <w:rPr/>
        <w:tab/>
        <w:t xml:space="preserve"/>
      </w:r>
      <w:r>
        <w:rPr>
          <w:b/>
        </w:rPr>
        <w:t xml:space="preserve">425-8.1 New Structures:</w:t>
      </w:r>
      <w:r>
        <w:rPr/>
        <w:t xml:space="preserve"> Price and payment will be full compensation for furnishing all materials and completing all work described herein or shown in the plans, including all clearing and grubbing outside the limits of clearing and grubbing as shown in the plans, all excavation except the volume included in the measurement designated to be paid for under the items for the grading work on the project, all backfilling around the structures, the disposal of surplus material, and the furnishing and placing of all grating, frames, covers, and any other necessary fittings. </w:t>
      </w:r>
    </w:p>
    <w:p>
      <w:pPr>
        <w:pStyle w:val="BodyText"/>
        <w:spacing/>
        <w:rPr/>
      </w:pPr>
      <w:r>
        <w:rPr/>
        <w:tab/>
        <w:t xml:space="preserve"/>
      </w:r>
      <w:r>
        <w:rPr>
          <w:b/>
        </w:rPr>
        <w:t xml:space="preserve">425-8.2 Adjusted Structures:</w:t>
      </w:r>
      <w:r>
        <w:rPr>
          <w:b/>
        </w:rPr>
        <w:t xml:space="preserve"> </w:t>
      </w:r>
      <w:r>
        <w:rPr/>
        <w:t xml:space="preserve">When an item of payment for adjusting</w:t>
      </w:r>
      <w:r>
        <w:rPr/>
        <w:t xml:space="preserve"> manholes, valve boxes, or inlets is provided in the proposal, price and payment will be full compensation for the number of such structures designated to be paid for under separate items, and which are satisfactorily adjusted, at the Contract unit prices each for Adjusting Inlets, Adjusting Manholes, and Adjusting Valve Boxes.</w:t>
      </w:r>
    </w:p>
    <w:p>
      <w:pPr>
        <w:pStyle w:val="BodyText"/>
        <w:spacing/>
        <w:rPr/>
      </w:pPr>
      <w:r>
        <w:rPr/>
        <w:tab/>
        <w:t xml:space="preserve"/>
      </w:r>
      <w:r>
        <w:rPr/>
        <w:tab/>
        <w:t xml:space="preserve"/>
      </w:r>
      <w:r>
        <w:rPr/>
        <w:t xml:space="preserve">For any of such types of these structures required to be adjusted but for which no separate item of payment is shown in the proposal for the specific type, payment will be made under the item of Adjusting Miscellaneous Structures.</w:t>
      </w:r>
    </w:p>
    <w:p>
      <w:pPr>
        <w:pStyle w:val="BodyText"/>
        <w:spacing/>
        <w:rPr/>
      </w:pPr>
      <w:r>
        <w:rPr/>
        <w:tab/>
        <w:t xml:space="preserve"/>
      </w:r>
      <w:r>
        <w:rPr>
          <w:b/>
          <w:bCs/>
        </w:rPr>
        <w:t xml:space="preserve">425-8.</w:t>
      </w:r>
      <w:r>
        <w:rPr>
          <w:b/>
          <w:bCs/>
        </w:rPr>
        <w:t xml:space="preserve">3</w:t>
      </w:r>
      <w:r>
        <w:rPr>
          <w:b/>
          <w:bCs/>
        </w:rPr>
        <w:t xml:space="preserve"> Cleaning Manholes and Inlets:</w:t>
      </w:r>
      <w:r>
        <w:rPr/>
        <w:t xml:space="preserve"> </w:t>
      </w:r>
      <w:r>
        <w:rPr/>
        <w:t xml:space="preserve">The Contract unit price for cleaning manholes and inlets will include all labor, equipment, materials, and incidentals necessary for cleaning manholes and inlets, temporary removal of grates and covers, any temporary pipe plugs necessary to complete the work, and disposal of all water and debris removed.</w:t>
      </w:r>
    </w:p>
    <w:p>
      <w:pPr>
        <w:pStyle w:val="BodyText"/>
        <w:spacing/>
        <w:rPr>
          <w:szCs w:val="24"/>
        </w:rPr>
      </w:pPr>
      <w:r>
        <w:rPr>
          <w:b/>
          <w:bCs/>
        </w:rPr>
        <w:tab/>
        <w:t xml:space="preserve"/>
      </w:r>
      <w:r>
        <w:rPr>
          <w:b/>
          <w:bCs/>
          <w:szCs w:val="24"/>
        </w:rPr>
        <w:t xml:space="preserve">425-8.</w:t>
      </w:r>
      <w:r>
        <w:rPr>
          <w:b/>
          <w:bCs/>
          <w:szCs w:val="24"/>
        </w:rPr>
        <w:t xml:space="preserve">4</w:t>
      </w:r>
      <w:r>
        <w:rPr>
          <w:b/>
          <w:bCs/>
          <w:szCs w:val="24"/>
        </w:rPr>
        <w:t xml:space="preserve"> Repair Leaks in Manholes and Inlets:</w:t>
      </w:r>
      <w:r>
        <w:rPr/>
        <w:t xml:space="preserve"> </w:t>
      </w:r>
      <w:r>
        <w:rPr>
          <w:szCs w:val="24"/>
        </w:rPr>
        <w:t xml:space="preserve">The Contract unit price for repairing leaks in manholes and inlets will include all labor, equipment, materials, and incidentals necessary to repair minor leaks in accordance with Section 411</w:t>
      </w:r>
      <w:r>
        <w:rPr>
          <w:szCs w:val="24"/>
        </w:rPr>
        <w:t xml:space="preserve">.</w:t>
      </w:r>
      <w:r>
        <w:rPr>
          <w:szCs w:val="24"/>
        </w:rPr>
        <w:t xml:space="preserve"> </w:t>
      </w:r>
    </w:p>
    <w:p>
      <w:pPr>
        <w:pStyle w:val="BodyText"/>
        <w:spacing/>
        <w:rPr>
          <w:b/>
          <w:bCs/>
        </w:rPr>
      </w:pPr>
      <w:r>
        <w:rPr>
          <w:b/>
          <w:bCs/>
        </w:rPr>
        <w:tab/>
        <w:t xml:space="preserve"/>
      </w:r>
      <w:r>
        <w:rPr>
          <w:b/>
          <w:bCs/>
          <w:szCs w:val="24"/>
        </w:rPr>
        <w:t xml:space="preserve">425-8.</w:t>
      </w:r>
      <w:r>
        <w:rPr>
          <w:b/>
          <w:bCs/>
          <w:szCs w:val="24"/>
        </w:rPr>
        <w:t xml:space="preserve">5</w:t>
      </w:r>
      <w:r>
        <w:rPr>
          <w:b/>
          <w:bCs/>
          <w:szCs w:val="24"/>
        </w:rPr>
        <w:t xml:space="preserve"> Replace Frame and Grates:</w:t>
      </w:r>
      <w:r>
        <w:rPr/>
        <w:t xml:space="preserve"> </w:t>
      </w:r>
      <w:r>
        <w:rPr>
          <w:szCs w:val="24"/>
        </w:rPr>
        <w:t xml:space="preserve">The Contract unit price will include all labor, equipment, materials (including concrete), and incidentals necessary to furnish and install new frames and grates. The price will also include all cost for removing and </w:t>
      </w:r>
      <w:r>
        <w:rPr>
          <w:szCs w:val="24"/>
        </w:rPr>
        <w:t xml:space="preserve">provid</w:t>
      </w:r>
      <w:r>
        <w:rPr>
          <w:szCs w:val="24"/>
        </w:rPr>
        <w:t xml:space="preserve">ing</w:t>
      </w:r>
      <w:r>
        <w:rPr>
          <w:szCs w:val="24"/>
        </w:rPr>
        <w:t xml:space="preserve"> areas for </w:t>
      </w:r>
      <w:r>
        <w:rPr>
          <w:szCs w:val="24"/>
        </w:rPr>
        <w:t xml:space="preserve">disposing of existing frames and grates</w:t>
      </w:r>
      <w:r>
        <w:rPr>
          <w:szCs w:val="24"/>
        </w:rPr>
        <w:t xml:space="preserve">.</w:t>
      </w:r>
    </w:p>
    <w:p>
      <w:pPr>
        <w:pStyle w:val="BodyText"/>
        <w:spacing/>
        <w:rPr>
          <w:szCs w:val="24"/>
        </w:rPr>
      </w:pPr>
      <w:r>
        <w:rPr>
          <w:b/>
          <w:bCs/>
        </w:rPr>
        <w:tab/>
        <w:t xml:space="preserve"/>
      </w:r>
      <w:r>
        <w:rPr>
          <w:b/>
          <w:bCs/>
          <w:szCs w:val="24"/>
        </w:rPr>
        <w:t xml:space="preserve">425-8.</w:t>
      </w:r>
      <w:r>
        <w:rPr>
          <w:b/>
          <w:bCs/>
          <w:szCs w:val="24"/>
        </w:rPr>
        <w:t xml:space="preserve">6</w:t>
      </w:r>
      <w:r>
        <w:rPr>
          <w:b/>
          <w:bCs/>
          <w:szCs w:val="24"/>
        </w:rPr>
        <w:t xml:space="preserve"> Reset Frame and Grate:</w:t>
      </w:r>
      <w:r>
        <w:rPr/>
        <w:t xml:space="preserve"> </w:t>
      </w:r>
      <w:r>
        <w:rPr>
          <w:szCs w:val="24"/>
        </w:rPr>
        <w:t xml:space="preserve">The Contract unit price will include all labor, equipment, materials (including concrete), disposing of debris, and incidentals necessary to reset existing frame and grate.</w:t>
      </w:r>
    </w:p>
    <w:p>
      <w:pPr>
        <w:pStyle w:val="BodyText"/>
        <w:spacing/>
        <w:rPr>
          <w:szCs w:val="24"/>
        </w:rPr>
      </w:pPr>
      <w:r>
        <w:rPr>
          <w:b/>
          <w:bCs/>
        </w:rPr>
        <w:tab/>
        <w:t xml:space="preserve"/>
      </w:r>
      <w:r>
        <w:rPr>
          <w:b/>
          <w:bCs/>
          <w:szCs w:val="24"/>
        </w:rPr>
        <w:t xml:space="preserve">425-8.7</w:t>
      </w:r>
      <w:r>
        <w:rPr>
          <w:b/>
          <w:bCs/>
          <w:szCs w:val="24"/>
        </w:rPr>
        <w:t xml:space="preserve"> Cleaning and Sealing Manholes and Inlets:</w:t>
      </w:r>
      <w:r>
        <w:rPr/>
        <w:t xml:space="preserve"> </w:t>
      </w:r>
      <w:r>
        <w:rPr>
          <w:szCs w:val="24"/>
        </w:rPr>
        <w:t xml:space="preserve">The Contact unit price will include all cost as specified in 425-8.4 and 425-8.5 above.</w:t>
      </w:r>
    </w:p>
    <w:p>
      <w:pPr>
        <w:pStyle w:val="BodyText"/>
        <w:spacing/>
        <w:rPr>
          <w:szCs w:val="24"/>
        </w:rPr>
      </w:pPr>
      <w:r>
        <w:rPr>
          <w:b/>
          <w:bCs/>
        </w:rPr>
        <w:tab/>
        <w:t xml:space="preserve"/>
      </w:r>
      <w:r>
        <w:rPr>
          <w:b/>
          <w:bCs/>
          <w:szCs w:val="24"/>
        </w:rPr>
        <w:t xml:space="preserve">425-8.</w:t>
      </w:r>
      <w:r>
        <w:rPr>
          <w:b/>
          <w:bCs/>
          <w:szCs w:val="24"/>
        </w:rPr>
        <w:t xml:space="preserve">8</w:t>
      </w:r>
      <w:r>
        <w:rPr>
          <w:b/>
          <w:bCs/>
          <w:szCs w:val="24"/>
        </w:rPr>
        <w:t xml:space="preserve"> Precast Cap for Inlet:</w:t>
      </w:r>
      <w:r>
        <w:rPr/>
        <w:t xml:space="preserve"> </w:t>
      </w:r>
      <w:r>
        <w:rPr>
          <w:szCs w:val="24"/>
        </w:rPr>
        <w:t xml:space="preserve">The Contract unit price will include all cost for labor, equipment, materials (concrete, reinforcing steel, etc.), removal and disposal of existing structure top, and incidentals necessary to replace an inlet by furnishing a new precast top or poured-in-place repair in accordance with the Department's Standard</w:t>
      </w:r>
      <w:r>
        <w:rPr>
          <w:szCs w:val="24"/>
        </w:rPr>
        <w:t xml:space="preserve"> Plans</w:t>
      </w:r>
      <w:r>
        <w:rPr>
          <w:szCs w:val="24"/>
        </w:rPr>
        <w:t xml:space="preserve"> and revisions thereto current at the time of contract letting.</w:t>
      </w:r>
    </w:p>
    <w:p>
      <w:pPr>
        <w:pStyle w:val="BodyText"/>
        <w:spacing/>
        <w:rPr>
          <w:szCs w:val="24"/>
        </w:rPr>
      </w:pPr>
      <w:r>
        <w:rPr>
          <w:b/>
          <w:bCs/>
        </w:rPr>
        <w:tab/>
        <w:t xml:space="preserve"/>
      </w:r>
      <w:r>
        <w:rPr>
          <w:b/>
          <w:bCs/>
          <w:szCs w:val="24"/>
        </w:rPr>
        <w:t xml:space="preserve">425-8.</w:t>
      </w:r>
      <w:r>
        <w:rPr>
          <w:b/>
          <w:bCs/>
          <w:szCs w:val="24"/>
        </w:rPr>
        <w:t xml:space="preserve">9</w:t>
      </w:r>
      <w:r>
        <w:rPr>
          <w:b/>
          <w:bCs/>
          <w:szCs w:val="24"/>
        </w:rPr>
        <w:t xml:space="preserve"> Replace Grate:</w:t>
      </w:r>
      <w:r>
        <w:rPr/>
        <w:t xml:space="preserve"> </w:t>
      </w:r>
      <w:r>
        <w:rPr>
          <w:szCs w:val="24"/>
        </w:rPr>
        <w:t xml:space="preserve">The Contract unit price will include all cost for labor, equipment, materials (including concrete), removing and disposing of existing grate, and incidentals necessary to replace existing grates of the type specified.</w:t>
      </w:r>
    </w:p>
    <w:p>
      <w:pPr>
        <w:pStyle w:val="BodyText"/>
        <w:spacing/>
        <w:rPr/>
      </w:pPr>
      <w:r>
        <w:rPr/>
        <w:tab/>
        <w:t xml:space="preserve"/>
      </w:r>
      <w:r>
        <w:rPr>
          <w:b/>
        </w:rPr>
        <w:t xml:space="preserve">425-8.</w:t>
      </w:r>
      <w:r>
        <w:rPr>
          <w:b/>
        </w:rPr>
        <w:t xml:space="preserve">10</w:t>
      </w:r>
      <w:r>
        <w:rPr>
          <w:b/>
        </w:rPr>
        <w:t xml:space="preserve"> </w:t>
      </w:r>
      <w:r>
        <w:rPr>
          <w:b/>
        </w:rPr>
        <w:t xml:space="preserve">Payment Items:</w:t>
      </w:r>
      <w:r>
        <w:rPr>
          <w:b/>
        </w:rPr>
        <w:t xml:space="preserve"> </w:t>
      </w:r>
      <w:r>
        <w:rPr/>
        <w:t xml:space="preserve">Payment will be made under the items specified in the Bid Price Proposal</w:t>
      </w:r>
      <w:r>
        <w:rPr/>
        <w:t xml:space="preserve">.</w:t>
      </w:r>
    </w:p>
    <w:p>
      <w:pPr>
        <w:pStyle w:val="BodyText"/>
        <w:spacing/>
        <w:rPr/>
      </w:pPr>
    </w:p>
    <w:p>
      <w:pPr>
        <w:pStyle w:val="BodyText"/>
        <w:spacing/>
        <w:rPr/>
      </w:pPr>
    </w:p>
    <w:sectPr>
      <w:endnotePr>
        <w:numFmt w:val="decimal"/>
      </w:endnotePr>
      <w:type w:val="continuous"/>
      <w:pgSz w:w="12240" w:h="15840"/>
      <w:pgMar w:top="1440" w:right="1440" w:bottom="1440" w:left="1440" w:header="720" w:footer="720" w:gutter="0"/>
      <w:pgBorders/>
      <w:pgNumType w:fmt="decimal"/>
      <w:cols w:num="1" w:equalWidth="1"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0"/>
    <w:family w:val="roman"/>
    <w:pitch w:val="variable"/>
    <w:sig w:usb0="E0002EFF" w:usb1="C000785B" w:usb2="00000009" w:usb3="00000000" w:csb0="000001FF" w:csb1="00000000"/>
  </w:font>
  <w:font w:name="Arial">
    <w:charset w:val="0"/>
    <w:family w:val="swiss"/>
    <w:pitch w:val="variable"/>
    <w:sig w:usb0="E0002EFF" w:usb1="C000785B" w:usb2="00000009" w:usb3="00000000" w:csb0="000001FF" w:csb1="00000000"/>
  </w:font>
  <w:font w:name="Goudy Old Style">
    <w:charset w:val="0"/>
    <w:family w:val="roman"/>
    <w:pitch w:val="variable"/>
    <w:sig w:usb0="00000003" w:usb1="00000000" w:usb2="00000000" w:usb3="00000000" w:csb0="00000001" w:csb1="00000000"/>
  </w:font>
  <w:font w:name="Tahoma">
    <w:charset w:val="0"/>
    <w:family w:val="swiss"/>
    <w:pitch w:val="variable"/>
    <w:sig w:usb0="E1002EFF" w:usb1="C000605B" w:usb2="00000029" w:usb3="00000000" w:csb0="000101FF" w:csb1="00000000"/>
  </w:font>
  <w:font w:name="Calibri">
    <w:charset w:val="0"/>
    <w:family w:val="swiss"/>
    <w:pitch w:val="variable"/>
    <w:sig w:usb0="E4002EFF" w:usb1="C000247B" w:usb2="00000009" w:usb3="00000000" w:csb0="000001FF" w:csb1="00000000"/>
  </w:font>
  <w:font w:name="Calibri Light">
    <w:charset w:val="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lvl w:ilvl="0">
      <w:start w:val="1"/>
      <w:numFmt w:val="upperLetter"/>
      <w:suff w:val="tab"/>
      <w:lvlText w:val="%1."/>
      <w:pPr>
        <w:tabs>
          <w:tab w:val="num" w:pos="1440"/>
        </w:tabs>
        <w:spacing/>
        <w:ind w:left="1440" w:hanging="720"/>
      </w:pPr>
      <w:rPr>
        <w:rFonts w:ascii="Times New Roman" w:hAnsi="Times New Roman" w:eastAsia="Times New Roman" w:cs="Times New Roman"/>
        <w:sz w:val="24"/>
        <w:szCs w:val="24"/>
      </w:rPr>
    </w:lvl>
    <w:lvl w:ilvl="1">
      <w:start w:val="1"/>
      <w:numFmt w:val="decimal"/>
      <w:suff w:val="tab"/>
      <w:lvlText w:val="%2"/>
      <w:pPr>
        <w:spacing/>
      </w:pPr>
      <w:rPr/>
    </w:lvl>
    <w:lvl w:ilvl="2">
      <w:start w:val="1"/>
      <w:numFmt w:val="decimal"/>
      <w:suff w:val="tab"/>
      <w:lvlText w:val="%3)"/>
      <w:pPr>
        <w:tabs>
          <w:tab w:val="num" w:pos="2160"/>
        </w:tabs>
        <w:spacing/>
        <w:ind w:left="2160" w:hanging="720"/>
      </w:pPr>
      <w:rPr>
        <w:rFonts w:ascii="Times New Roman" w:hAnsi="Times New Roman" w:eastAsia="Times New Roman" w:cs="Times New Roman"/>
        <w:sz w:val="24"/>
        <w:szCs w:val="24"/>
      </w:rPr>
    </w:lvl>
    <w:lvl w:ilvl="3">
      <w:start w:val="1"/>
      <w:numFmt w:val="upperLetter"/>
      <w:suff w:val="tab"/>
      <w:lvlText w:val="%4"/>
      <w:pPr>
        <w:spacing/>
      </w:pPr>
      <w:rPr/>
    </w:lvl>
    <w:lvl w:ilvl="4">
      <w:start w:val="1"/>
      <w:numFmt w:val="upperLetter"/>
      <w:suff w:val="tab"/>
      <w:lvlText w:val="%5"/>
      <w:pPr>
        <w:spacing/>
      </w:pPr>
      <w:rPr/>
    </w:lvl>
    <w:lvl w:ilvl="5">
      <w:start w:val="1"/>
      <w:numFmt w:val="upperLetter"/>
      <w:suff w:val="tab"/>
      <w:lvlText w:val="%6"/>
      <w:pPr>
        <w:spacing/>
      </w:pPr>
      <w:rPr/>
    </w:lvl>
    <w:lvl w:ilvl="6">
      <w:start w:val="1"/>
      <w:numFmt w:val="upperLetter"/>
      <w:suff w:val="tab"/>
      <w:lvlText w:val="%7"/>
      <w:pPr>
        <w:spacing/>
      </w:pPr>
      <w:rPr/>
    </w:lvl>
    <w:lvl w:ilvl="7">
      <w:start w:val="1"/>
      <w:numFmt w:val="upperLetter"/>
      <w:suff w:val="tab"/>
      <w:lvlText w:val="%8"/>
      <w:pPr>
        <w:spacing/>
      </w:pPr>
      <w:rPr/>
    </w:lvl>
    <w:lvl w:ilvl="8">
      <w:start w:val="0"/>
      <w:numFmt w:val="decimal"/>
      <w:suff w:val="tab"/>
      <w:lvlText w:val=""/>
      <w:pPr>
        <w:spacing/>
      </w:pPr>
      <w:rPr/>
    </w:lvl>
  </w:abstractNum>
  <w:abstractNum w:abstractNumId="1">
    <w:nsid w:val="00000002"/>
    <w:lvl w:ilvl="0">
      <w:start w:val="1"/>
      <w:numFmt w:val="decimal"/>
      <w:suff w:val="tab"/>
      <w:lvlText w:val="%1."/>
      <w:pPr>
        <w:tabs>
          <w:tab w:val="num" w:pos="1440"/>
        </w:tabs>
        <w:spacing/>
        <w:ind w:left="8640" w:hanging="7920"/>
      </w:pPr>
      <w:rPr>
        <w:rFonts w:ascii="Times New Roman" w:hAnsi="Times New Roman" w:eastAsia="Times New Roman" w:cs="Times New Roman"/>
        <w:sz w:val="24"/>
        <w:szCs w:val="24"/>
      </w:rPr>
    </w:lvl>
    <w:lvl w:ilvl="1">
      <w:start w:val="1"/>
      <w:numFmt w:val="decimal"/>
      <w:suff w:val="tab"/>
      <w:lvlText w:val="%2"/>
      <w:pPr>
        <w:spacing/>
      </w:pPr>
      <w:rPr/>
    </w:lvl>
    <w:lvl w:ilvl="2">
      <w:start w:val="1"/>
      <w:numFmt w:val="decimal"/>
      <w:suff w:val="tab"/>
      <w:lvlText w:val="%3"/>
      <w:pPr>
        <w:spacing/>
      </w:pPr>
      <w:rPr/>
    </w:lvl>
    <w:lvl w:ilvl="3">
      <w:start w:val="1"/>
      <w:numFmt w:val="decimal"/>
      <w:suff w:val="tab"/>
      <w:lvlText w:val="%4"/>
      <w:pPr>
        <w:spacing/>
      </w:pPr>
      <w:rPr/>
    </w:lvl>
    <w:lvl w:ilvl="4">
      <w:start w:val="1"/>
      <w:numFmt w:val="decimal"/>
      <w:suff w:val="tab"/>
      <w:lvlText w:val="%5"/>
      <w:pPr>
        <w:spacing/>
      </w:pPr>
      <w:rPr/>
    </w:lvl>
    <w:lvl w:ilvl="5">
      <w:start w:val="1"/>
      <w:numFmt w:val="decimal"/>
      <w:suff w:val="tab"/>
      <w:lvlText w:val="%6"/>
      <w:pPr>
        <w:spacing/>
      </w:pPr>
      <w:rPr/>
    </w:lvl>
    <w:lvl w:ilvl="6">
      <w:start w:val="1"/>
      <w:numFmt w:val="decimal"/>
      <w:suff w:val="tab"/>
      <w:lvlText w:val="%7"/>
      <w:pPr>
        <w:spacing/>
      </w:pPr>
      <w:rPr/>
    </w:lvl>
    <w:lvl w:ilvl="7">
      <w:start w:val="1"/>
      <w:numFmt w:val="decimal"/>
      <w:suff w:val="tab"/>
      <w:lvlText w:val="%8"/>
      <w:pPr>
        <w:spacing/>
      </w:pPr>
      <w:rPr/>
    </w:lvl>
    <w:lvl w:ilvl="8">
      <w:start w:val="0"/>
      <w:numFmt w:val="decimal"/>
      <w:suff w:val="tab"/>
      <w:lvlText w:val=""/>
      <w:pPr>
        <w:spacing/>
      </w:pPr>
      <w:rPr/>
    </w:lvl>
  </w:abstractNum>
  <w:abstractNum w:abstractNumId="2">
    <w:nsid w:val="28126DA5"/>
    <w:lvl w:ilvl="0">
      <w:start w:val="3"/>
      <w:numFmt w:val="upperLetter"/>
      <w:suff w:val="tab"/>
      <w:lvlText w:val="%1."/>
      <w:pPr>
        <w:tabs>
          <w:tab w:val="num" w:pos="720"/>
        </w:tabs>
        <w:spacing/>
        <w:ind w:left="720" w:hanging="360"/>
      </w:pPr>
      <w:rPr>
        <w:rFonts w:hint="default"/>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abstractNum w:abstractNumId="3">
    <w:nsid w:val="2B970AF9"/>
    <w:lvl w:ilvl="0">
      <w:start w:val="1"/>
      <w:numFmt w:val="decimal"/>
      <w:suff w:val="tab"/>
      <w:lvlText w:val="%1."/>
      <w:pPr>
        <w:tabs>
          <w:tab w:val="num" w:pos="360"/>
        </w:tabs>
        <w:spacing/>
        <w:ind w:left="360" w:hanging="360"/>
      </w:pPr>
      <w:rPr>
        <w:rFonts w:hint="default"/>
      </w:rPr>
    </w:lvl>
    <w:lvl w:ilvl="1">
      <w:start w:val="1"/>
      <w:numFmt w:val="decimal"/>
      <w:suff w:val="space"/>
      <w:lvlText w:val="%2"/>
      <w:pPr>
        <w:spacing/>
        <w:ind w:left="0" w:firstLine="720"/>
      </w:pPr>
      <w:rPr>
        <w:rFonts w:hint="default"/>
      </w:rPr>
    </w:lvl>
    <w:lvl w:ilvl="2">
      <w:start w:val="6"/>
      <w:numFmt w:val="decimal"/>
      <w:suff w:val="space"/>
      <w:lvlText w:val="%3"/>
      <w:pPr>
        <w:spacing/>
        <w:ind w:left="0" w:firstLine="720"/>
      </w:pPr>
      <w:rPr>
        <w:rFonts w:hint="default"/>
      </w:rPr>
    </w:lvl>
    <w:lvl w:ilvl="3">
      <w:start w:val="1"/>
      <w:numFmt w:val="decimal"/>
      <w:suff w:val="tab"/>
      <w:lvlText w:val="(%4)"/>
      <w:pPr>
        <w:tabs>
          <w:tab w:val="num" w:pos="1440"/>
        </w:tabs>
        <w:spacing/>
        <w:ind w:left="1440" w:hanging="360"/>
      </w:pPr>
      <w:rPr>
        <w:rFonts w:hint="default"/>
      </w:rPr>
    </w:lvl>
    <w:lvl w:ilvl="4">
      <w:start w:val="1"/>
      <w:numFmt w:val="lowerLetter"/>
      <w:suff w:val="tab"/>
      <w:lvlText w:val="(%5)"/>
      <w:pPr>
        <w:tabs>
          <w:tab w:val="num" w:pos="1800"/>
        </w:tabs>
        <w:spacing/>
        <w:ind w:left="1800" w:hanging="360"/>
      </w:pPr>
      <w:rPr>
        <w:rFonts w:hint="default"/>
      </w:rPr>
    </w:lvl>
    <w:lvl w:ilvl="5">
      <w:start w:val="1"/>
      <w:numFmt w:val="lowerRoman"/>
      <w:suff w:val="tab"/>
      <w:lvlText w:val="(%6)"/>
      <w:pPr>
        <w:tabs>
          <w:tab w:val="num" w:pos="2160"/>
        </w:tabs>
        <w:spacing/>
        <w:ind w:left="2160" w:hanging="360"/>
      </w:pPr>
      <w:rPr>
        <w:rFonts w:hint="default"/>
      </w:rPr>
    </w:lvl>
    <w:lvl w:ilvl="6">
      <w:start w:val="1"/>
      <w:numFmt w:val="decimal"/>
      <w:suff w:val="tab"/>
      <w:lvlText w:val="%7."/>
      <w:pPr>
        <w:tabs>
          <w:tab w:val="num" w:pos="2520"/>
        </w:tabs>
        <w:spacing/>
        <w:ind w:left="2520" w:hanging="360"/>
      </w:pPr>
      <w:rPr>
        <w:rFonts w:hint="default"/>
      </w:rPr>
    </w:lvl>
    <w:lvl w:ilvl="7">
      <w:start w:val="1"/>
      <w:numFmt w:val="lowerLetter"/>
      <w:suff w:val="tab"/>
      <w:lvlText w:val="%8."/>
      <w:pPr>
        <w:tabs>
          <w:tab w:val="num" w:pos="2880"/>
        </w:tabs>
        <w:spacing/>
        <w:ind w:left="2880" w:hanging="360"/>
      </w:pPr>
      <w:rPr>
        <w:rFonts w:hint="default"/>
      </w:rPr>
    </w:lvl>
    <w:lvl w:ilvl="8">
      <w:start w:val="1"/>
      <w:numFmt w:val="lowerRoman"/>
      <w:suff w:val="tab"/>
      <w:lvlText w:val="%9."/>
      <w:pPr>
        <w:tabs>
          <w:tab w:val="num" w:pos="3240"/>
        </w:tabs>
        <w:spacing/>
        <w:ind w:left="3240" w:hanging="360"/>
      </w:pPr>
      <w:rPr>
        <w:rFonts w:hint="default"/>
      </w:rPr>
    </w:lvl>
  </w:abstractNum>
  <w:abstractNum w:abstractNumId="4">
    <w:nsid w:val="2FDE1698"/>
    <w:lvl w:ilvl="0">
      <w:start w:val="1"/>
      <w:numFmt w:val="upperRoman"/>
      <w:suff w:val="tab"/>
      <w:lvlText w:val="%1."/>
      <w:pPr>
        <w:tabs>
          <w:tab w:val="num" w:pos="720"/>
        </w:tabs>
        <w:spacing/>
        <w:ind w:left="360" w:hanging="360"/>
      </w:pPr>
      <w:rPr>
        <w:rFonts w:hint="default"/>
      </w:rPr>
    </w:lvl>
    <w:lvl w:ilvl="1">
      <w:start w:val="1"/>
      <w:numFmt w:val="decimal"/>
      <w:suff w:val="tab"/>
      <w:lvlText w:val="%1.%2."/>
      <w:pPr>
        <w:tabs>
          <w:tab w:val="num" w:pos="792"/>
        </w:tabs>
        <w:spacing/>
        <w:ind w:left="792" w:hanging="432"/>
      </w:pPr>
      <w:rPr>
        <w:rFonts w:hint="default"/>
      </w:rPr>
    </w:lvl>
    <w:lvl w:ilvl="2">
      <w:start w:val="1"/>
      <w:numFmt w:val="upperLetter"/>
      <w:pStyle w:val="Heading3"/>
      <w:suff w:val="tab"/>
      <w:lvlText w:val="%1.%2.%3."/>
      <w:pPr>
        <w:tabs>
          <w:tab w:val="num" w:pos="1440"/>
        </w:tabs>
        <w:spacing/>
        <w:ind w:left="1224" w:hanging="504"/>
      </w:pPr>
      <w:rPr>
        <w:rFonts w:hint="default"/>
      </w:rPr>
    </w:lvl>
    <w:lvl w:ilvl="3">
      <w:start w:val="1"/>
      <w:numFmt w:val="lowerRoman"/>
      <w:suff w:val="tab"/>
      <w:lvlText w:val="%1.%2.%3.%4."/>
      <w:pPr>
        <w:tabs>
          <w:tab w:val="num" w:pos="2160"/>
        </w:tabs>
        <w:spacing/>
        <w:ind w:left="1728" w:hanging="648"/>
      </w:pPr>
      <w:rPr>
        <w:rFonts w:hint="default"/>
      </w:rPr>
    </w:lvl>
    <w:lvl w:ilvl="4">
      <w:start w:val="1"/>
      <w:numFmt w:val="decimal"/>
      <w:suff w:val="tab"/>
      <w:lvlText w:val="%1.%2.%3.%4.%5."/>
      <w:pPr>
        <w:tabs>
          <w:tab w:val="num" w:pos="2520"/>
        </w:tabs>
        <w:spacing/>
        <w:ind w:left="2232" w:hanging="792"/>
      </w:pPr>
      <w:rPr>
        <w:rFonts w:hint="default"/>
      </w:rPr>
    </w:lvl>
    <w:lvl w:ilvl="5">
      <w:start w:val="1"/>
      <w:numFmt w:val="decimal"/>
      <w:suff w:val="tab"/>
      <w:lvlText w:val="%1.%2.%3.%4.%5.%6."/>
      <w:pPr>
        <w:tabs>
          <w:tab w:val="num" w:pos="2880"/>
        </w:tabs>
        <w:spacing/>
        <w:ind w:left="2736" w:hanging="936"/>
      </w:pPr>
      <w:rPr>
        <w:rFonts w:hint="default"/>
      </w:rPr>
    </w:lvl>
    <w:lvl w:ilvl="6">
      <w:start w:val="1"/>
      <w:numFmt w:val="decimal"/>
      <w:suff w:val="tab"/>
      <w:lvlText w:val="%1.%2.%3.%4.%5.%6.%7."/>
      <w:pPr>
        <w:tabs>
          <w:tab w:val="num" w:pos="3600"/>
        </w:tabs>
        <w:spacing/>
        <w:ind w:left="3240" w:hanging="1080"/>
      </w:pPr>
      <w:rPr>
        <w:rFonts w:hint="default"/>
      </w:rPr>
    </w:lvl>
    <w:lvl w:ilvl="7">
      <w:start w:val="1"/>
      <w:numFmt w:val="decimal"/>
      <w:suff w:val="tab"/>
      <w:lvlText w:val="%1.%2.%3.%4.%5.%6.%7.%8."/>
      <w:pPr>
        <w:tabs>
          <w:tab w:val="num" w:pos="3960"/>
        </w:tabs>
        <w:spacing/>
        <w:ind w:left="3744" w:hanging="1224"/>
      </w:pPr>
      <w:rPr>
        <w:rFonts w:hint="default"/>
      </w:rPr>
    </w:lvl>
    <w:lvl w:ilvl="8">
      <w:start w:val="1"/>
      <w:numFmt w:val="decimal"/>
      <w:suff w:val="tab"/>
      <w:lvlText w:val="%1.%2.%3.%4.%5.%6.%7.%8.%9."/>
      <w:pPr>
        <w:tabs>
          <w:tab w:val="num" w:pos="4680"/>
        </w:tabs>
        <w:spacing/>
        <w:ind w:left="4320" w:hanging="1440"/>
      </w:pPr>
      <w:rPr>
        <w:rFonts w:hint="default"/>
      </w:rPr>
    </w:lvl>
  </w:abstractNum>
  <w:abstractNum w:abstractNumId="5">
    <w:nsid w:val="3B0E581C"/>
    <w:lvl w:ilvl="0">
      <w:start w:val="1"/>
      <w:numFmt w:val="decimal"/>
      <w:pStyle w:val="Section8"/>
      <w:suff w:val="tab"/>
      <w:lvlText w:val="8-13.%1"/>
      <w:pPr>
        <w:tabs>
          <w:tab w:val="num" w:pos="1440"/>
        </w:tabs>
        <w:spacing/>
        <w:ind w:left="0" w:firstLine="720"/>
      </w:pPr>
      <w:rPr>
        <w:rFonts w:ascii="Times New Roman" w:hAnsi="Times New Roman" w:eastAsia="Times New Roman" w:cs="Times New Roman" w:hint="default"/>
        <w:b/>
        <w:i w:val="0"/>
        <w:sz w:val="22"/>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abstractNum w:abstractNumId="6">
    <w:nsid w:val="47321040"/>
    <w:lvl w:ilvl="0">
      <w:start w:val="1"/>
      <w:numFmt w:val="decimal"/>
      <w:pStyle w:val="Section8"/>
      <w:suff w:val="tab"/>
      <w:lvlText w:val="8-13.%1"/>
      <w:pPr>
        <w:tabs>
          <w:tab w:val="num" w:pos="2160"/>
        </w:tabs>
        <w:spacing/>
        <w:ind w:left="0" w:firstLine="1440"/>
      </w:pPr>
      <w:rPr>
        <w:rFonts w:ascii="Times New Roman" w:hAnsi="Times New Roman" w:eastAsia="Times New Roman" w:cs="Times New Roman" w:hint="default"/>
        <w:b/>
        <w:i w:val="0"/>
        <w:sz w:val="22"/>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abstractNum w:abstractNumId="7">
    <w:nsid w:val="53582DB7"/>
    <w:lvl w:ilvl="0">
      <w:start w:val="6"/>
      <w:numFmt w:val="decimal"/>
      <w:pStyle w:val="Section102"/>
      <w:suff w:val="tab"/>
      <w:lvlText w:val="102-8.%1"/>
      <w:lvlJc w:val="right"/>
      <w:pPr>
        <w:tabs>
          <w:tab w:val="num" w:pos="1800"/>
        </w:tabs>
        <w:spacing/>
        <w:ind w:left="0" w:firstLine="1440"/>
      </w:pPr>
      <w:rPr>
        <w:rFonts w:ascii="Times New Roman" w:hAnsi="Times New Roman" w:eastAsia="Times New Roman" w:cs="Times New Roman" w:hint="default"/>
        <w:b/>
        <w:i w:val="0"/>
        <w:sz w:val="22"/>
      </w:rPr>
    </w:lvl>
    <w:lvl w:ilvl="1">
      <w:start w:val="1"/>
      <w:numFmt w:val="lowerLetter"/>
      <w:suff w:val="tab"/>
      <w:lvlText w:val="%2."/>
      <w:pPr>
        <w:tabs>
          <w:tab w:val="num" w:pos="2160"/>
        </w:tabs>
        <w:spacing/>
        <w:ind w:left="2160" w:hanging="360"/>
      </w:pPr>
      <w:rPr/>
    </w:lvl>
    <w:lvl w:ilvl="2">
      <w:start w:val="1"/>
      <w:numFmt w:val="lowerRoman"/>
      <w:suff w:val="tab"/>
      <w:lvlText w:val="%3."/>
      <w:lvlJc w:val="right"/>
      <w:pPr>
        <w:tabs>
          <w:tab w:val="num" w:pos="2880"/>
        </w:tabs>
        <w:spacing/>
        <w:ind w:left="2880" w:hanging="180"/>
      </w:pPr>
      <w:rPr/>
    </w:lvl>
    <w:lvl w:ilvl="3">
      <w:start w:val="1"/>
      <w:numFmt w:val="decimal"/>
      <w:suff w:val="tab"/>
      <w:lvlText w:val="%4."/>
      <w:pPr>
        <w:tabs>
          <w:tab w:val="num" w:pos="3600"/>
        </w:tabs>
        <w:spacing/>
        <w:ind w:left="3600" w:hanging="360"/>
      </w:pPr>
      <w:rPr/>
    </w:lvl>
    <w:lvl w:ilvl="4">
      <w:start w:val="1"/>
      <w:numFmt w:val="lowerLetter"/>
      <w:suff w:val="tab"/>
      <w:lvlText w:val="%5."/>
      <w:pPr>
        <w:tabs>
          <w:tab w:val="num" w:pos="4320"/>
        </w:tabs>
        <w:spacing/>
        <w:ind w:left="4320" w:hanging="360"/>
      </w:pPr>
      <w:rPr/>
    </w:lvl>
    <w:lvl w:ilvl="5">
      <w:start w:val="1"/>
      <w:numFmt w:val="lowerRoman"/>
      <w:suff w:val="tab"/>
      <w:lvlText w:val="%6."/>
      <w:lvlJc w:val="right"/>
      <w:pPr>
        <w:tabs>
          <w:tab w:val="num" w:pos="5040"/>
        </w:tabs>
        <w:spacing/>
        <w:ind w:left="5040" w:hanging="180"/>
      </w:pPr>
      <w:rPr/>
    </w:lvl>
    <w:lvl w:ilvl="6">
      <w:start w:val="1"/>
      <w:numFmt w:val="decimal"/>
      <w:suff w:val="tab"/>
      <w:lvlText w:val="%7."/>
      <w:pPr>
        <w:tabs>
          <w:tab w:val="num" w:pos="5760"/>
        </w:tabs>
        <w:spacing/>
        <w:ind w:left="5760" w:hanging="360"/>
      </w:pPr>
      <w:rPr/>
    </w:lvl>
    <w:lvl w:ilvl="7">
      <w:start w:val="1"/>
      <w:numFmt w:val="lowerLetter"/>
      <w:suff w:val="tab"/>
      <w:lvlText w:val="%8."/>
      <w:pPr>
        <w:tabs>
          <w:tab w:val="num" w:pos="6480"/>
        </w:tabs>
        <w:spacing/>
        <w:ind w:left="6480" w:hanging="360"/>
      </w:pPr>
      <w:rPr/>
    </w:lvl>
    <w:lvl w:ilvl="8">
      <w:start w:val="1"/>
      <w:numFmt w:val="lowerRoman"/>
      <w:suff w:val="tab"/>
      <w:lvlText w:val="%9."/>
      <w:lvlJc w:val="right"/>
      <w:pPr>
        <w:tabs>
          <w:tab w:val="num" w:pos="7200"/>
        </w:tabs>
        <w:spacing/>
        <w:ind w:left="7200" w:hanging="180"/>
      </w:pPr>
      <w:rPr/>
    </w:lvl>
  </w:abstractNum>
  <w:abstractNum w:abstractNumId="8">
    <w:nsid w:val="684D2E1E"/>
    <w:lvl w:ilvl="0">
      <w:start w:val="6"/>
      <w:numFmt w:val="decimal"/>
      <w:pStyle w:val="Section102"/>
      <w:suff w:val="tab"/>
      <w:lvlText w:val="102-8.%1"/>
      <w:lvlJc w:val="right"/>
      <w:pPr>
        <w:tabs>
          <w:tab w:val="num" w:pos="1800"/>
        </w:tabs>
        <w:spacing/>
        <w:ind w:left="0" w:firstLine="1440"/>
      </w:pPr>
      <w:rPr>
        <w:rFonts w:ascii="Times New Roman" w:hAnsi="Times New Roman" w:eastAsia="Times New Roman" w:cs="Times New Roman" w:hint="default"/>
        <w:b/>
        <w:i w:val="0"/>
        <w:sz w:val="22"/>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embedSystemFonts xmlns:w="http://schemas.openxmlformats.org/wordprocessingml/2006/main"/>
  <w:bordersDoNotSurroundHeader/>
  <w:bordersDoNotSurroundFooter/>
  <w:proofState w:spelling="clean" w:grammar="clean"/>
  <w:attachedTemplate r:id="rId1"/>
  <w:linkStyles/>
  <w:stylePaneFormatFilter xmlns:w="http://schemas.openxmlformats.org/wordprocessingml/2006/main"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xmlns:w="http://schemas.openxmlformats.org/wordprocessingml/2006/main"/>
  <w:defaultTabStop w:val="720"/>
  <w:doNotHyphenateCaps/>
  <w:drawingGridHorizontalSpacing xmlns:w="http://schemas.openxmlformats.org/wordprocessingml/2006/main" w:val="120"/>
  <w:drawingGridVerticalSpacing xmlns:w="http://schemas.openxmlformats.org/wordprocessingml/2006/main" w:val="120"/>
  <w:displayHorizontalDrawingGridEvery xmlns:w="http://schemas.openxmlformats.org/wordprocessingml/2006/main" w:val="0"/>
  <w:displayVerticalDrawingGridEvery xmlns:w="http://schemas.openxmlformats.org/wordprocessingml/2006/main" w:val="3"/>
  <w:doNotShadeFormData/>
  <w:characterSpacingControl xmlns:w="http://schemas.openxmlformats.org/wordprocessingml/2006/main" w:val="compressPunctuation"/>
  <w:endnotePr>
    <w:numFmt w:val="decimal"/>
  </w:endnotePr>
  <w:compat>
    <w:suppressBottomSpacing/>
    <w:compatSetting w:name="compatibilityMode" w:uri="http://schemas.microsoft.com/office/word" w:val="15"/>
  </w:compat>
  <w:doNotIncludeSubdocsInStats xmlns:w="http://schemas.openxmlformats.org/wordprocessingml/2006/main"/>
  <w:decimalSymbol xmlns:w="http://schemas.openxmlformats.org/wordprocessingml/2006/main" w:val="."/>
  <w:listSeparator xmlns:w="http://schemas.openxmlformats.org/wordprocessingml/2006/main"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imes New Roman" w:cs="Times New Roman"/>
        <w:lang w:val="en-US" w:eastAsia="en-US" w:bidi="ar-SA"/>
      </w:rPr>
    </w:rPrDefault>
    <w:pPrDefault>
      <w:pPr>
        <w:spacing/>
      </w:pPr>
    </w:pPrDefault>
  </w:docDefaults>
  <w:style w:type="table" w:styleId="TableGrid">
    <w:name w:val="Table Grid"/>
    <w:basedOn w:val="TableNormal"/>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Normal" w:default="1">
    <w:name w:val="Normal"/>
    <w:next w:val="Normal"/>
    <w:qFormat/>
    <w:pPr>
      <w:widowControl w:val="false"/>
      <w:autoSpaceDE w:val="false"/>
      <w:autoSpaceDN w:val="false"/>
      <w:adjustRightInd w:val="false"/>
      <w:spacing/>
    </w:pPr>
    <w:rPr>
      <w:sz w:val="24"/>
      <w:szCs w:val="24"/>
    </w:rPr>
  </w:style>
  <w:style w:type="paragraph" w:styleId="Heading1">
    <w:name w:val="Heading 1"/>
    <w:basedOn w:val="Heading2"/>
    <w:next w:val="Normal"/>
    <w:link w:val="Heading1Char"/>
    <w:qFormat/>
    <w:pPr>
      <w:spacing/>
      <w:outlineLvl w:val="0"/>
    </w:pPr>
    <w:rPr>
      <w:bCs w:val="0"/>
      <w:kern w:val="32"/>
      <w:sz w:val="96"/>
      <w:szCs w:val="32"/>
    </w:rPr>
  </w:style>
  <w:style w:type="paragraph" w:styleId="Heading2">
    <w:name w:val="Heading 2"/>
    <w:basedOn w:val="Article"/>
    <w:next w:val="Dates"/>
    <w:link w:val="Heading2Char"/>
    <w:qFormat/>
    <w:pPr>
      <w:spacing w:after="60"/>
      <w:outlineLvl w:val="1"/>
    </w:pPr>
    <w:rPr>
      <w:rFonts w:cs="Arial"/>
      <w:bCs/>
      <w:iCs/>
      <w:caps/>
      <w:szCs w:val="28"/>
    </w:rPr>
  </w:style>
  <w:style w:type="paragraph" w:styleId="Heading3">
    <w:name w:val="Heading 3"/>
    <w:basedOn w:val="Normal"/>
    <w:next w:val="Normal"/>
    <w:link w:val="Heading3Char"/>
    <w:qFormat/>
    <w:numPr>
      <w:ilvl w:val="2"/>
      <w:numId w:val="5"/>
    </w:numPr>
    <w:pPr>
      <w:keepNext/>
      <w:numPr>
        <w:ilvl w:val="2"/>
        <w:numId w:val="5"/>
      </w:numPr>
      <w:spacing w:before="240" w:after="60"/>
      <w:outlineLvl w:val="2"/>
    </w:pPr>
    <w:rPr>
      <w:rFonts w:cs="Arial"/>
      <w:bCs/>
      <w:szCs w:val="26"/>
    </w:rPr>
  </w:style>
  <w:style w:type="paragraph" w:styleId="Heading4">
    <w:name w:val="Heading 4"/>
    <w:basedOn w:val="Normal"/>
    <w:next w:val="Normal"/>
    <w:link w:val="Heading4Char"/>
    <w:qFormat/>
    <w:pPr>
      <w:keepNext/>
      <w:spacing/>
      <w:jc w:val="center"/>
      <w:outlineLvl w:val="3"/>
    </w:pPr>
    <w:rPr>
      <w:rFonts w:ascii="Goudy Old Style" w:hAnsi="Goudy Old Style" w:eastAsia="Goudy Old Style" w:cs="Goudy Old Style"/>
      <w:sz w:val="36"/>
    </w:rPr>
  </w:style>
  <w:style w:type="paragraph" w:styleId="Heading8">
    <w:name w:val="Heading 8"/>
    <w:basedOn w:val="Article"/>
    <w:next w:val="Normal"/>
    <w:link w:val="Heading8Char"/>
    <w:qFormat/>
    <w:pPr>
      <w:spacing w:after="60"/>
      <w:outlineLvl w:val="7"/>
    </w:pPr>
    <w:rPr>
      <w:iCs/>
    </w:rPr>
  </w:style>
  <w:style w:type="paragraph" w:styleId="Heading9">
    <w:name w:val="Heading 9"/>
    <w:basedOn w:val="Article"/>
    <w:next w:val="Normal"/>
    <w:link w:val="Heading9Char"/>
    <w:qFormat/>
    <w:pPr>
      <w:spacing w:after="60"/>
      <w:outlineLvl w:val="8"/>
    </w:pPr>
    <w:rPr>
      <w:rFonts w:ascii="Arial" w:hAnsi="Arial" w:eastAsia="Arial" w:cs="Arial"/>
      <w:szCs w:val="22"/>
    </w:rPr>
  </w:style>
  <w:style w:type="character" w:styleId="DefaultParagraphFont" w:default="1">
    <w:name w:val="Default Paragraph Font"/>
    <w:semiHidden/>
    <w:unhideWhenUsed/>
    <w:rPr/>
  </w:style>
  <w:style w:type="table" w:styleId="TableNormal" w:default="1">
    <w:name w:val="Normal Table"/>
    <w:semiHidden/>
    <w:unhideWhenUsed/>
    <w:tblPr>
      <w:tblInd w:w="0" w:type="dxa"/>
      <w:tblCellMar>
        <w:top w:w="0" w:type="dxa"/>
        <w:left w:w="108" w:type="dxa"/>
        <w:bottom w:w="0" w:type="dxa"/>
        <w:right w:w="108" w:type="dxa"/>
      </w:tblCellMar>
    </w:tblPr>
  </w:style>
  <w:style w:type="character" w:styleId="NoList">
    <w:name w:val="No List"/>
    <w:basedOn w:val="DefaultParagraphFont"/>
    <w:semiHidden/>
    <w:unhideWhenUsed/>
    <w:rPr/>
  </w:style>
  <w:style w:type="character" w:styleId="FootnoteReference">
    <w:name w:val="Footnote Reference"/>
    <w:basedOn w:val="DefaultParagraphFont"/>
    <w:semiHidden/>
    <w:rPr/>
  </w:style>
  <w:style w:type="character" w:styleId="2KSubArt" w:customStyle="1">
    <w:name w:val="2K SubArt"/>
    <w:basedOn w:val="DefaultParagraphFont"/>
    <w:rPr>
      <w:rFonts w:ascii="Times New Roman" w:hAnsi="Times New Roman" w:eastAsia="Times New Roman" w:cs="Times New Roman"/>
      <w:b/>
      <w:bCs/>
      <w:sz w:val="22"/>
      <w:szCs w:val="22"/>
    </w:rPr>
  </w:style>
  <w:style w:type="paragraph" w:styleId="2KSection" w:customStyle="1">
    <w:name w:val="2K Section"/>
    <w:basedOn w:val="Normal"/>
    <w:pPr>
      <w:spacing/>
      <w:jc w:val="center"/>
      <w:outlineLvl w:val="1"/>
    </w:pPr>
    <w:rPr>
      <w:b/>
      <w:caps/>
    </w:rPr>
  </w:style>
  <w:style w:type="paragraph" w:styleId="2KArticle" w:customStyle="1">
    <w:name w:val="2K Article"/>
    <w:pPr>
      <w:spacing/>
      <w:outlineLvl w:val="2"/>
    </w:pPr>
    <w:rPr>
      <w:b/>
      <w:sz w:val="24"/>
    </w:rPr>
  </w:style>
  <w:style w:type="paragraph" w:styleId="2KBody" w:customStyle="1">
    <w:name w:val="2K Body"/>
    <w:basedOn w:val="Normal"/>
    <w:pPr>
      <w:spacing/>
      <w:ind w:firstLine="720"/>
      <w:jc w:val="both"/>
    </w:pPr>
    <w:rPr/>
  </w:style>
  <w:style w:type="paragraph" w:styleId="BodyTextIndent">
    <w:name w:val="Body Text Indent"/>
    <w:basedOn w:val="Normal"/>
    <w:pPr>
      <w:spacing/>
      <w:ind w:firstLine="720"/>
      <w:jc w:val="both"/>
    </w:pPr>
    <w:rPr/>
  </w:style>
  <w:style w:type="paragraph" w:styleId="BodyText1" w:customStyle="1">
    <w:name w:val="Body Text1"/>
    <w:pPr>
      <w:tabs>
        <w:tab w:val="left" w:pos="720"/>
        <w:tab w:val="left" w:pos="1440"/>
      </w:tabs>
      <w:spacing/>
      <w:ind w:firstLine="720"/>
      <w:jc w:val="both"/>
    </w:pPr>
    <w:rPr>
      <w:sz w:val="22"/>
    </w:rPr>
  </w:style>
  <w:style w:type="paragraph" w:styleId="Article" w:customStyle="1">
    <w:name w:val="Article"/>
    <w:next w:val="BodyText"/>
    <w:link w:val="ArticleChar"/>
    <w:pPr>
      <w:keepNext/>
      <w:tabs>
        <w:tab w:val="left" w:pos="720"/>
      </w:tabs>
      <w:spacing w:before="240"/>
    </w:pPr>
    <w:rPr>
      <w:b/>
      <w:sz w:val="24"/>
    </w:rPr>
  </w:style>
  <w:style w:type="paragraph" w:styleId="SectionHeading" w:customStyle="1">
    <w:name w:val="Section Heading"/>
    <w:next w:val="Article"/>
    <w:pPr>
      <w:keepNext/>
      <w:spacing w:before="120"/>
      <w:jc w:val="center"/>
    </w:pPr>
    <w:rPr>
      <w:b/>
      <w:caps/>
      <w:sz w:val="24"/>
    </w:rPr>
  </w:style>
  <w:style w:type="paragraph" w:styleId="Subarticle" w:customStyle="1">
    <w:name w:val="Subarticle"/>
    <w:pPr>
      <w:keepNext/>
      <w:spacing/>
      <w:ind w:firstLine="720"/>
    </w:pPr>
    <w:rPr>
      <w:b/>
      <w:sz w:val="24"/>
      <w:szCs w:val="24"/>
    </w:rPr>
  </w:style>
  <w:style w:type="paragraph" w:styleId="LeadInSentence" w:customStyle="1">
    <w:name w:val="Lead In Sentence"/>
    <w:next w:val="BodyText"/>
    <w:link w:val="LeadInSentenceChar"/>
    <w:pPr>
      <w:keepNext/>
      <w:spacing w:after="240"/>
      <w:ind w:firstLine="720"/>
    </w:pPr>
    <w:rPr>
      <w:sz w:val="24"/>
    </w:rPr>
  </w:style>
  <w:style w:type="paragraph" w:styleId="Header">
    <w:name w:val="Header"/>
    <w:basedOn w:val="Normal"/>
    <w:pPr>
      <w:tabs>
        <w:tab w:val="center" w:pos="4320"/>
        <w:tab w:val="right" w:pos="8640"/>
      </w:tabs>
      <w:spacing/>
    </w:pPr>
    <w:rPr/>
  </w:style>
  <w:style w:type="paragraph" w:styleId="Footer">
    <w:name w:val="Footer"/>
    <w:basedOn w:val="Normal"/>
    <w:pPr>
      <w:tabs>
        <w:tab w:val="center" w:pos="4320"/>
        <w:tab w:val="right" w:pos="8640"/>
      </w:tabs>
      <w:spacing/>
    </w:pPr>
    <w:rPr>
      <w:sz w:val="22"/>
    </w:rPr>
  </w:style>
  <w:style w:type="character" w:styleId="PageNumber">
    <w:name w:val="Page Number"/>
    <w:basedOn w:val="DefaultParagraphFont"/>
    <w:rPr/>
  </w:style>
  <w:style w:type="paragraph" w:styleId="Article-SMSP" w:customStyle="1">
    <w:name w:val="Article-SMSP"/>
    <w:pPr>
      <w:spacing w:before="240"/>
      <w:ind w:left="720" w:hanging="720"/>
    </w:pPr>
    <w:rPr>
      <w:b/>
      <w:sz w:val="24"/>
    </w:rPr>
  </w:style>
  <w:style w:type="paragraph" w:styleId="BT-scope-L1" w:customStyle="1">
    <w:name w:val="BT-scope-L1"/>
    <w:pPr>
      <w:spacing w:after="120"/>
      <w:ind w:left="720"/>
    </w:pPr>
    <w:rPr>
      <w:sz w:val="22"/>
    </w:rPr>
  </w:style>
  <w:style w:type="paragraph" w:styleId="BT-scope-L2" w:customStyle="1">
    <w:name w:val="BT-scope-L2"/>
    <w:pPr>
      <w:tabs>
        <w:tab w:val="left" w:pos="1080"/>
      </w:tabs>
      <w:spacing w:after="120"/>
      <w:ind w:left="1123" w:hanging="403"/>
    </w:pPr>
    <w:rPr>
      <w:bCs/>
      <w:sz w:val="22"/>
    </w:rPr>
  </w:style>
  <w:style w:type="paragraph" w:styleId="BT-scope-L3" w:customStyle="1">
    <w:name w:val="BT-scope-L3"/>
    <w:basedOn w:val="Normal"/>
    <w:pPr>
      <w:tabs>
        <w:tab w:val="left" w:pos="-1440"/>
      </w:tabs>
      <w:spacing w:after="120"/>
      <w:ind w:left="1483" w:hanging="403"/>
    </w:pPr>
    <w:rPr/>
  </w:style>
  <w:style w:type="paragraph" w:styleId="BT-scope-L2t" w:customStyle="1">
    <w:name w:val="BT-scope-L2t"/>
    <w:basedOn w:val="BT-scope-L2"/>
    <w:pPr>
      <w:spacing/>
      <w:ind w:left="1080" w:firstLine="0"/>
    </w:pPr>
    <w:rPr/>
  </w:style>
  <w:style w:type="paragraph" w:styleId="BT-scope-L2tt" w:customStyle="1">
    <w:name w:val="BT-scope-L2tt"/>
    <w:basedOn w:val="BT-scope-L2t"/>
    <w:pPr>
      <w:tabs>
        <w:tab w:val="left" w:pos="2880"/>
        <w:tab w:val="left" w:pos="5760"/>
      </w:tabs>
      <w:spacing w:after="0"/>
    </w:pPr>
    <w:rPr/>
  </w:style>
  <w:style w:type="paragraph" w:styleId="BT-scope-L3t" w:customStyle="1">
    <w:name w:val="BT-scope-L3t"/>
    <w:basedOn w:val="BT-scope-L3"/>
    <w:pPr>
      <w:spacing/>
      <w:ind w:left="1440" w:firstLine="0"/>
    </w:pPr>
    <w:rPr/>
  </w:style>
  <w:style w:type="paragraph" w:styleId="BT-scope-L2ttt" w:customStyle="1">
    <w:name w:val="BT-scope-L2ttt"/>
    <w:basedOn w:val="BT-scope-L2"/>
    <w:pPr>
      <w:tabs>
        <w:tab w:val="left" w:pos="7200"/>
      </w:tabs>
      <w:spacing w:after="0"/>
    </w:pPr>
    <w:rPr/>
  </w:style>
  <w:style w:type="paragraph" w:styleId="BT-scope-L3tt" w:customStyle="1">
    <w:name w:val="BT-scope-L3tt"/>
    <w:basedOn w:val="BT-scope-L3"/>
    <w:pPr>
      <w:spacing w:after="0"/>
    </w:pPr>
    <w:rPr/>
  </w:style>
  <w:style w:type="paragraph" w:styleId="Bodytext10" w:customStyle="1">
    <w:name w:val="Body text 1"/>
    <w:pPr>
      <w:spacing w:before="120" w:after="120"/>
    </w:pPr>
    <w:rPr>
      <w:sz w:val="24"/>
    </w:rPr>
  </w:style>
  <w:style w:type="paragraph" w:styleId="Bodytexttc" w:customStyle="1">
    <w:name w:val="Body text tc"/>
    <w:pPr>
      <w:tabs>
        <w:tab w:val="right" w:leader="dot" w:pos="9360"/>
      </w:tabs>
      <w:spacing/>
      <w:ind w:firstLine="720"/>
      <w:jc w:val="both"/>
    </w:pPr>
    <w:rPr>
      <w:sz w:val="24"/>
    </w:rPr>
  </w:style>
  <w:style w:type="paragraph" w:styleId="Bodytextss" w:customStyle="1">
    <w:name w:val="Body text ss"/>
    <w:basedOn w:val="Normal"/>
    <w:pPr>
      <w:spacing/>
      <w:ind w:firstLine="5760"/>
      <w:jc w:val="both"/>
    </w:pPr>
    <w:rPr/>
  </w:style>
  <w:style w:type="paragraph" w:styleId="BodyText">
    <w:name w:val="Body Text"/>
    <w:next w:val="Normal"/>
    <w:pPr>
      <w:tabs>
        <w:tab w:val="left" w:pos="720"/>
      </w:tabs>
      <w:spacing/>
    </w:pPr>
    <w:rPr>
      <w:sz w:val="24"/>
    </w:rPr>
  </w:style>
  <w:style w:type="paragraph" w:styleId="Section80" w:customStyle="1">
    <w:name w:val="Section8"/>
    <w:basedOn w:val="Normal"/>
    <w:numPr>
      <w:ilvl w:val="0"/>
      <w:numId w:val="7"/>
    </w:numPr>
    <w:pPr>
      <w:numPr>
        <w:ilvl w:val="0"/>
        <w:numId w:val="7"/>
      </w:numPr>
      <w:tabs>
        <w:tab w:val="left" w:pos="1440"/>
        <w:tab w:val="left" w:pos="1800"/>
      </w:tabs>
      <w:spacing/>
      <w:outlineLvl w:val="7"/>
    </w:pPr>
    <w:rPr>
      <w:b/>
    </w:rPr>
  </w:style>
  <w:style w:type="paragraph" w:styleId="Section102" w:customStyle="1">
    <w:name w:val="Section102"/>
    <w:basedOn w:val="Section80"/>
    <w:numPr>
      <w:ilvl w:val="0"/>
      <w:numId w:val="8"/>
    </w:numPr>
    <w:pPr>
      <w:numPr>
        <w:ilvl w:val="0"/>
        <w:numId w:val="8"/>
      </w:numPr>
      <w:tabs>
        <w:tab w:val="left" w:pos="720"/>
        <w:tab w:val="left" w:pos="2160"/>
      </w:tabs>
      <w:spacing/>
      <w:outlineLvl w:val="8"/>
    </w:pPr>
    <w:rPr/>
  </w:style>
  <w:style w:type="paragraph" w:styleId="TOC2">
    <w:name w:val="TOC 2"/>
    <w:basedOn w:val="Normal"/>
    <w:next w:val="Normal"/>
    <w:semiHidden/>
    <w:pPr>
      <w:spacing/>
      <w:ind w:left="1080" w:right="1080" w:hanging="720"/>
    </w:pPr>
    <w:rPr/>
  </w:style>
  <w:style w:type="paragraph" w:styleId="Section8" w:customStyle="1">
    <w:name w:val="Section 8"/>
    <w:basedOn w:val="Heading8"/>
    <w:next w:val="Dates"/>
    <w:numPr>
      <w:ilvl w:val="0"/>
      <w:numId w:val="6"/>
    </w:numPr>
    <w:pPr>
      <w:keepLines/>
      <w:numPr>
        <w:ilvl w:val="0"/>
        <w:numId w:val="6"/>
      </w:numPr>
      <w:spacing w:before="0" w:after="0"/>
    </w:pPr>
    <w:rPr>
      <w:szCs w:val="24"/>
    </w:rPr>
  </w:style>
  <w:style w:type="paragraph" w:styleId="Section1020" w:customStyle="1">
    <w:name w:val="Section 102"/>
    <w:basedOn w:val="Heading9"/>
    <w:numPr>
      <w:ilvl w:val="0"/>
      <w:numId w:val="9"/>
    </w:numPr>
    <w:pPr>
      <w:widowControl w:val="false"/>
      <w:numPr>
        <w:ilvl w:val="0"/>
        <w:numId w:val="9"/>
      </w:numPr>
      <w:autoSpaceDE w:val="false"/>
      <w:autoSpaceDN w:val="false"/>
      <w:adjustRightInd w:val="false"/>
      <w:spacing w:before="0" w:after="0"/>
    </w:pPr>
    <w:rPr>
      <w:rFonts w:ascii="Times New Roman" w:hAnsi="Times New Roman" w:eastAsia="Times New Roman" w:cs="Times New Roman"/>
    </w:rPr>
  </w:style>
  <w:style w:type="paragraph" w:styleId="TOC1">
    <w:name w:val="TOC 1"/>
    <w:basedOn w:val="Normal"/>
    <w:next w:val="Normal"/>
    <w:semiHidden/>
    <w:pPr>
      <w:spacing w:before="120" w:after="120"/>
    </w:pPr>
    <w:rPr>
      <w:b/>
    </w:rPr>
  </w:style>
  <w:style w:type="paragraph" w:styleId="TOC3">
    <w:name w:val="TOC 3"/>
    <w:basedOn w:val="Normal"/>
    <w:next w:val="Normal"/>
    <w:semiHidden/>
    <w:pPr>
      <w:spacing/>
      <w:ind w:left="360"/>
    </w:pPr>
    <w:rPr/>
  </w:style>
  <w:style w:type="paragraph" w:styleId="TOC4">
    <w:name w:val="TOC 4"/>
    <w:basedOn w:val="Normal"/>
    <w:next w:val="Normal"/>
    <w:semiHidden/>
    <w:pPr>
      <w:spacing/>
      <w:ind w:left="720"/>
    </w:pPr>
    <w:rPr/>
  </w:style>
  <w:style w:type="paragraph" w:styleId="TOC5">
    <w:name w:val="TOC 5"/>
    <w:basedOn w:val="Normal"/>
    <w:next w:val="Normal"/>
    <w:semiHidden/>
    <w:pPr>
      <w:spacing/>
      <w:ind w:left="960"/>
    </w:pPr>
    <w:rPr/>
  </w:style>
  <w:style w:type="paragraph" w:styleId="TOC6">
    <w:name w:val="TOC 6"/>
    <w:basedOn w:val="Normal"/>
    <w:next w:val="Normal"/>
    <w:semiHidden/>
    <w:pPr>
      <w:spacing/>
      <w:ind w:left="1200"/>
    </w:pPr>
    <w:rPr/>
  </w:style>
  <w:style w:type="paragraph" w:styleId="TOC7">
    <w:name w:val="TOC 7"/>
    <w:basedOn w:val="Normal"/>
    <w:next w:val="Normal"/>
    <w:semiHidden/>
    <w:pPr>
      <w:spacing/>
      <w:ind w:left="1440"/>
    </w:pPr>
    <w:rPr/>
  </w:style>
  <w:style w:type="paragraph" w:styleId="TOC8">
    <w:name w:val="TOC 8"/>
    <w:basedOn w:val="Normal"/>
    <w:next w:val="Normal"/>
    <w:semiHidden/>
    <w:pPr>
      <w:spacing/>
      <w:ind w:left="1680"/>
    </w:pPr>
    <w:rPr/>
  </w:style>
  <w:style w:type="paragraph" w:styleId="TOC9">
    <w:name w:val="TOC 9"/>
    <w:basedOn w:val="Normal"/>
    <w:next w:val="Normal"/>
    <w:semiHidden/>
    <w:pPr>
      <w:spacing/>
      <w:ind w:left="1920"/>
    </w:pPr>
    <w:rPr/>
  </w:style>
  <w:style w:type="paragraph" w:styleId="Dates" w:customStyle="1">
    <w:name w:val="Dates"/>
    <w:basedOn w:val="Article"/>
    <w:next w:val="LeadInSentence"/>
    <w:pPr>
      <w:spacing w:before="0" w:after="240"/>
      <w:contextualSpacing/>
    </w:pPr>
    <w:rPr/>
  </w:style>
  <w:style w:type="paragraph" w:styleId="BlockText">
    <w:name w:val="Block Text"/>
    <w:basedOn w:val="Normal"/>
    <w:pPr>
      <w:spacing w:after="120"/>
      <w:ind w:left="1440" w:right="1440"/>
    </w:pPr>
    <w:rPr/>
  </w:style>
  <w:style w:type="character" w:styleId="LeadInSentenceChar" w:customStyle="1">
    <w:name w:val="Lead In Sentence Char"/>
    <w:basedOn w:val="DefaultParagraphFont"/>
    <w:link w:val="LeadInSentence"/>
    <w:rPr>
      <w:sz w:val="24"/>
    </w:rPr>
  </w:style>
  <w:style w:type="paragraph" w:styleId="Title">
    <w:name w:val="Title"/>
    <w:basedOn w:val="Normal"/>
    <w:link w:val="TitleChar"/>
    <w:qFormat/>
    <w:pPr>
      <w:spacing w:before="240" w:after="60"/>
      <w:jc w:val="center"/>
      <w:outlineLvl w:val="0"/>
    </w:pPr>
    <w:rPr>
      <w:rFonts w:cs="Arial"/>
      <w:b/>
      <w:bCs/>
      <w:kern w:val="28"/>
      <w:sz w:val="56"/>
      <w:szCs w:val="32"/>
    </w:rPr>
  </w:style>
  <w:style w:type="character" w:styleId="TitleChar" w:customStyle="1">
    <w:name w:val="Title Char"/>
    <w:basedOn w:val="DefaultParagraphFont"/>
    <w:link w:val="Title"/>
    <w:rPr>
      <w:rFonts w:cs="Arial"/>
      <w:b/>
      <w:bCs/>
      <w:kern w:val="28"/>
      <w:sz w:val="56"/>
      <w:szCs w:val="32"/>
    </w:rPr>
  </w:style>
  <w:style w:type="paragraph" w:styleId="PayItem" w:customStyle="1">
    <w:name w:val="PayItem"/>
    <w:basedOn w:val="BodyText"/>
    <w:pPr>
      <w:tabs>
        <w:tab w:val="clear" w:pos="720"/>
      </w:tabs>
      <w:spacing/>
      <w:ind w:left="3600" w:right="10" w:hanging="2170"/>
    </w:pPr>
    <w:rPr/>
  </w:style>
  <w:style w:type="character" w:styleId="Heading1Char" w:customStyle="1">
    <w:name w:val="Heading 1 Char"/>
    <w:basedOn w:val="DefaultParagraphFont"/>
    <w:link w:val="Heading1"/>
    <w:rPr>
      <w:rFonts w:cs="Arial"/>
      <w:b/>
      <w:iCs/>
      <w:caps/>
      <w:kern w:val="32"/>
      <w:sz w:val="96"/>
      <w:szCs w:val="32"/>
    </w:rPr>
  </w:style>
  <w:style w:type="character" w:styleId="Heading2Char" w:customStyle="1">
    <w:name w:val="Heading 2 Char"/>
    <w:basedOn w:val="DefaultParagraphFont"/>
    <w:link w:val="Heading2"/>
    <w:rPr>
      <w:rFonts w:cs="Arial"/>
      <w:b/>
      <w:bCs/>
      <w:iCs/>
      <w:caps/>
      <w:sz w:val="24"/>
      <w:szCs w:val="28"/>
    </w:rPr>
  </w:style>
  <w:style w:type="character" w:styleId="Heading8Char" w:customStyle="1">
    <w:name w:val="Heading 8 Char"/>
    <w:basedOn w:val="DefaultParagraphFont"/>
    <w:link w:val="Heading8"/>
    <w:rPr>
      <w:b/>
      <w:iCs/>
      <w:sz w:val="24"/>
    </w:rPr>
  </w:style>
  <w:style w:type="character" w:styleId="Heading9Char" w:customStyle="1">
    <w:name w:val="Heading 9 Char"/>
    <w:basedOn w:val="DefaultParagraphFont"/>
    <w:link w:val="Heading9"/>
    <w:rPr>
      <w:rFonts w:ascii="Arial" w:hAnsi="Arial" w:eastAsia="Arial" w:cs="Arial"/>
      <w:b/>
      <w:sz w:val="24"/>
      <w:szCs w:val="22"/>
    </w:rPr>
  </w:style>
  <w:style w:type="character" w:styleId="Heading3Char" w:customStyle="1">
    <w:name w:val="Heading 3 Char"/>
    <w:basedOn w:val="DefaultParagraphFont"/>
    <w:link w:val="Heading3"/>
    <w:rPr>
      <w:rFonts w:cs="Arial"/>
      <w:bCs/>
      <w:sz w:val="24"/>
      <w:szCs w:val="26"/>
    </w:rPr>
  </w:style>
  <w:style w:type="paragraph" w:styleId="BalloonText">
    <w:name w:val="Balloon Text"/>
    <w:basedOn w:val="Normal"/>
    <w:link w:val="BalloonTextChar"/>
    <w:pPr>
      <w:spacing/>
    </w:pPr>
    <w:rPr>
      <w:rFonts w:ascii="Tahoma" w:hAnsi="Tahoma" w:eastAsia="Tahoma" w:cs="Tahoma"/>
      <w:sz w:val="16"/>
      <w:szCs w:val="16"/>
    </w:rPr>
  </w:style>
  <w:style w:type="character" w:styleId="BalloonTextChar" w:customStyle="1">
    <w:name w:val="Balloon Text Char"/>
    <w:basedOn w:val="DefaultParagraphFont"/>
    <w:link w:val="BalloonText"/>
    <w:rPr>
      <w:rFonts w:ascii="Tahoma" w:hAnsi="Tahoma" w:eastAsia="Tahoma" w:cs="Tahoma"/>
      <w:sz w:val="16"/>
      <w:szCs w:val="16"/>
    </w:rPr>
  </w:style>
  <w:style w:type="paragraph" w:styleId="Subdivision" w:customStyle="1">
    <w:name w:val="Subdivision"/>
    <w:basedOn w:val="Normal"/>
    <w:qFormat/>
    <w:pPr>
      <w:keepNext/>
      <w:widowControl w:val="true"/>
      <w:autoSpaceDE w:val="true"/>
      <w:autoSpaceDN w:val="true"/>
      <w:adjustRightInd w:val="true"/>
      <w:spacing w:before="120" w:after="240"/>
      <w:jc w:val="center"/>
    </w:pPr>
    <w:rPr>
      <w:caps/>
      <w:sz w:val="26"/>
      <w:szCs w:val="20"/>
    </w:rPr>
  </w:style>
  <w:style w:type="paragraph" w:styleId="ListParagraph">
    <w:name w:val="List Paragraph"/>
    <w:basedOn w:val="Normal"/>
    <w:qFormat/>
    <w:pPr>
      <w:widowControl w:val="true"/>
      <w:autoSpaceDE w:val="true"/>
      <w:autoSpaceDN w:val="true"/>
      <w:adjustRightInd w:val="true"/>
      <w:spacing/>
      <w:ind w:left="720"/>
    </w:pPr>
    <w:rPr>
      <w:rFonts w:ascii="Calibri" w:hAnsi="Calibri" w:eastAsia="Calibri" w:cs="Calibri"/>
      <w:sz w:val="22"/>
      <w:szCs w:val="22"/>
    </w:rPr>
  </w:style>
  <w:style w:type="character" w:styleId="Heading4Char" w:customStyle="1">
    <w:name w:val="Heading 4 Char"/>
    <w:basedOn w:val="DefaultParagraphFont"/>
    <w:link w:val="Heading4"/>
    <w:rPr>
      <w:rFonts w:ascii="Goudy Old Style" w:hAnsi="Goudy Old Style" w:eastAsia="Goudy Old Style" w:cs="Goudy Old Style"/>
      <w:sz w:val="36"/>
      <w:szCs w:val="24"/>
    </w:rPr>
  </w:style>
  <w:style w:type="character" w:styleId="Strong">
    <w:name w:val="Strong"/>
    <w:basedOn w:val="DefaultParagraphFont"/>
    <w:qFormat/>
    <w:rPr>
      <w:b/>
      <w:bCs/>
    </w:rPr>
  </w:style>
  <w:style w:type="paragraph" w:styleId="StyleBodyTextLeft1" w:customStyle="1">
    <w:name w:val="Style Body Text + Left: 1&quot;"/>
    <w:basedOn w:val="BodyText"/>
    <w:qFormat/>
    <w:pPr>
      <w:widowControl w:val="false"/>
      <w:spacing/>
      <w:ind w:left="1440"/>
    </w:pPr>
    <w:rPr/>
  </w:style>
  <w:style w:type="character" w:styleId="ArticleChar" w:customStyle="1">
    <w:name w:val="Article Char"/>
    <w:basedOn w:val="DefaultParagraphFont"/>
    <w:link w:val="Article"/>
    <w:rPr>
      <w:b/>
      <w:sz w:val="24"/>
    </w:r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numbering" Target="numbering.xml" /><Relationship Id="rId5" Type="http://schemas.openxmlformats.org/officeDocument/2006/relationships/fontTable" Target="fontTable.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SMSP04/specdevtemp2.dot" TargetMode="External" /></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panose="020F0302020204030204"/>
        <a:cs typeface="" panose="020F0302020204030204"/>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panose="020F0502020204030204"/>
        <a:cs typeface="" panose="020F0502020204030204"/>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xmlns:a="http://schemas.openxmlformats.org/drawingml/2006/main"/>
  <a:extraClrSchemeLst xmlns:a="http://schemas.openxmlformats.org/drawingml/2006/main"/>
  <a:extLst xmlns:a="http://schemas.openxmlformats.org/drawingml/2006/main">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vt="http://schemas.openxmlformats.org/officeDocument/2006/docPropsVTypes" xmlns="http://schemas.openxmlformats.org/officeDocument/2006/extended-properties">
  <Template>specdevtemp2.dot</Template>
  <TotalTime>0</TotalTime>
  <Pages>2</Pages>
  <Words>656</Words>
  <Characters>3744</Characters>
  <Application>Microsoft Office Word</Application>
  <DocSecurity>0</DocSecurity>
  <Lines>31</Lines>
  <Paragraphs>8</Paragraphs>
  <Company>FDOT</Company>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dc:title>
  <dc:subject/>
  <dc:creator>State Maintenance</dc:creator>
  <cp:keywords/>
  <cp:lastModifiedBy>Rebecca</cp:lastModifiedBy>
  <cp:lastPrinted>2001-07-31T13:21:00Z</cp:lastPrinted>
  <cp:revision>3</cp:revision>
  <dcterms:created xsi:type="dcterms:W3CDTF">2020-03-31T21:40:00Z</dcterms:created>
  <dcterms:modified xsi:type="dcterms:W3CDTF">2020-03-31T21:41:00Z</dcterms:modified>
  <cp:category>Maintenance1 </cp:category>
</cp:coreProperties>
</file>