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MAINTENANCE OF TRAFFIC.</w:t>
      </w:r>
    </w:p>
    <w:p>
      <w:pPr>
        <w:pStyle w:val="Dates"/>
        <w:spacing/>
        <w:rPr/>
      </w:pPr>
      <w:r>
        <w:rPr/>
        <w:t xml:space="preserve">(REV </w:t>
      </w:r>
      <w:r>
        <w:rPr/>
        <w:t xml:space="preserve">3-2-20)</w:t>
      </w:r>
      <w:r>
        <w:rPr/>
        <w:t xml:space="preserve"> (1-21)</w:t>
      </w:r>
    </w:p>
    <w:p>
      <w:pPr>
        <w:pStyle w:val="LeadInSentence"/>
        <w:spacing/>
        <w:rPr/>
      </w:pPr>
      <w:r>
        <w:rPr/>
        <w:t xml:space="preserve">SUBARTICLE 102-3.1 is deleted and the following substituted:</w:t>
      </w:r>
    </w:p>
    <w:p>
      <w:pPr>
        <w:pStyle w:val="LeadInSentence"/>
        <w:spacing/>
        <w:ind w:firstLine="0"/>
        <w:rPr/>
      </w:pPr>
      <w:r>
        <w:rPr>
          <w:b/>
          <w:bCs/>
          <w:szCs w:val="24"/>
        </w:rPr>
        <w:tab/>
        <w:t xml:space="preserve"/>
      </w:r>
      <w:r>
        <w:rPr>
          <w:b/>
          <w:bCs/>
          <w:szCs w:val="24"/>
        </w:rPr>
        <w:t xml:space="preserve">102-3.1 Contractor’s Responsibility:</w:t>
      </w:r>
      <w:r>
        <w:rPr>
          <w:szCs w:val="24"/>
        </w:rPr>
        <w:t xml:space="preserve"> Time begins when the Engineer is notified that setup is complete and flagging operations and</w:t>
      </w:r>
      <w:r>
        <w:rPr/>
        <w:t xml:space="preserve"> maint</w:t>
      </w:r>
      <w:r>
        <w:rPr/>
        <w:t xml:space="preserve">enance of</w:t>
      </w:r>
      <w:r>
        <w:rPr/>
        <w:t xml:space="preserve"> </w:t>
      </w:r>
      <w:r>
        <w:rPr/>
        <w:t xml:space="preserve">all </w:t>
      </w:r>
      <w:r>
        <w:rPr/>
        <w:t xml:space="preserve">temporary traffic control devices</w:t>
      </w:r>
      <w:r>
        <w:rPr>
          <w:szCs w:val="24"/>
        </w:rPr>
        <w:t xml:space="preserve"> are ready </w:t>
      </w:r>
      <w:r>
        <w:rPr>
          <w:szCs w:val="24"/>
        </w:rPr>
        <w:t xml:space="preserve">for work </w:t>
      </w:r>
      <w:r>
        <w:rPr>
          <w:szCs w:val="24"/>
        </w:rPr>
        <w:t xml:space="preserve">to begin. </w:t>
      </w:r>
      <w:r>
        <w:rPr>
          <w:szCs w:val="24"/>
        </w:rPr>
        <w:t xml:space="preserve">Time ends when work has been completed.  </w:t>
      </w:r>
      <w:r>
        <w:rPr>
          <w:szCs w:val="24"/>
        </w:rPr>
        <w:t xml:space="preserve">Notify the Engineer </w:t>
      </w:r>
      <w:r>
        <w:rPr>
          <w:szCs w:val="24"/>
        </w:rPr>
        <w:t xml:space="preserve">immediately </w:t>
      </w:r>
      <w:r>
        <w:rPr>
          <w:szCs w:val="24"/>
        </w:rPr>
        <w:t xml:space="preserve">when </w:t>
      </w:r>
      <w:r>
        <w:rPr>
          <w:szCs w:val="24"/>
        </w:rPr>
        <w:t xml:space="preserve">work has been completed.  </w:t>
      </w:r>
      <w:r>
        <w:rPr>
          <w:szCs w:val="24"/>
        </w:rPr>
        <w:t xml:space="preserve">Travel time to and from the work site</w:t>
      </w:r>
      <w:r>
        <w:rPr>
          <w:szCs w:val="24"/>
        </w:rPr>
        <w:t xml:space="preserve">, as well as installation and removal of temporary traffic control devices</w:t>
      </w:r>
      <w:r>
        <w:rPr>
          <w:szCs w:val="24"/>
        </w:rPr>
        <w:t xml:space="preserve"> is not included</w:t>
      </w:r>
      <w:r>
        <w:rPr>
          <w:szCs w:val="24"/>
        </w:rPr>
        <w:t xml:space="preserve"> as compensable time</w:t>
      </w:r>
      <w:r>
        <w:rPr>
          <w:szCs w:val="24"/>
        </w:rPr>
        <w:t xml:space="preserve">. Provide only one person for the maintenance of devices unless otherwise directed by the Engineer.</w:t>
      </w:r>
    </w:p>
    <w:p>
      <w:pPr>
        <w:pStyle w:val="LeadInSentence"/>
        <w:spacing/>
        <w:rPr/>
      </w:pPr>
      <w:r>
        <w:rPr/>
        <w:tab/>
        <w:t xml:space="preserve"/>
      </w:r>
      <w:r>
        <w:rPr/>
        <w:t xml:space="preserve">SUBARTICLE 102-3.3 is deleted. </w:t>
      </w:r>
    </w:p>
    <w:p>
      <w:pPr>
        <w:widowControl w:val="true"/>
        <w:tabs>
          <w:tab w:val="left" w:pos="720"/>
        </w:tabs>
        <w:autoSpaceDE w:val="true"/>
        <w:autoSpaceDN w:val="true"/>
        <w:adjustRightInd w:val="true"/>
        <w:spacing/>
        <w:rPr/>
      </w:pPr>
    </w:p>
    <w:p>
      <w:pPr>
        <w:pStyle w:val="LeadInSentence"/>
        <w:spacing/>
        <w:rPr/>
      </w:pPr>
      <w:r>
        <w:rPr/>
        <w:t xml:space="preserve">SUBARTICLE 102-5.4 is deleted and the following substituted:</w:t>
      </w:r>
    </w:p>
    <w:p>
      <w:pPr>
        <w:pStyle w:val="BodyText"/>
        <w:spacing/>
        <w:rPr>
          <w:szCs w:val="24"/>
        </w:rPr>
      </w:pPr>
      <w:r>
        <w:rPr>
          <w:szCs w:val="24"/>
        </w:rPr>
        <w:tab/>
        <w:t xml:space="preserve"/>
      </w:r>
      <w:r>
        <w:rPr>
          <w:b/>
          <w:bCs/>
          <w:szCs w:val="24"/>
        </w:rPr>
        <w:t xml:space="preserve">102-5.4 Crossings and Intersections:</w:t>
      </w:r>
      <w:r>
        <w:rPr>
          <w:szCs w:val="24"/>
        </w:rPr>
        <w:t xml:space="preserve"> Provide and maintain adequate accommodations for intersecting and crossing traffic. Do not block or unduly restrict any </w:t>
      </w:r>
      <w:r>
        <w:rPr>
          <w:szCs w:val="24"/>
        </w:rPr>
        <w:t xml:space="preserve">median opening, </w:t>
      </w:r>
      <w:r>
        <w:rPr>
          <w:szCs w:val="24"/>
        </w:rPr>
        <w:t xml:space="preserve">road or street crossing the project unless approved by the Engineer. </w:t>
      </w:r>
      <w:r>
        <w:rPr>
          <w:szCs w:val="24"/>
        </w:rPr>
        <w:t xml:space="preserve">Maintain all existing actuated or traffic responsive mode signal operations for main and side street movements for the duration of the </w:t>
      </w:r>
      <w:r>
        <w:rPr>
          <w:szCs w:val="24"/>
        </w:rPr>
        <w:t xml:space="preserve">work</w:t>
      </w:r>
      <w:r>
        <w:rPr>
          <w:szCs w:val="24"/>
        </w:rPr>
        <w:t xml:space="preserve">. Restore any loss of detection within 12 hours. Use only detection technology listed on the Department’s Approved Products List (APL) and approved by the Engineer to restore detection capabilities. </w:t>
      </w:r>
      <w:r>
        <w:rPr>
          <w:szCs w:val="24"/>
        </w:rPr>
        <w:t xml:space="preserve">Before beginning any construction, </w:t>
      </w:r>
      <w:r>
        <w:rPr>
          <w:szCs w:val="24"/>
        </w:rPr>
        <w:t xml:space="preserve">submit to</w:t>
      </w:r>
      <w:r>
        <w:rPr>
          <w:szCs w:val="24"/>
        </w:rPr>
        <w:t xml:space="preserve"> </w:t>
      </w:r>
      <w:r>
        <w:rPr>
          <w:szCs w:val="24"/>
        </w:rPr>
        <w:t xml:space="preserve">the Engineer the names and phone numbers of persons that can be contacted when signal operation malfunctions.</w:t>
      </w:r>
    </w:p>
    <w:p>
      <w:pPr>
        <w:widowControl w:val="true"/>
        <w:tabs>
          <w:tab w:val="left" w:pos="720"/>
        </w:tabs>
        <w:autoSpaceDE w:val="true"/>
        <w:autoSpaceDN w:val="true"/>
        <w:adjustRightInd w:val="true"/>
        <w:spacing/>
        <w:rPr/>
      </w:pPr>
    </w:p>
    <w:p>
      <w:pPr>
        <w:widowControl w:val="true"/>
        <w:tabs>
          <w:tab w:val="left" w:pos="720"/>
        </w:tabs>
        <w:autoSpaceDE w:val="true"/>
        <w:autoSpaceDN w:val="true"/>
        <w:adjustRightInd w:val="true"/>
        <w:spacing/>
        <w:rPr/>
      </w:pPr>
    </w:p>
    <w:p>
      <w:pPr>
        <w:pStyle w:val="LeadInSentence"/>
        <w:spacing/>
        <w:rPr/>
      </w:pPr>
      <w:r>
        <w:rPr/>
        <w:t xml:space="preserve">ARTICLE 102-7 is expanded by the following:</w:t>
      </w:r>
    </w:p>
    <w:p>
      <w:pPr>
        <w:widowControl w:val="true"/>
        <w:tabs>
          <w:tab w:val="left" w:pos="720"/>
        </w:tabs>
        <w:autoSpaceDE w:val="true"/>
        <w:autoSpaceDN w:val="true"/>
        <w:adjustRightInd w:val="true"/>
        <w:spacing/>
        <w:rPr/>
      </w:pPr>
      <w:r>
        <w:rPr/>
        <w:tab/>
        <w:t xml:space="preserve"/>
      </w:r>
      <w:r>
        <w:rPr/>
        <w:t xml:space="preserve">Provide off</w:t>
      </w:r>
      <w:r>
        <w:rPr/>
        <w:t xml:space="preserve">-</w:t>
      </w:r>
      <w:r>
        <w:rPr/>
        <w:t xml:space="preserve">duty law enforcement officer when required by the </w:t>
      </w:r>
      <w:r>
        <w:rPr/>
        <w:t xml:space="preserve">Work Document </w:t>
      </w:r>
      <w:r>
        <w:rPr/>
        <w:t xml:space="preserve">or as directed by the Engineer.</w:t>
      </w:r>
    </w:p>
    <w:p>
      <w:pPr>
        <w:pStyle w:val="BodyText"/>
        <w:spacing/>
        <w:rPr>
          <w:szCs w:val="24"/>
        </w:rPr>
      </w:pPr>
    </w:p>
    <w:p>
      <w:pPr>
        <w:pStyle w:val="LeadInSentence"/>
        <w:spacing/>
        <w:rPr/>
      </w:pPr>
      <w:r>
        <w:rPr/>
        <w:t xml:space="preserve">SUBARTICLE 102-9.1 is deleted and the following substituted:</w:t>
      </w:r>
    </w:p>
    <w:p>
      <w:pPr>
        <w:keepNext/>
        <w:widowControl w:val="true"/>
        <w:tabs>
          <w:tab w:val="left" w:pos="720"/>
        </w:tabs>
        <w:autoSpaceDE w:val="true"/>
        <w:autoSpaceDN w:val="true"/>
        <w:adjustRightInd w:val="true"/>
        <w:spacing w:before="240"/>
        <w:rPr>
          <w:b/>
        </w:rPr>
      </w:pPr>
      <w:r>
        <w:rPr>
          <w:b/>
        </w:rPr>
        <w:t xml:space="preserve">102-</w:t>
      </w:r>
      <w:r>
        <w:rPr>
          <w:b/>
        </w:rPr>
        <w:t xml:space="preserve">9</w:t>
      </w:r>
      <w:r>
        <w:rPr>
          <w:b/>
        </w:rPr>
        <w:t xml:space="preserve"> Temporary Traffic Control Devices.</w:t>
      </w:r>
    </w:p>
    <w:p>
      <w:pPr>
        <w:widowControl w:val="true"/>
        <w:tabs>
          <w:tab w:val="left" w:pos="720"/>
        </w:tabs>
        <w:autoSpaceDE w:val="true"/>
        <w:autoSpaceDN w:val="true"/>
        <w:adjustRightInd w:val="true"/>
        <w:spacing/>
        <w:rPr/>
      </w:pPr>
      <w:r>
        <w:rPr/>
        <w:tab/>
        <w:t xml:space="preserve"/>
      </w:r>
      <w:r>
        <w:rPr>
          <w:b/>
          <w:bCs/>
        </w:rPr>
        <w:t xml:space="preserve">102-</w:t>
      </w:r>
      <w:r>
        <w:rPr>
          <w:b/>
          <w:bCs/>
        </w:rPr>
        <w:t xml:space="preserve">9</w:t>
      </w:r>
      <w:r>
        <w:rPr>
          <w:b/>
          <w:bCs/>
        </w:rPr>
        <w:t xml:space="preserve">.1 General:</w:t>
      </w:r>
      <w:r>
        <w:rPr/>
        <w:t xml:space="preserve"> Use only devices that are listed on the APL and use in conformance with the APL drawings. Immediately remove or cover, using any method of covering approved by the Engineer, any existing or temporary devices (e.g. signs) that do not apply to current conditions. When in use, place a channelizing device at each corner of arrow boards, portable changeable message signs, radar speed display trailers, and any other trailer-mounted device. When not in use, move arrow boards, portable changeable message signs, radar speed display trailers, and any other trailer-mounted device outside of the clear zone or place them at the appropriate setback distance behind an existing barrier or temporary barrier that is present for shielding other items.</w:t>
      </w:r>
    </w:p>
    <w:p>
      <w:pPr>
        <w:widowControl w:val="true"/>
        <w:tabs>
          <w:tab w:val="left" w:pos="720"/>
        </w:tabs>
        <w:autoSpaceDE w:val="true"/>
        <w:autoSpaceDN w:val="true"/>
        <w:adjustRightInd w:val="true"/>
        <w:spacing/>
        <w:rPr/>
      </w:pPr>
      <w:r>
        <w:rPr/>
        <w:tab/>
        <w:t xml:space="preserve"/>
      </w:r>
      <w:r>
        <w:rPr/>
        <w:tab/>
        <w:t xml:space="preserve"/>
      </w:r>
      <w:r>
        <w:rPr/>
        <w:t xml:space="preserve">The use of </w:t>
      </w:r>
      <w:r>
        <w:rPr>
          <w:szCs w:val="20"/>
        </w:rPr>
        <w:t xml:space="preserve">NCHRP Report 350 Recommended Procedures for the Safety Performance Evaluation of Highway Features</w:t>
      </w:r>
      <w:r>
        <w:rPr/>
        <w:t xml:space="preserve"> devices purchased prior to January 1, 2020 is permitted on projects let prior to January 1, 2030. All devices manufactured or purchased on or after January 1, 2020 must be MASH compliant in accordance with Section</w:t>
      </w:r>
      <w:r>
        <w:rPr/>
        <w:t xml:space="preserve"> </w:t>
      </w:r>
      <w:r>
        <w:rPr/>
        <w:t xml:space="preserve">990.</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The APL number is to be permanently marked on the device at a readily visible location. Sheeting used on devices and pavement markings are exempt from this requirement.</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Notify the Engineer in writing of any scheduled operation that will affect traffic patterns or safety sufficiently in advance of commencing such operation to allow adequate time to review the plan for the proposed installation of temporary traffic control devices.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Assign an employee the responsibility of maintaining the position and condition of all temporary traffic control devices throughout the duration of the Contract. Keep the Engineer advised of the identification and means of contacting this employee on a </w:t>
      </w:r>
      <w:r>
        <w:rPr>
          <w:szCs w:val="20"/>
        </w:rPr>
        <w:t xml:space="preserve">24 hour</w:t>
      </w:r>
      <w:r>
        <w:rPr>
          <w:szCs w:val="20"/>
        </w:rPr>
        <w:t xml:space="preserve"> basis.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Maintain temporary traffic control devices in the correct position, properly oriented, clearly visible, and clean. All applicable temporary traffic control devices must meet the classification category of Acceptable as defined in the American Traffic Safety Services Association (ATSSA) Quality Guidelines for Temporary Traffic Control Devices and Features. Temporary concrete barriers must meet the classification category of Acceptable defined in the Department’s Temporary Concrete Barrier Evaluation Guide, which may be viewed at the following URL: </w:t>
      </w:r>
    </w:p>
    <w:p>
      <w:pPr>
        <w:widowControl w:val="true"/>
        <w:tabs>
          <w:tab w:val="left" w:pos="720"/>
        </w:tabs>
        <w:autoSpaceDE w:val="true"/>
        <w:autoSpaceDN w:val="true"/>
        <w:adjustRightInd w:val="true"/>
        <w:spacing/>
        <w:rPr>
          <w:rStyle w:val="Hyperlink"/>
        </w:rPr>
      </w:pPr>
      <w:r>
        <w:rPr/>
        <w:fldChar w:fldCharType="begin"/>
      </w:r>
      <w:r>
        <w:rPr/>
        <w:instrText xml:space="preserve">HYPERLINK "https://fdotwww.blob.core.windows.net/sitefinity/docs/default-source/programmanagement/implemented/urlinspecs/files/docs/default-source/content-docs/programmanagement/implemented/urlinspecs/files/temporaryconcretebarrierguide.pdf.pdf?sfvrsn=343b4c97_10" </w:instrText>
      </w:r>
      <w:r>
        <w:rPr/>
        <w:fldChar w:fldCharType="separate"/>
      </w:r>
      <w:r>
        <w:rPr>
          <w:rStyle w:val="Hyperlink"/>
        </w:rPr>
        <w:t xml:space="preserve">https://fdotwww.blob.core.windows.net/sitefinity/docs/default-source/programmanagement/implemented/urlinspecs/files/docs/default-source/content-docs/programmanagement/implemented/urlinspecs/files/temporaryconcretebarrierguide.pdf.pdf?sfvrsn=343b4c97_10</w:t>
      </w:r>
      <w:r>
        <w:rPr/>
        <w:fldChar w:fldCharType="end"/>
      </w:r>
      <w:r>
        <w:rPr>
          <w:rStyle w:val="Hyperlink"/>
        </w:rPr>
        <w:t xml:space="preserv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Pedestrian longitudinal channelizing devices (LCDs) must meet the classification category of Acceptable as defined in the Pedestrian LCD Evaluation Guide, which may be viewed at the following URL: </w:t>
      </w:r>
    </w:p>
    <w:p>
      <w:pPr>
        <w:widowControl w:val="true"/>
        <w:tabs>
          <w:tab w:val="left" w:pos="720"/>
        </w:tabs>
        <w:autoSpaceDE w:val="true"/>
        <w:autoSpaceDN w:val="true"/>
        <w:adjustRightInd w:val="true"/>
        <w:spacing/>
        <w:rPr>
          <w:bCs/>
          <w:u w:val="single"/>
        </w:rPr>
      </w:pPr>
      <w:r>
        <w:rPr/>
        <w:fldChar w:fldCharType="begin"/>
      </w:r>
      <w:r>
        <w:rPr/>
        <w:instrText xml:space="preserve">HYPERLINK "https://fdotwww.blob.core.windows.net/sitefinity/docs/default-source/programmanagement/implemented/urlinspecs/files/lcdevaluationguide.pdf?sfvrsn=166e0f16_2" </w:instrText>
      </w:r>
      <w:r>
        <w:rPr/>
        <w:fldChar w:fldCharType="separate"/>
      </w:r>
      <w:r>
        <w:rPr>
          <w:rStyle w:val="Hyperlink"/>
        </w:rPr>
        <w:t xml:space="preserve">https://fdotwww.blob.core.windows.net/sitefinity/docs/default-source/programmanagement/implemented/urlinspecs/files/lcdevaluationguide.pdf?sfvrsn=166e0f16_2</w:t>
      </w:r>
      <w:r>
        <w:rPr/>
        <w:fldChar w:fldCharType="end"/>
      </w:r>
      <w:r>
        <w:rPr>
          <w:color w:val="2F5496"/>
          <w:szCs w:val="20"/>
          <w:u w:val="single"/>
        </w:rPr>
        <w:t xml:space="preserve">.</w:t>
      </w:r>
    </w:p>
    <w:p>
      <w:pPr>
        <w:widowControl w:val="true"/>
        <w:tabs>
          <w:tab w:val="left" w:pos="720"/>
        </w:tabs>
        <w:autoSpaceDE w:val="true"/>
        <w:autoSpaceDN w:val="true"/>
        <w:adjustRightInd w:val="true"/>
        <w:spacing/>
        <w:rPr>
          <w:szCs w:val="20"/>
        </w:rPr>
      </w:pPr>
      <w:r>
        <w:rPr>
          <w:bCs/>
          <w:u w:val="single"/>
        </w:rPr>
        <w:tab/>
        <w:t xml:space="preserve"/>
      </w:r>
      <w:r>
        <w:rPr>
          <w:bCs/>
          <w:u w:val="single"/>
        </w:rPr>
        <w:tab/>
        <w:t xml:space="preserve"/>
      </w:r>
      <w:r>
        <w:rPr>
          <w:szCs w:val="20"/>
        </w:rPr>
        <w:t xml:space="preserve">Immediately repair, replace or clean damaged, defaced or dirty devices. Traffic control devices must not be cl</w:t>
      </w:r>
      <w:bookmarkStart w:id="2" w:name="_GoBack"/>
      <w:bookmarkEnd w:id="2"/>
      <w:r>
        <w:rPr>
          <w:szCs w:val="20"/>
        </w:rPr>
        <w:t xml:space="preserve">eaned while installed/used. Use of warning lights on any temporary traffic control device is prohibited, </w:t>
      </w:r>
      <w:r>
        <w:rPr>
          <w:szCs w:val="20"/>
        </w:rPr>
        <w:t xml:space="preserve">with the exception of</w:t>
      </w:r>
      <w:r>
        <w:rPr>
          <w:szCs w:val="20"/>
        </w:rPr>
        <w:t xml:space="preserve"> the trailer mounted portable regulatory signs.</w:t>
      </w:r>
    </w:p>
    <w:p>
      <w:pPr>
        <w:widowControl w:val="true"/>
        <w:tabs>
          <w:tab w:val="left" w:pos="720"/>
        </w:tabs>
        <w:autoSpaceDE w:val="true"/>
        <w:autoSpaceDN w:val="true"/>
        <w:adjustRightInd w:val="true"/>
        <w:spacing/>
        <w:rPr>
          <w:bCs/>
          <w:u w:val="single"/>
        </w:rPr>
      </w:pPr>
    </w:p>
    <w:p>
      <w:pPr>
        <w:pStyle w:val="LeadInSentence"/>
        <w:spacing/>
        <w:rPr/>
      </w:pPr>
      <w:r>
        <w:rPr/>
        <w:tab/>
        <w:t xml:space="preserve"/>
      </w:r>
      <w:r>
        <w:rPr/>
        <w:t xml:space="preserve">SUBARTICLE 102-9.1.1 is deleted. </w:t>
      </w:r>
    </w:p>
    <w:p>
      <w:pPr>
        <w:pStyle w:val="BodyText"/>
        <w:spacing/>
        <w:rPr>
          <w:szCs w:val="24"/>
        </w:rPr>
      </w:pPr>
    </w:p>
    <w:p>
      <w:pPr>
        <w:pStyle w:val="LeadInSentence"/>
        <w:spacing/>
        <w:rPr/>
      </w:pPr>
      <w:r>
        <w:rPr/>
        <w:t xml:space="preserve">SUBARTICLE 102-9.</w:t>
      </w:r>
      <w:r>
        <w:rPr/>
        <w:t xml:space="preserve">17 </w:t>
      </w:r>
      <w:r>
        <w:rPr/>
        <w:t xml:space="preserve">is deleted and the following substituted:</w:t>
      </w:r>
    </w:p>
    <w:p>
      <w:pPr>
        <w:pStyle w:val="BodyText"/>
        <w:spacing/>
        <w:rPr>
          <w:szCs w:val="24"/>
        </w:rPr>
      </w:pPr>
      <w:r>
        <w:rPr>
          <w:szCs w:val="24"/>
        </w:rPr>
        <w:tab/>
        <w:t xml:space="preserve"/>
      </w:r>
      <w:r>
        <w:rPr>
          <w:b/>
          <w:bCs/>
          <w:szCs w:val="24"/>
        </w:rPr>
        <w:t xml:space="preserve">102-9.</w:t>
      </w:r>
      <w:r>
        <w:rPr>
          <w:b/>
          <w:bCs/>
          <w:szCs w:val="24"/>
        </w:rPr>
        <w:t xml:space="preserve">1</w:t>
      </w:r>
      <w:r>
        <w:rPr>
          <w:b/>
          <w:bCs/>
          <w:szCs w:val="24"/>
        </w:rPr>
        <w:t xml:space="preserve">7</w:t>
      </w:r>
      <w:r>
        <w:rPr>
          <w:b/>
          <w:bCs/>
          <w:szCs w:val="24"/>
        </w:rPr>
        <w:t xml:space="preserve"> </w:t>
      </w:r>
      <w:r>
        <w:rPr>
          <w:b/>
          <w:bCs/>
          <w:szCs w:val="24"/>
        </w:rPr>
        <w:t xml:space="preserve">Truck Mounted Attenuators and Trailer Mounted Attenuators:</w:t>
      </w:r>
      <w:r>
        <w:rPr>
          <w:szCs w:val="24"/>
        </w:rPr>
        <w:t xml:space="preserve"> Furnish, install and maintain only those attenuators that meet the requirements of NCHRP 350 or the </w:t>
      </w:r>
      <w:r>
        <w:rPr>
          <w:iCs/>
          <w:szCs w:val="24"/>
        </w:rPr>
        <w:t xml:space="preserve">MASH</w:t>
      </w:r>
      <w:r>
        <w:rPr>
          <w:szCs w:val="24"/>
        </w:rPr>
        <w:t xml:space="preserve">.</w:t>
      </w:r>
    </w:p>
    <w:p>
      <w:pPr>
        <w:pStyle w:val="BodyText"/>
        <w:spacing/>
        <w:rPr>
          <w:szCs w:val="24"/>
        </w:rPr>
      </w:pPr>
      <w:r>
        <w:rPr>
          <w:szCs w:val="24"/>
        </w:rPr>
        <w:tab/>
        <w:t xml:space="preserve"/>
      </w:r>
      <w:r>
        <w:rPr>
          <w:szCs w:val="24"/>
        </w:rPr>
        <w:tab/>
        <w:t xml:space="preserve"/>
      </w:r>
      <w:r>
        <w:rPr>
          <w:szCs w:val="24"/>
        </w:rPr>
        <w:t xml:space="preserve">Use </w:t>
      </w:r>
      <w:r>
        <w:rPr>
          <w:szCs w:val="24"/>
        </w:rPr>
        <w:t xml:space="preserve">t</w:t>
      </w:r>
      <w:r>
        <w:rPr>
          <w:szCs w:val="24"/>
        </w:rPr>
        <w:t xml:space="preserve">ruck </w:t>
      </w:r>
      <w:r>
        <w:rPr>
          <w:szCs w:val="24"/>
        </w:rPr>
        <w:t xml:space="preserve">m</w:t>
      </w:r>
      <w:r>
        <w:rPr>
          <w:szCs w:val="24"/>
        </w:rPr>
        <w:t xml:space="preserve">ounted </w:t>
      </w:r>
      <w:r>
        <w:rPr>
          <w:szCs w:val="24"/>
        </w:rPr>
        <w:t xml:space="preserve">a</w:t>
      </w:r>
      <w:r>
        <w:rPr>
          <w:szCs w:val="24"/>
        </w:rPr>
        <w:t xml:space="preserve">ttenuators or </w:t>
      </w:r>
      <w:r>
        <w:rPr>
          <w:szCs w:val="24"/>
        </w:rPr>
        <w:t xml:space="preserve">t</w:t>
      </w:r>
      <w:r>
        <w:rPr>
          <w:szCs w:val="24"/>
        </w:rPr>
        <w:t xml:space="preserve">railer </w:t>
      </w:r>
      <w:r>
        <w:rPr>
          <w:szCs w:val="24"/>
        </w:rPr>
        <w:t xml:space="preserve">m</w:t>
      </w:r>
      <w:r>
        <w:rPr>
          <w:szCs w:val="24"/>
        </w:rPr>
        <w:t xml:space="preserve">ounted </w:t>
      </w:r>
      <w:r>
        <w:rPr>
          <w:szCs w:val="24"/>
        </w:rPr>
        <w:t xml:space="preserve">a</w:t>
      </w:r>
      <w:r>
        <w:rPr>
          <w:szCs w:val="24"/>
        </w:rPr>
        <w:t xml:space="preserve">ttenuators, when called for in the Design Standards. Use attenuators listed on the </w:t>
      </w:r>
      <w:r>
        <w:rPr>
          <w:szCs w:val="24"/>
        </w:rPr>
        <w:t xml:space="preserve">APL</w:t>
      </w:r>
      <w:r>
        <w:rPr>
          <w:szCs w:val="24"/>
        </w:rPr>
        <w:t xml:space="preserve">.</w:t>
      </w:r>
    </w:p>
    <w:p>
      <w:pPr>
        <w:pStyle w:val="BodyText"/>
        <w:spacing/>
        <w:rPr>
          <w:szCs w:val="24"/>
        </w:rPr>
      </w:pPr>
      <w:r>
        <w:rPr>
          <w:szCs w:val="24"/>
        </w:rPr>
        <w:tab/>
        <w:t xml:space="preserve"/>
      </w:r>
      <w:r>
        <w:rPr>
          <w:szCs w:val="24"/>
        </w:rPr>
        <w:tab/>
        <w:t xml:space="preserve"/>
      </w:r>
      <w:r>
        <w:rPr>
          <w:szCs w:val="24"/>
        </w:rPr>
        <w:t xml:space="preserve">When attenuators are called for, use either a truck mounted attenuator or a trailer mounted attenuator system designed and installed in accordance with the manufacturers recommendations.</w:t>
      </w:r>
    </w:p>
    <w:p>
      <w:pPr>
        <w:pStyle w:val="BodyText"/>
        <w:spacing/>
        <w:rPr>
          <w:szCs w:val="24"/>
        </w:rPr>
      </w:pPr>
      <w:r>
        <w:rPr>
          <w:szCs w:val="24"/>
        </w:rPr>
        <w:tab/>
        <w:t xml:space="preserve"/>
      </w:r>
      <w:r>
        <w:rPr>
          <w:szCs w:val="24"/>
        </w:rPr>
        <w:tab/>
        <w:t xml:space="preserve"/>
      </w:r>
      <w:r>
        <w:rPr>
          <w:szCs w:val="24"/>
        </w:rPr>
        <w:t xml:space="preserve">Equip the attenuator cartridge with lights and reflectors in compliance with applicable Florida motor vehicle laws, including turn signals, dual </w:t>
      </w:r>
      <w:r>
        <w:rPr>
          <w:szCs w:val="24"/>
        </w:rPr>
        <w:t xml:space="preserve">tail lights</w:t>
      </w:r>
      <w:r>
        <w:rPr>
          <w:szCs w:val="24"/>
        </w:rPr>
        <w:t xml:space="preserve">, and brake lights. Ensure that lights are visible in both the raised and lowered positions if the unit is capable of being raised.</w:t>
      </w:r>
    </w:p>
    <w:p>
      <w:pPr>
        <w:pStyle w:val="BodyText"/>
        <w:spacing/>
        <w:rPr>
          <w:szCs w:val="24"/>
        </w:rPr>
      </w:pPr>
      <w:r>
        <w:rPr>
          <w:szCs w:val="24"/>
        </w:rPr>
        <w:tab/>
        <w:t xml:space="preserve"/>
      </w:r>
      <w:r>
        <w:rPr>
          <w:szCs w:val="24"/>
        </w:rPr>
        <w:tab/>
        <w:t xml:space="preserve"/>
      </w:r>
      <w:r>
        <w:rPr>
          <w:szCs w:val="24"/>
        </w:rPr>
        <w:t xml:space="preserve">Install either alternating black with yellow or white with orange sheeting on the rear of trailer mounted attenuators and on truck mounted attenuators, in both the operating and raised position. Use Type III (work zone) or Type IV sheeting consisting of 4 or </w:t>
      </w:r>
      <w:r>
        <w:rPr>
          <w:szCs w:val="24"/>
        </w:rPr>
        <w:t xml:space="preserve">6 inch wide</w:t>
      </w:r>
      <w:r>
        <w:rPr>
          <w:szCs w:val="24"/>
        </w:rPr>
        <w:t xml:space="preserve"> stripes installed to form chevrons that point upward. All sheeting except black shall be retroreflective</w:t>
      </w:r>
      <w:r>
        <w:rPr>
          <w:szCs w:val="24"/>
        </w:rPr>
        <w:t xml:space="preserve">.</w:t>
      </w:r>
    </w:p>
    <w:p>
      <w:pPr>
        <w:pStyle w:val="BodyText"/>
        <w:spacing/>
        <w:rPr>
          <w:szCs w:val="24"/>
        </w:rPr>
      </w:pPr>
      <w:r>
        <w:rPr>
          <w:szCs w:val="24"/>
        </w:rPr>
        <w:tab/>
        <w:t xml:space="preserve"/>
      </w:r>
      <w:r>
        <w:rPr>
          <w:szCs w:val="24"/>
        </w:rPr>
        <w:tab/>
        <w:t xml:space="preserve"/>
      </w:r>
      <w:r>
        <w:rPr>
          <w:szCs w:val="24"/>
        </w:rPr>
        <w:t xml:space="preserve">Payment </w:t>
      </w:r>
      <w:r>
        <w:rPr>
          <w:szCs w:val="24"/>
        </w:rPr>
        <w:t xml:space="preserve">will be made per day when included in the </w:t>
      </w:r>
      <w:r>
        <w:rPr>
          <w:szCs w:val="24"/>
        </w:rPr>
        <w:t xml:space="preserve">Work Document </w:t>
      </w:r>
      <w:r>
        <w:rPr>
          <w:szCs w:val="24"/>
        </w:rPr>
        <w:t xml:space="preserve">or as directed by the Engineer. Payment </w:t>
      </w:r>
      <w:r>
        <w:rPr>
          <w:szCs w:val="24"/>
        </w:rPr>
        <w:t xml:space="preserve">includes all costs</w:t>
      </w:r>
      <w:r>
        <w:rPr>
          <w:szCs w:val="24"/>
        </w:rPr>
        <w:t xml:space="preserve"> for</w:t>
      </w:r>
      <w:r>
        <w:rPr>
          <w:szCs w:val="24"/>
        </w:rPr>
        <w:t xml:space="preserve"> materials, labor, tools, equipment and incidentals required for </w:t>
      </w:r>
      <w:r>
        <w:rPr>
          <w:szCs w:val="24"/>
        </w:rPr>
        <w:t xml:space="preserve">performing the work described in this Section</w:t>
      </w:r>
      <w:r>
        <w:rPr>
          <w:szCs w:val="24"/>
        </w:rPr>
        <w:t xml:space="preserve">.</w:t>
      </w:r>
    </w:p>
    <w:p>
      <w:pPr>
        <w:pStyle w:val="BodyText"/>
        <w:spacing/>
        <w:rPr>
          <w:szCs w:val="24"/>
        </w:rPr>
      </w:pPr>
    </w:p>
    <w:p>
      <w:pPr>
        <w:pStyle w:val="BodyText"/>
        <w:spacing/>
        <w:rPr>
          <w:szCs w:val="24"/>
        </w:rPr>
      </w:pPr>
    </w:p>
    <w:p>
      <w:pPr>
        <w:pStyle w:val="LeadInSentence"/>
        <w:spacing/>
        <w:rPr/>
      </w:pPr>
      <w:r>
        <w:rPr/>
        <w:t xml:space="preserve">SUBARTICLE 102-11.</w:t>
      </w:r>
      <w:r>
        <w:rPr/>
        <w:t xml:space="preserve">1 </w:t>
      </w:r>
      <w:r>
        <w:rPr/>
        <w:t xml:space="preserve">is </w:t>
      </w:r>
      <w:r>
        <w:rPr/>
        <w:t xml:space="preserve">deleted and </w:t>
      </w:r>
      <w:r>
        <w:rPr/>
        <w:t xml:space="preserve">the following</w:t>
      </w:r>
      <w:r>
        <w:rPr/>
        <w:t xml:space="preserve"> substituted</w:t>
      </w:r>
      <w:r>
        <w:rPr/>
        <w:t xml:space="preserve">:</w:t>
      </w:r>
    </w:p>
    <w:p>
      <w:pPr>
        <w:pStyle w:val="BodyText"/>
        <w:spacing/>
        <w:rPr>
          <w:szCs w:val="24"/>
        </w:rPr>
      </w:pPr>
      <w:r>
        <w:rPr>
          <w:szCs w:val="24"/>
        </w:rPr>
        <w:tab/>
        <w:t xml:space="preserve"/>
      </w:r>
      <w:r>
        <w:rPr>
          <w:b/>
          <w:bCs/>
          <w:szCs w:val="24"/>
        </w:rPr>
        <w:t xml:space="preserve">102-11.1 General:</w:t>
      </w:r>
      <w:r>
        <w:rPr>
          <w:szCs w:val="24"/>
        </w:rPr>
        <w:t xml:space="preserve"> </w:t>
      </w:r>
      <w:r>
        <w:rPr>
          <w:szCs w:val="24"/>
        </w:rPr>
        <w:t xml:space="preserve">Devices installed/used on the project on any calend</w:t>
      </w:r>
      <w:r>
        <w:rPr>
          <w:szCs w:val="24"/>
        </w:rPr>
        <w:t xml:space="preserve">ar day or portion thereof, within the Contract Time, including time extensions which may be granted, will be paid for at the Contract unit price for the applicable pay item.</w:t>
      </w:r>
      <w:r>
        <w:rPr>
          <w:szCs w:val="24"/>
        </w:rPr>
        <w:t xml:space="preserve"> </w:t>
      </w:r>
    </w:p>
    <w:p>
      <w:pPr>
        <w:pStyle w:val="BodyText"/>
        <w:spacing/>
        <w:rPr>
          <w:szCs w:val="24"/>
        </w:rPr>
      </w:pPr>
      <w:r>
        <w:rPr>
          <w:szCs w:val="24"/>
        </w:rPr>
        <w:tab/>
        <w:t xml:space="preserve"/>
      </w:r>
      <w:r>
        <w:rPr>
          <w:szCs w:val="24"/>
        </w:rPr>
        <w:tab/>
        <w:t xml:space="preserve"/>
      </w:r>
      <w:r>
        <w:rPr>
          <w:szCs w:val="24"/>
        </w:rPr>
        <w:t xml:space="preserve">For this Contract, all pay items with unit “Each Day (ED)” and “Hour (HR)” will be defined as follows:</w:t>
      </w:r>
    </w:p>
    <w:p>
      <w:pPr>
        <w:pStyle w:val="BodyText"/>
        <w:spacing/>
        <w:rPr>
          <w:szCs w:val="24"/>
        </w:rPr>
      </w:pPr>
      <w:r>
        <w:rPr>
          <w:szCs w:val="24"/>
        </w:rPr>
        <w:tab/>
        <w:t xml:space="preserve"/>
      </w:r>
      <w:r>
        <w:rPr>
          <w:szCs w:val="24"/>
        </w:rPr>
        <w:tab/>
        <w:t xml:space="preserve"/>
      </w:r>
      <w:r>
        <w:rPr>
          <w:szCs w:val="24"/>
        </w:rPr>
        <w:t xml:space="preserve">1. Time for “Each Day” will be calculated in </w:t>
      </w:r>
      <w:r>
        <w:rPr>
          <w:szCs w:val="24"/>
        </w:rPr>
        <w:t xml:space="preserve">24 hour</w:t>
      </w:r>
      <w:r>
        <w:rPr>
          <w:szCs w:val="24"/>
        </w:rPr>
        <w:t xml:space="preserve"> increments starting at the time specified in the Work Document.</w:t>
      </w:r>
    </w:p>
    <w:p>
      <w:pPr>
        <w:pStyle w:val="BodyText"/>
        <w:spacing/>
        <w:rPr>
          <w:szCs w:val="24"/>
        </w:rPr>
      </w:pPr>
      <w:r>
        <w:rPr>
          <w:szCs w:val="24"/>
        </w:rPr>
        <w:tab/>
        <w:t xml:space="preserve"/>
      </w:r>
      <w:r>
        <w:rPr>
          <w:szCs w:val="24"/>
        </w:rPr>
        <w:tab/>
        <w:t xml:space="preserve"/>
      </w:r>
      <w:r>
        <w:rPr>
          <w:szCs w:val="24"/>
        </w:rPr>
        <w:t xml:space="preserve">2. “Hour” rates will be paid in increments of 1 </w:t>
      </w:r>
      <w:r>
        <w:rPr>
          <w:szCs w:val="24"/>
        </w:rPr>
        <w:t xml:space="preserve">hour</w:t>
      </w:r>
      <w:r>
        <w:rPr>
          <w:szCs w:val="24"/>
        </w:rPr>
        <w:t xml:space="preserve">, rounded up to the hour.</w:t>
      </w:r>
    </w:p>
    <w:p>
      <w:pPr>
        <w:widowControl w:val="true"/>
        <w:tabs>
          <w:tab w:val="left" w:pos="720"/>
        </w:tabs>
        <w:autoSpaceDE w:val="true"/>
        <w:autoSpaceDN w:val="true"/>
        <w:adjustRightInd w:val="true"/>
        <w:spacing/>
        <w:rPr>
          <w:szCs w:val="20"/>
        </w:rPr>
      </w:pPr>
    </w:p>
    <w:p>
      <w:pPr>
        <w:pStyle w:val="LeadInSentence"/>
        <w:spacing/>
        <w:rPr/>
      </w:pPr>
      <w:r>
        <w:rPr/>
        <w:t xml:space="preserve">ARTICLE 102-11 is expanded by the following new </w:t>
      </w:r>
      <w:r>
        <w:rPr/>
        <w:t xml:space="preserve">Subarticles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102-11.23 </w:t>
      </w:r>
      <w:r>
        <w:rPr>
          <w:b/>
          <w:szCs w:val="20"/>
        </w:rPr>
        <w:t xml:space="preserve">MOT</w:t>
      </w:r>
      <w:r>
        <w:rPr>
          <w:b/>
          <w:szCs w:val="20"/>
        </w:rPr>
        <w:t xml:space="preserve"> </w:t>
      </w:r>
      <w:r>
        <w:rPr>
          <w:b/>
          <w:szCs w:val="20"/>
        </w:rPr>
        <w:t xml:space="preserve">Maintenance Services:</w:t>
      </w:r>
      <w:r>
        <w:rPr>
          <w:szCs w:val="20"/>
        </w:rPr>
        <w:t xml:space="preserve"> The quantity to be paid will be the number of </w:t>
      </w:r>
      <w:r>
        <w:rPr>
          <w:szCs w:val="20"/>
        </w:rPr>
        <w:t xml:space="preserve">hours that MOT duties are performed, beginning when setup is complete to the initiation of takedown.</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102-11.25 Truck Mounted Attenuator:</w:t>
      </w:r>
      <w:r>
        <w:rPr>
          <w:szCs w:val="20"/>
        </w:rPr>
        <w:t xml:space="preserve"> The quantity to be paid will be the number of days, per day, </w:t>
      </w:r>
      <w:r>
        <w:rPr>
          <w:szCs w:val="20"/>
        </w:rPr>
        <w:t xml:space="preserve">regardless of the number of locations work is performed at each site.</w:t>
      </w:r>
    </w:p>
    <w:p>
      <w:pPr>
        <w:spacing/>
        <w:rPr/>
      </w:pPr>
    </w:p>
    <w:p>
      <w:pPr>
        <w:spacing/>
        <w:rPr/>
      </w:pPr>
    </w:p>
    <w:p>
      <w:pPr>
        <w:pStyle w:val="LeadInSentence"/>
        <w:spacing/>
        <w:rPr/>
      </w:pPr>
      <w:r>
        <w:rPr/>
        <w:t xml:space="preserve">ARTICLE 102-12 is deleted.</w:t>
      </w:r>
    </w:p>
    <w:p>
      <w:pPr>
        <w:pStyle w:val="BodyText"/>
        <w:spacing/>
        <w:rPr>
          <w:szCs w:val="24"/>
        </w:rPr>
      </w:pPr>
    </w:p>
    <w:p>
      <w:pPr>
        <w:pStyle w:val="BodyText"/>
        <w:spacing/>
        <w:rPr>
          <w:szCs w:val="24"/>
        </w:rPr>
      </w:pPr>
    </w:p>
    <w:p>
      <w:pPr>
        <w:pStyle w:val="LeadInSentence"/>
        <w:spacing/>
        <w:rPr/>
      </w:pPr>
      <w:r>
        <w:rPr/>
        <w:t xml:space="preserve">ARTICLE 102-13</w:t>
      </w:r>
      <w:r>
        <w:rPr/>
        <w:t xml:space="preserve">.1</w:t>
      </w:r>
      <w:r>
        <w:rPr/>
        <w:t xml:space="preserve"> is deleted and the following substituted:</w:t>
      </w:r>
    </w:p>
    <w:p>
      <w:pPr>
        <w:pStyle w:val="Article"/>
        <w:spacing/>
        <w:rPr/>
      </w:pPr>
      <w:r>
        <w:rPr/>
        <w:t xml:space="preserve">102-13 Basis of Payment.</w:t>
      </w:r>
    </w:p>
    <w:p>
      <w:pPr>
        <w:pStyle w:val="BodyText"/>
        <w:spacing/>
        <w:rPr>
          <w:szCs w:val="24"/>
        </w:rPr>
      </w:pPr>
      <w:r>
        <w:rPr>
          <w:szCs w:val="24"/>
        </w:rPr>
        <w:tab/>
        <w:t xml:space="preserve"/>
      </w:r>
      <w:r>
        <w:rPr>
          <w:b/>
          <w:bCs/>
          <w:szCs w:val="24"/>
        </w:rPr>
        <w:t xml:space="preserve">102-13.1 Maintenance of Traffic (General Work):</w:t>
      </w:r>
      <w:r>
        <w:rPr>
          <w:szCs w:val="24"/>
        </w:rPr>
        <w:t xml:space="preserve"> When an item of work is included in the proposal, price and payment will be full compensation for all work and costs specified under this Section except as may be specifically covered for payment under other items.</w:t>
      </w:r>
    </w:p>
    <w:p>
      <w:pPr>
        <w:pStyle w:val="BodyText"/>
        <w:spacing/>
        <w:rPr>
          <w:szCs w:val="24"/>
        </w:rPr>
      </w:pPr>
      <w:r>
        <w:rPr>
          <w:szCs w:val="24"/>
        </w:rPr>
        <w:tab/>
        <w:t xml:space="preserve"/>
      </w:r>
      <w:r>
        <w:rPr>
          <w:szCs w:val="24"/>
        </w:rPr>
        <w:tab/>
        <w:t xml:space="preserve"/>
      </w:r>
      <w:r>
        <w:rPr>
          <w:szCs w:val="24"/>
        </w:rPr>
        <w:t xml:space="preserve">When the proposal does not include a separate item for Maintenance of Traffic, all work and incidental costs specified as being covered under this Section will be include</w:t>
      </w:r>
      <w:r>
        <w:rPr>
          <w:szCs w:val="24"/>
        </w:rPr>
        <w:t xml:space="preserve">d</w:t>
      </w:r>
      <w:r>
        <w:rPr>
          <w:szCs w:val="24"/>
        </w:rPr>
        <w:t xml:space="preserve"> for </w:t>
      </w:r>
      <w:r>
        <w:rPr>
          <w:szCs w:val="24"/>
        </w:rPr>
        <w:t xml:space="preserve">payment under the several scheduled items of the overall Contract and no separate payment will be made therefore.</w:t>
      </w:r>
    </w:p>
    <w:p>
      <w:pPr>
        <w:widowControl w:val="true"/>
        <w:tabs>
          <w:tab w:val="left" w:pos="720"/>
        </w:tabs>
        <w:autoSpaceDE w:val="true"/>
        <w:autoSpaceDN w:val="true"/>
        <w:adjustRightInd w:val="true"/>
        <w:spacing/>
        <w:rPr>
          <w:szCs w:val="20"/>
        </w:rPr>
      </w:pPr>
    </w:p>
    <w:p>
      <w:pPr>
        <w:widowControl w:val="true"/>
        <w:tabs>
          <w:tab w:val="left" w:pos="720"/>
        </w:tabs>
        <w:autoSpaceDE w:val="true"/>
        <w:autoSpaceDN w:val="true"/>
        <w:adjustRightInd w:val="true"/>
        <w:spacing/>
        <w:rPr>
          <w:szCs w:val="20"/>
        </w:rPr>
      </w:pPr>
    </w:p>
    <w:p>
      <w:pPr>
        <w:pStyle w:val="LeadInSentence"/>
        <w:spacing/>
        <w:rPr/>
      </w:pPr>
      <w:r>
        <w:rPr/>
        <w:t xml:space="preserve">SUBARTICLE 13.</w:t>
      </w:r>
      <w:r>
        <w:rPr/>
        <w:t xml:space="preserve">23 </w:t>
      </w:r>
      <w:r>
        <w:rPr/>
        <w:t xml:space="preserve">is deleted and the following substituted:</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102-</w:t>
      </w:r>
      <w:r>
        <w:rPr>
          <w:b/>
          <w:szCs w:val="20"/>
        </w:rPr>
        <w:t xml:space="preserve">13</w:t>
      </w:r>
      <w:r>
        <w:rPr>
          <w:b/>
          <w:szCs w:val="20"/>
        </w:rPr>
        <w:t xml:space="preserve">.</w:t>
      </w:r>
      <w:r>
        <w:rPr>
          <w:b/>
          <w:szCs w:val="20"/>
        </w:rPr>
        <w:t xml:space="preserve">23</w:t>
      </w:r>
      <w:r>
        <w:rPr>
          <w:b/>
          <w:szCs w:val="20"/>
        </w:rPr>
        <w:t xml:space="preserve"> </w:t>
      </w:r>
      <w:r>
        <w:rPr>
          <w:b/>
          <w:szCs w:val="20"/>
        </w:rPr>
        <w:t xml:space="preserve">MOT</w:t>
      </w:r>
      <w:r>
        <w:rPr>
          <w:b/>
          <w:szCs w:val="20"/>
        </w:rPr>
        <w:t xml:space="preserve"> </w:t>
      </w:r>
      <w:r>
        <w:rPr>
          <w:b/>
          <w:szCs w:val="20"/>
        </w:rPr>
        <w:t xml:space="preserve">Maintenance </w:t>
      </w:r>
      <w:r>
        <w:rPr>
          <w:b/>
          <w:szCs w:val="20"/>
        </w:rPr>
        <w:t xml:space="preserve">Services:</w:t>
      </w:r>
      <w:r>
        <w:rPr>
          <w:szCs w:val="20"/>
        </w:rPr>
        <w:t xml:space="preserve"> </w:t>
      </w:r>
      <w:r>
        <w:rPr>
          <w:szCs w:val="20"/>
        </w:rPr>
        <w:t xml:space="preserve">Price and payment will be full compensation for</w:t>
      </w:r>
      <w:r>
        <w:rPr>
          <w:szCs w:val="20"/>
        </w:rPr>
        <w:t xml:space="preserve"> </w:t>
      </w:r>
      <w:r>
        <w:rPr>
          <w:szCs w:val="20"/>
        </w:rPr>
        <w:t xml:space="preserve">work performed</w:t>
      </w:r>
      <w:r>
        <w:rPr>
          <w:szCs w:val="20"/>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102-</w:t>
      </w:r>
      <w:r>
        <w:rPr>
          <w:b/>
          <w:szCs w:val="20"/>
        </w:rPr>
        <w:t xml:space="preserve">13</w:t>
      </w:r>
      <w:r>
        <w:rPr>
          <w:b/>
          <w:szCs w:val="20"/>
        </w:rPr>
        <w:t xml:space="preserve">.</w:t>
      </w:r>
      <w:r>
        <w:rPr>
          <w:b/>
          <w:szCs w:val="20"/>
        </w:rPr>
        <w:t xml:space="preserve">24</w:t>
      </w:r>
      <w:r>
        <w:rPr>
          <w:b/>
          <w:szCs w:val="20"/>
        </w:rPr>
        <w:t xml:space="preserve"> </w:t>
      </w:r>
      <w:r>
        <w:rPr>
          <w:b/>
          <w:szCs w:val="20"/>
        </w:rPr>
        <w:t xml:space="preserve">Truck Mounted Attenuator</w:t>
      </w:r>
      <w:r>
        <w:rPr>
          <w:b/>
          <w:szCs w:val="20"/>
        </w:rPr>
        <w:t xml:space="preserve">:</w:t>
      </w:r>
      <w:r>
        <w:rPr>
          <w:szCs w:val="20"/>
        </w:rPr>
        <w:t xml:space="preserve"> </w:t>
      </w:r>
      <w:r>
        <w:rPr>
          <w:szCs w:val="20"/>
        </w:rPr>
        <w:t xml:space="preserve">Price and payment will be full compensation for providing truck mounted attenuators each day </w:t>
      </w:r>
      <w:r>
        <w:rPr>
          <w:szCs w:val="20"/>
        </w:rPr>
        <w:t xml:space="preserve">regardless of the number of locations work is performed at each site.</w:t>
      </w:r>
    </w:p>
    <w:p>
      <w:pPr>
        <w:pStyle w:val="BodyText"/>
        <w:spacing/>
        <w:rPr/>
      </w:pPr>
      <w:r>
        <w:rPr/>
        <w:tab/>
        <w:t xml:space="preserve"/>
      </w:r>
      <w:r>
        <w:rPr>
          <w:b/>
          <w:bCs/>
        </w:rPr>
        <w:t xml:space="preserve">102-</w:t>
      </w:r>
      <w:r>
        <w:rPr>
          <w:b/>
          <w:bCs/>
        </w:rPr>
        <w:t xml:space="preserve">13</w:t>
      </w:r>
      <w:r>
        <w:rPr>
          <w:b/>
          <w:bCs/>
        </w:rPr>
        <w:t xml:space="preserve">.</w:t>
      </w:r>
      <w:r>
        <w:rPr>
          <w:b/>
          <w:bCs/>
        </w:rPr>
        <w:t xml:space="preserve">25</w:t>
      </w:r>
      <w:r>
        <w:rPr>
          <w:b/>
          <w:bCs/>
        </w:rPr>
        <w:t xml:space="preserve"> </w:t>
      </w:r>
      <w:r>
        <w:rPr>
          <w:b/>
          <w:bCs/>
        </w:rPr>
        <w:t xml:space="preserve">Payment Items: </w:t>
      </w:r>
      <w:r>
        <w:rPr/>
        <w:t xml:space="preserve">Payment will be made under</w:t>
      </w:r>
      <w:r>
        <w:rPr/>
        <w:t xml:space="preserve"> the items shown in the Bid Price Proposal.</w:t>
      </w:r>
    </w:p>
    <w:p>
      <w:pPr>
        <w:pStyle w:val="BodyText"/>
        <w:spacing/>
        <w:rPr/>
      </w:pPr>
    </w:p>
    <w:p>
      <w:pPr>
        <w:pStyle w:val="BodyText"/>
        <w:spacing/>
        <w:rPr/>
      </w:pPr>
    </w:p>
    <w:sectPr>
      <w:headerReference w:type="default" r:id="rId1"/>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BodyText">
    <w:name w:val="Body Text"/>
    <w:next w:val="Normal"/>
    <w:link w:val="BodyTextChar"/>
    <w:pPr>
      <w:tabs>
        <w:tab w:val="left" w:pos="720"/>
      </w:tabs>
      <w:spacing/>
    </w:pPr>
    <w:rPr>
      <w:sz w:val="24"/>
    </w:rPr>
  </w:style>
  <w:style w:type="paragraph" w:styleId="LeadInSentence" w:customStyle="1">
    <w:name w:val="Lead In Sentence"/>
    <w:next w:val="BodyText"/>
    <w:pPr>
      <w:keepNext/>
      <w:spacing w:after="240"/>
      <w:ind w:firstLine="720"/>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character" w:styleId="PageNumber">
    <w:name w:val="Page Number"/>
    <w:basedOn w:val="DefaultParagraphFont"/>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semiHidden/>
    <w:rPr>
      <w:sz w:val="16"/>
      <w:szCs w:val="16"/>
    </w:rPr>
  </w:style>
  <w:style w:type="paragraph" w:styleId="CommentText" w:customStyle="1">
    <w:name w:val="annotation text"/>
    <w:basedOn w:val="Normal"/>
    <w:link w:val="CommentTextChar"/>
    <w:semiHidden/>
    <w:pPr>
      <w:spacing/>
    </w:pPr>
    <w:rPr>
      <w:sz w:val="20"/>
      <w:szCs w:val="20"/>
    </w:rPr>
  </w:style>
  <w:style w:type="paragraph" w:styleId="CommentSubject" w:customStyle="1">
    <w:name w:val="annotation subject"/>
    <w:basedOn w:val="CommentText"/>
    <w:next w:val="annotationsubject"/>
    <w:semiHidden/>
    <w:pPr>
      <w:spacing/>
    </w:pPr>
    <w:rPr>
      <w:b/>
      <w:bCs/>
    </w:rPr>
  </w:style>
  <w:style w:type="character" w:styleId="CommentTextChar" w:customStyle="1">
    <w:name w:val="Comment Text Char"/>
    <w:basedOn w:val="DefaultParagraphFont"/>
    <w:semiHidden/>
    <w:rPr/>
  </w:style>
  <w:style w:type="paragraph" w:styleId="Revision" w:customStyle="1">
    <w:name w:val="Revision"/>
    <w:semiHidden/>
    <w:pPr>
      <w:spacing/>
    </w:pPr>
    <w:rPr>
      <w:sz w:val="24"/>
      <w:szCs w:val="24"/>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rFonts w:eastAsia="Calibri"/>
      <w:color w:val="000000"/>
      <w:sz w:val="24"/>
      <w:szCs w:val="24"/>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erChar" w:customStyle="1">
    <w:name w:val="Header Char"/>
    <w:basedOn w:val="DefaultParagraphFont"/>
    <w:link w:val="Header"/>
    <w:rPr>
      <w:sz w:val="24"/>
      <w:szCs w:val="24"/>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 w:type="character" w:styleId="Hyperlink">
    <w:name w:val="Hyperlink"/>
    <w:basedOn w:val="DefaultParagraphFont"/>
    <w:unhideWhenUsed/>
    <w:rPr>
      <w:color w:val="0563C1"/>
      <w:u w:val="single"/>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 Id="rId7" Type="http://schemas.openxmlformats.org/officeDocument/2006/relationships/customXml" Target="../customXml/item1.xml" /><Relationship Id="rId8" Type="http://schemas.openxmlformats.org/officeDocument/2006/relationships/customXml" Target="../customXml/item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727E-1FC4-41F4-9CCB-045B5B431BB4}">
  <ds:schemaRefs>
    <ds:schemaRef ds:uri="http://schemas.openxmlformats.org/officeDocument/2006/bibliography"/>
  </ds:schemaRefs>
</ds:datastoreItem>
</file>

<file path=customXml/itemProps2.xml><?xml version="1.0" encoding="utf-8"?>
<ds:datastoreItem xmlns:ds="http://schemas.openxmlformats.org/officeDocument/2006/customXml" ds:itemID="{70BD6DF9-4A7B-4059-9F33-9C58741FA25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4</Pages>
  <Words>1361</Words>
  <Characters>7762</Characters>
  <Application>Microsoft Office Word</Application>
  <DocSecurity>0</DocSecurity>
  <Lines>64</Lines>
  <Paragraphs>18</Paragraphs>
  <Company>Florida 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TRAFFIC</dc:title>
  <dc:subject/>
  <dc:creator>adams022102</dc:creator>
  <cp:keywords/>
  <cp:lastModifiedBy>Rebecca</cp:lastModifiedBy>
  <cp:lastPrinted>2009-05-22T18:10:00Z</cp:lastPrinted>
  <cp:revision>4</cp:revision>
  <dcterms:created xsi:type="dcterms:W3CDTF">2020-03-31T21:21:00Z</dcterms:created>
  <dcterms:modified xsi:type="dcterms:W3CDTF">2020-03-31T21:24:00Z</dcterms:modified>
  <cp:category>Maintenance1 </cp:category>
</cp:coreProperties>
</file>