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Heading2"/>
        <w:spacing/>
        <w:rPr/>
      </w:pPr>
      <w:bookmarkStart w:id="2" w:name="_GoBack"/>
      <w:bookmarkEnd w:id="2"/>
      <w:r>
        <w:rPr/>
        <w:t xml:space="preserve">MEASUREMENT</w:t>
      </w:r>
      <w:r>
        <w:rPr/>
        <w:t xml:space="preserve"> AND PAYMENT</w:t>
      </w:r>
      <w:r>
        <w:rPr/>
        <w:t xml:space="preserve"> – SCOPE OF PAYMENTS</w:t>
      </w:r>
      <w:r>
        <w:rPr/>
        <w:t xml:space="preserve">.</w:t>
      </w:r>
    </w:p>
    <w:p>
      <w:pPr>
        <w:pStyle w:val="Dates"/>
        <w:spacing/>
        <w:rPr/>
      </w:pPr>
      <w:r>
        <w:rPr/>
        <w:t xml:space="preserve">(</w:t>
      </w:r>
      <w:r>
        <w:rPr/>
        <w:t xml:space="preserve">REV </w:t>
      </w:r>
      <w:r>
        <w:rPr/>
        <w:t xml:space="preserve">8-12</w:t>
      </w:r>
      <w:r>
        <w:rPr/>
        <w:t xml:space="preserve">-16</w:t>
      </w:r>
      <w:r>
        <w:rPr/>
        <w:t xml:space="preserve">)</w:t>
      </w:r>
      <w:r>
        <w:rPr/>
        <w:t xml:space="preserve"> </w:t>
      </w:r>
      <w:r>
        <w:rPr/>
        <w:t xml:space="preserve">(1-21)</w:t>
      </w:r>
    </w:p>
    <w:p>
      <w:pPr>
        <w:pStyle w:val="LeadInSentence"/>
        <w:spacing/>
        <w:rPr>
          <w:rStyle w:val="LeadInSentenceChar"/>
          <w:b/>
          <w:bCs/>
        </w:rPr>
      </w:pPr>
      <w:r>
        <w:rPr/>
        <w:t xml:space="preserve">SUBARTICLE 9-2.1 is expanded as follows:</w:t>
      </w:r>
    </w:p>
    <w:p>
      <w:pPr>
        <w:pStyle w:val="BodyText"/>
        <w:spacing/>
        <w:rPr/>
      </w:pPr>
      <w:r>
        <w:rPr>
          <w:rStyle w:val="LeadInSentenceChar"/>
        </w:rPr>
        <w:tab/>
        <w:t xml:space="preserve"/>
      </w:r>
      <w:r>
        <w:rPr>
          <w:rStyle w:val="LeadInSentenceChar"/>
        </w:rPr>
        <w:tab/>
        <w:t xml:space="preserve"/>
      </w:r>
      <w:r>
        <w:rPr/>
        <w:t xml:space="preserve">Request payment for work completed and accepted by the Department by submitting an invoice</w:t>
      </w:r>
      <w:r>
        <w:rPr/>
        <w:t xml:space="preserve"> using</w:t>
      </w:r>
      <w:r>
        <w:rPr/>
        <w:t xml:space="preserve"> the pay items and unit prices contained in the Contract</w:t>
      </w:r>
      <w:r>
        <w:rPr/>
        <w:t xml:space="preserve">.</w:t>
      </w:r>
      <w:r>
        <w:rPr/>
        <w:t xml:space="preserve"> </w:t>
      </w:r>
      <w:r>
        <w:rPr/>
        <w:t xml:space="preserve">I</w:t>
      </w:r>
      <w:r>
        <w:rPr/>
        <w:t xml:space="preserve">nclude the Contract Number, the Financial Project Number, the Invoice Number, the Invoice Date and the period that the invoice represents.</w:t>
      </w:r>
      <w:r>
        <w:rPr/>
        <w:t xml:space="preserve"> If required by the Engineer</w:t>
      </w:r>
      <w:r>
        <w:rPr/>
        <w:t xml:space="preserve">, furnish</w:t>
      </w:r>
      <w:r>
        <w:rPr/>
        <w:t xml:space="preserve"> photos of the completed work at each location</w:t>
      </w:r>
      <w:r>
        <w:rPr/>
        <w:t xml:space="preserve"> </w:t>
      </w:r>
      <w:r>
        <w:rPr/>
        <w:t xml:space="preserve">with </w:t>
      </w:r>
      <w:r>
        <w:rPr/>
        <w:t xml:space="preserve">the </w:t>
      </w:r>
      <w:r>
        <w:rPr/>
        <w:t xml:space="preserve">invoice</w:t>
      </w:r>
      <w:r>
        <w:rPr/>
        <w:t xml:space="preserve">.</w:t>
      </w:r>
      <w:r>
        <w:rPr/>
        <w:t xml:space="preserve"> Submit the invoice </w:t>
      </w:r>
      <w:r>
        <w:rPr/>
        <w:t xml:space="preserve">no more often than once every 28 days</w:t>
      </w:r>
      <w:r>
        <w:rPr/>
        <w:t xml:space="preserve"> </w:t>
      </w:r>
      <w:r>
        <w:rPr/>
        <w:t xml:space="preserve">to the Engineer in charge of the project. Upon receipt and approval, payment will be made less an amount retained or withheld in the Contract.</w:t>
      </w:r>
    </w:p>
    <w:p>
      <w:pPr>
        <w:pStyle w:val="BodyText"/>
        <w:spacing/>
        <w:rPr/>
      </w:pPr>
      <w:r>
        <w:rPr/>
        <w:tab/>
        <w:t xml:space="preserve"/>
      </w:r>
      <w:r>
        <w:rPr/>
        <w:tab/>
        <w:t xml:space="preserve"/>
      </w:r>
      <w:r>
        <w:rPr/>
        <w:t xml:space="preserve">For Lump Sum contracts, w</w:t>
      </w:r>
      <w:r>
        <w:rPr/>
        <w:t xml:space="preserve">ithin 21</w:t>
      </w:r>
      <w:r>
        <w:rPr/>
        <w:t xml:space="preserve"> </w:t>
      </w:r>
      <w:r>
        <w:rPr/>
        <w:t xml:space="preserve">calendar days after contract award or at the </w:t>
      </w:r>
      <w:r>
        <w:rPr/>
        <w:t xml:space="preserve">pre-work meeting</w:t>
      </w:r>
      <w:r>
        <w:rPr/>
        <w:t xml:space="preserve">, whichever is earlier</w:t>
      </w:r>
      <w:r>
        <w:rPr/>
        <w:t xml:space="preserve">,</w:t>
      </w:r>
      <w:r>
        <w:rPr/>
        <w:t xml:space="preserve"> prepare and submit </w:t>
      </w:r>
      <w:r>
        <w:rPr/>
        <w:t xml:space="preserve">to the Engineer </w:t>
      </w:r>
      <w:r>
        <w:rPr/>
        <w:t xml:space="preserve">a schedule of values. </w:t>
      </w:r>
      <w:r>
        <w:rPr/>
        <w:t xml:space="preserve">With the Engineer’s approval, t</w:t>
      </w:r>
      <w:r>
        <w:rPr/>
        <w:t xml:space="preserve">he schedule of values will be the basis for determining monthly payments.</w:t>
      </w:r>
    </w:p>
    <w:p>
      <w:pPr>
        <w:pStyle w:val="BodyText"/>
        <w:spacing/>
        <w:rPr/>
      </w:pPr>
    </w:p>
    <w:p>
      <w:pPr>
        <w:pStyle w:val="BodyText"/>
        <w:spacing/>
        <w:rPr/>
      </w:pPr>
    </w:p>
    <w:p>
      <w:pPr>
        <w:pStyle w:val="LeadInSentence"/>
        <w:spacing/>
        <w:rPr/>
      </w:pPr>
      <w:r>
        <w:rPr/>
        <w:t xml:space="preserve">SUBARTICLES 9-2.1.1</w:t>
      </w:r>
      <w:r>
        <w:rPr/>
        <w:t xml:space="preserve"> </w:t>
      </w:r>
      <w:r>
        <w:rPr/>
        <w:t xml:space="preserve">and 9</w:t>
      </w:r>
      <w:r>
        <w:rPr/>
        <w:t xml:space="preserve">-</w:t>
      </w:r>
      <w:r>
        <w:rPr/>
        <w:t xml:space="preserve">2.1.2</w:t>
      </w:r>
      <w:r>
        <w:rPr/>
        <w:t xml:space="preserve"> are deleted.</w:t>
      </w:r>
    </w:p>
    <w:p>
      <w:pPr>
        <w:pStyle w:val="BodyText"/>
        <w:spacing/>
        <w:rPr/>
      </w:pPr>
    </w:p>
    <w:p>
      <w:pPr>
        <w:pStyle w:val="BodyText"/>
        <w:spacing/>
        <w:rPr/>
      </w:pPr>
    </w:p>
    <w:p>
      <w:pPr>
        <w:pStyle w:val="LeadInSentence"/>
        <w:spacing/>
        <w:rPr/>
      </w:pPr>
      <w:r>
        <w:rPr/>
        <w:t xml:space="preserve">SUBARTICLE 9-3.2 is deleted.</w:t>
      </w:r>
    </w:p>
    <w:p>
      <w:pPr>
        <w:pStyle w:val="BodyText"/>
        <w:spacing/>
        <w:rPr/>
      </w:pPr>
    </w:p>
    <w:p>
      <w:pPr>
        <w:pStyle w:val="BodyText"/>
        <w:spacing/>
        <w:rPr/>
      </w:pPr>
    </w:p>
    <w:p>
      <w:pPr>
        <w:pStyle w:val="LeadInSentence"/>
        <w:spacing/>
        <w:rPr/>
      </w:pPr>
      <w:r>
        <w:rPr/>
        <w:t xml:space="preserve">SUBARTICLE 9-3.3.1is deleted and the following substituted: </w:t>
      </w:r>
    </w:p>
    <w:p>
      <w:pPr>
        <w:pStyle w:val="BodyText"/>
        <w:spacing/>
        <w:rPr/>
      </w:pPr>
      <w:r>
        <w:rPr>
          <w:b/>
          <w:bCs/>
        </w:rPr>
        <w:tab/>
        <w:t xml:space="preserve"/>
      </w:r>
      <w:r>
        <w:rPr>
          <w:b/>
          <w:bCs/>
        </w:rPr>
        <w:tab/>
        <w:t xml:space="preserve"/>
      </w:r>
      <w:r>
        <w:rPr>
          <w:b/>
          <w:bCs/>
        </w:rPr>
        <w:tab/>
        <w:t xml:space="preserve"/>
      </w:r>
      <w:r>
        <w:rPr>
          <w:b/>
          <w:bCs/>
        </w:rPr>
        <w:t xml:space="preserve">9-3.3.1 Error in Lump Sum Quantity: </w:t>
      </w:r>
      <w:r>
        <w:rPr/>
        <w:t xml:space="preserve">Where the Department designates the pay quantity for an item to be a lump sum and the plans show an estimated quantity, the Department will adjust the lump sum compensation only in the event that either the Contractor submits satisfactory evidence or the Department determines and furnishes satisfactory evidence that the lump sum quantity shown is in substantial error. </w:t>
      </w:r>
      <w:r>
        <w:rPr/>
        <w:t xml:space="preserve">The term “substantial error” is defined as the smaller of (a) or (b) below:</w:t>
      </w:r>
    </w:p>
    <w:p>
      <w:pPr>
        <w:pStyle w:val="BodyText"/>
        <w:spacing/>
        <w:rPr/>
      </w:pPr>
      <w:r>
        <w:rPr/>
        <w:tab/>
        <w:t xml:space="preserve"/>
      </w:r>
      <w:r>
        <w:rPr/>
        <w:tab/>
        <w:t xml:space="preserve"/>
      </w:r>
      <w:r>
        <w:rPr/>
        <w:tab/>
        <w:t xml:space="preserve"/>
      </w:r>
      <w:r>
        <w:rPr/>
        <w:tab/>
        <w:t xml:space="preserve"/>
      </w:r>
      <w:r>
        <w:rPr/>
        <w:t xml:space="preserve">(a) a difference between the original plan quantity and final quantity of</w:t>
      </w:r>
      <w:r>
        <w:rPr/>
        <w:t xml:space="preserve"> </w:t>
      </w:r>
      <w:r>
        <w:rPr/>
        <w:t xml:space="preserve">more than 5%,</w:t>
      </w:r>
    </w:p>
    <w:p>
      <w:pPr>
        <w:pStyle w:val="BodyText"/>
        <w:spacing/>
        <w:rPr/>
      </w:pPr>
      <w:r>
        <w:rPr/>
        <w:tab/>
        <w:t xml:space="preserve"/>
      </w:r>
      <w:r>
        <w:rPr/>
        <w:tab/>
        <w:t xml:space="preserve"/>
      </w:r>
      <w:r>
        <w:rPr/>
        <w:tab/>
        <w:t xml:space="preserve"/>
      </w:r>
      <w:r>
        <w:rPr/>
        <w:tab/>
        <w:t xml:space="preserve"/>
      </w:r>
      <w:r>
        <w:rPr/>
        <w:t xml:space="preserve">(b) a change in quantity which causes a change in the amount payable of</w:t>
      </w:r>
      <w:r>
        <w:rPr/>
        <w:t xml:space="preserve"> </w:t>
      </w:r>
      <w:r>
        <w:rPr/>
        <w:t xml:space="preserve">more than $5,000.</w:t>
      </w:r>
    </w:p>
    <w:p>
      <w:pPr>
        <w:pStyle w:val="BodyText"/>
        <w:spacing/>
        <w:rPr/>
      </w:pPr>
    </w:p>
    <w:p>
      <w:pPr>
        <w:pStyle w:val="BodyText"/>
        <w:spacing/>
        <w:rPr/>
      </w:pPr>
    </w:p>
    <w:p>
      <w:pPr>
        <w:pStyle w:val="LeadInSentence"/>
        <w:spacing/>
        <w:rPr/>
      </w:pPr>
      <w:r>
        <w:rPr/>
        <w:t xml:space="preserve">SUBARTICLE 9-5.1 </w:t>
      </w:r>
      <w:r>
        <w:rPr/>
        <w:t xml:space="preserve">is </w:t>
      </w:r>
      <w:r>
        <w:rPr/>
        <w:t xml:space="preserve">deleted and the</w:t>
      </w:r>
      <w:r>
        <w:rPr/>
        <w:t xml:space="preserve"> </w:t>
      </w:r>
      <w:r>
        <w:rPr/>
        <w:t xml:space="preserve">following substituted:</w:t>
      </w:r>
    </w:p>
    <w:p>
      <w:pPr>
        <w:pStyle w:val="BodyText"/>
        <w:spacing/>
        <w:rPr/>
      </w:pPr>
      <w:r>
        <w:rPr/>
        <w:tab/>
        <w:t xml:space="preserve"/>
      </w:r>
      <w:r>
        <w:rPr>
          <w:b/>
          <w:bCs/>
        </w:rPr>
        <w:t xml:space="preserve">9-5.1 General:</w:t>
      </w:r>
      <w:r>
        <w:rPr/>
        <w:t xml:space="preserve"> </w:t>
      </w:r>
      <w:r>
        <w:rPr/>
        <w:t xml:space="preserve">If the </w:t>
      </w:r>
      <w:r>
        <w:rPr/>
        <w:t xml:space="preserve">Contract Time</w:t>
      </w:r>
      <w:r>
        <w:rPr/>
        <w:t xml:space="preserve"> extends over a period in excess of 45 calendar days, the Contractor may claim partial payment for work completed and accepted by the Department by submitting an invoice. The actual reimbursement to the contractor will be based on</w:t>
      </w:r>
      <w:r>
        <w:rPr/>
        <w:t xml:space="preserve">:</w:t>
      </w:r>
    </w:p>
    <w:p>
      <w:pPr>
        <w:pStyle w:val="BodyText"/>
        <w:spacing/>
        <w:rPr/>
      </w:pPr>
      <w:r>
        <w:rPr/>
        <w:tab/>
        <w:t xml:space="preserve"/>
      </w:r>
      <w:r>
        <w:rPr/>
        <w:tab/>
        <w:t xml:space="preserve"/>
      </w:r>
      <w:r>
        <w:rPr/>
        <w:t xml:space="preserve">1. </w:t>
      </w:r>
      <w:r>
        <w:rPr/>
        <w:t xml:space="preserve">the </w:t>
      </w:r>
      <w:r>
        <w:rPr/>
        <w:t xml:space="preserve">items shown in the schedule of values completed for the Lump Sum contract;</w:t>
      </w:r>
      <w:r>
        <w:rPr/>
        <w:t xml:space="preserve"> </w:t>
      </w:r>
      <w:r>
        <w:rPr/>
        <w:t xml:space="preserve">or</w:t>
      </w:r>
    </w:p>
    <w:p>
      <w:pPr>
        <w:pStyle w:val="BodyText"/>
        <w:spacing/>
        <w:rPr/>
      </w:pPr>
      <w:r>
        <w:rPr/>
        <w:tab/>
        <w:t xml:space="preserve"/>
      </w:r>
      <w:r>
        <w:rPr/>
        <w:tab/>
        <w:t xml:space="preserve"/>
      </w:r>
      <w:r>
        <w:rPr/>
        <w:t xml:space="preserve">2. the pay items and the unit prices contained in the </w:t>
      </w:r>
      <w:r>
        <w:rPr/>
        <w:t xml:space="preserve">C</w:t>
      </w:r>
      <w:r>
        <w:rPr/>
        <w:t xml:space="preserve">ontract </w:t>
      </w:r>
      <w:r>
        <w:rPr/>
        <w:t xml:space="preserve">D</w:t>
      </w:r>
      <w:r>
        <w:rPr/>
        <w:t xml:space="preserve">ocument</w:t>
      </w:r>
      <w:r>
        <w:rPr/>
        <w:t xml:space="preserve"> </w:t>
      </w:r>
      <w:r>
        <w:rPr/>
        <w:t xml:space="preserve">completed, </w:t>
      </w:r>
      <w:r>
        <w:rPr/>
        <w:t xml:space="preserve">and</w:t>
      </w:r>
      <w:r>
        <w:rPr/>
        <w:t xml:space="preserve"> accepted by the Engineer in charge.</w:t>
      </w:r>
    </w:p>
    <w:p>
      <w:pPr>
        <w:pStyle w:val="BodyText"/>
        <w:spacing/>
        <w:rPr/>
      </w:pPr>
      <w:r>
        <w:rPr/>
        <w:tab/>
        <w:t xml:space="preserve"/>
      </w:r>
      <w:r>
        <w:rPr/>
        <w:tab/>
        <w:t xml:space="preserve"/>
      </w:r>
      <w:r>
        <w:rPr/>
        <w:t xml:space="preserve">Contract amount is defined as the original </w:t>
      </w:r>
      <w:r>
        <w:rPr/>
        <w:t xml:space="preserve">c</w:t>
      </w:r>
      <w:r>
        <w:rPr/>
        <w:t xml:space="preserve">ontract amount adjusted by approved supplemental agreements.</w:t>
      </w:r>
    </w:p>
    <w:p>
      <w:pPr>
        <w:pStyle w:val="BodyText"/>
        <w:spacing/>
        <w:rPr/>
      </w:pPr>
      <w:r>
        <w:rPr/>
        <w:tab/>
        <w:t xml:space="preserve"/>
      </w:r>
      <w:r>
        <w:rPr/>
        <w:tab/>
        <w:t xml:space="preserve"/>
      </w:r>
      <w:r>
        <w:rPr/>
        <w:t xml:space="preserve">Retainage will be determined for each project on multiple project Contracts. The Department will not accept Securities, Certificates of Deposit or letters of credit as a replacement for retainage. Amounts withheld will not be released until payment of the final estimate.</w:t>
      </w:r>
    </w:p>
    <w:p>
      <w:pPr>
        <w:pStyle w:val="BodyText"/>
        <w:spacing/>
        <w:rPr/>
      </w:pPr>
      <w:r>
        <w:rPr/>
        <w:tab/>
        <w:t xml:space="preserve"/>
      </w:r>
      <w:r>
        <w:rPr/>
        <w:tab/>
        <w:t xml:space="preserve"/>
      </w:r>
      <w:r>
        <w:rPr/>
        <w:t xml:space="preserve">An amount may be retained from a Contractor’s payment until final acceptance of materials or work at the end of a burn-in or establishment period. The amount retained will be determined in accordance with the following schedule:</w:t>
      </w:r>
    </w:p>
    <w:p>
      <w:pPr>
        <w:pStyle w:val="BodyText"/>
        <w:spacing/>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20" w:firstRow="1" w:lastRow="0" w:firstColumn="0" w:lastColumn="0" w:noHBand="0" w:noVBand="0"/>
      </w:tblPr>
      <w:tblGrid>
        <w:gridCol w:w="4680"/>
        <w:gridCol w:w="4680"/>
      </w:tblGrid>
      <w:tr>
        <w:trPr>
          <w:jc w:val="center"/>
        </w:trPr>
        <w:tc>
          <w:tcPr>
            <w:tcW w:type="pct" w:w="2500"/>
            <w:tcBorders/>
            <w:vAlign w:val="center"/>
          </w:tcPr>
          <w:p>
            <w:pPr>
              <w:pStyle w:val="Footer"/>
              <w:widowControl w:val="true"/>
              <w:tabs>
                <w:tab w:val="clear" w:pos="4320"/>
                <w:tab w:val="clear" w:pos="8640"/>
                <w:tab w:val="left" w:pos="720"/>
              </w:tabs>
              <w:autoSpaceDE w:val="true"/>
              <w:autoSpaceDN w:val="true"/>
              <w:adjustRightInd w:val="true"/>
              <w:spacing/>
              <w:jc w:val="center"/>
              <w:rPr/>
            </w:pPr>
          </w:p>
          <w:p>
            <w:pPr>
              <w:pStyle w:val="Footer"/>
              <w:widowControl w:val="true"/>
              <w:tabs>
                <w:tab w:val="clear" w:pos="4320"/>
                <w:tab w:val="clear" w:pos="8640"/>
                <w:tab w:val="left" w:pos="720"/>
              </w:tabs>
              <w:autoSpaceDE w:val="true"/>
              <w:autoSpaceDN w:val="true"/>
              <w:adjustRightInd w:val="true"/>
              <w:spacing/>
              <w:jc w:val="center"/>
              <w:rPr/>
            </w:pPr>
            <w:r>
              <w:rPr/>
              <w:t xml:space="preserve">Percentage Contract Amount Completed</w:t>
            </w:r>
          </w:p>
          <w:p>
            <w:pPr>
              <w:pStyle w:val="Footer"/>
              <w:widowControl w:val="true"/>
              <w:tabs>
                <w:tab w:val="clear" w:pos="4320"/>
                <w:tab w:val="clear" w:pos="8640"/>
                <w:tab w:val="left" w:pos="720"/>
              </w:tabs>
              <w:autoSpaceDE w:val="true"/>
              <w:autoSpaceDN w:val="true"/>
              <w:adjustRightInd w:val="true"/>
              <w:spacing/>
              <w:jc w:val="center"/>
              <w:rPr/>
            </w:pPr>
          </w:p>
        </w:tc>
        <w:tc>
          <w:tcPr>
            <w:tcW w:type="pct" w:w="2500"/>
            <w:tcBorders/>
            <w:vAlign w:val="center"/>
          </w:tcPr>
          <w:p>
            <w:pPr>
              <w:pStyle w:val="Footer"/>
              <w:widowControl w:val="true"/>
              <w:tabs>
                <w:tab w:val="clear" w:pos="4320"/>
                <w:tab w:val="clear" w:pos="8640"/>
                <w:tab w:val="left" w:pos="720"/>
              </w:tabs>
              <w:autoSpaceDE w:val="true"/>
              <w:autoSpaceDN w:val="true"/>
              <w:adjustRightInd w:val="true"/>
              <w:spacing/>
              <w:jc w:val="center"/>
              <w:rPr/>
            </w:pPr>
          </w:p>
          <w:p>
            <w:pPr>
              <w:pStyle w:val="Footer"/>
              <w:widowControl w:val="true"/>
              <w:tabs>
                <w:tab w:val="clear" w:pos="4320"/>
                <w:tab w:val="clear" w:pos="8640"/>
                <w:tab w:val="left" w:pos="720"/>
              </w:tabs>
              <w:autoSpaceDE w:val="true"/>
              <w:autoSpaceDN w:val="true"/>
              <w:adjustRightInd w:val="true"/>
              <w:spacing/>
              <w:jc w:val="center"/>
              <w:rPr/>
            </w:pPr>
            <w:r>
              <w:rPr/>
              <w:t xml:space="preserve">Amount Retained</w:t>
            </w:r>
          </w:p>
          <w:p>
            <w:pPr>
              <w:pStyle w:val="Footer"/>
              <w:widowControl w:val="true"/>
              <w:tabs>
                <w:tab w:val="clear" w:pos="4320"/>
                <w:tab w:val="clear" w:pos="8640"/>
                <w:tab w:val="left" w:pos="720"/>
              </w:tabs>
              <w:autoSpaceDE w:val="true"/>
              <w:autoSpaceDN w:val="true"/>
              <w:adjustRightInd w:val="true"/>
              <w:spacing/>
              <w:jc w:val="center"/>
              <w:rPr/>
            </w:pPr>
          </w:p>
        </w:tc>
      </w:tr>
      <w:tr>
        <w:trPr>
          <w:jc w:val="center"/>
        </w:trPr>
        <w:tc>
          <w:tcPr>
            <w:tcW w:type="pct" w:w="2500"/>
            <w:tcBorders/>
            <w:vAlign w:val="center"/>
          </w:tcPr>
          <w:p>
            <w:pPr>
              <w:pStyle w:val="BodyText"/>
              <w:spacing/>
              <w:jc w:val="center"/>
              <w:rPr/>
            </w:pPr>
            <w:r>
              <w:rPr/>
              <w:t xml:space="preserve">0 to 75</w:t>
            </w:r>
          </w:p>
        </w:tc>
        <w:tc>
          <w:tcPr>
            <w:tcW w:type="pct" w:w="2500"/>
            <w:tcBorders/>
            <w:vAlign w:val="center"/>
          </w:tcPr>
          <w:p>
            <w:pPr>
              <w:pStyle w:val="BodyText"/>
              <w:spacing/>
              <w:jc w:val="center"/>
              <w:rPr/>
            </w:pPr>
            <w:r>
              <w:rPr/>
              <w:t xml:space="preserve">None</w:t>
            </w:r>
          </w:p>
        </w:tc>
      </w:tr>
      <w:tr>
        <w:trPr>
          <w:jc w:val="center"/>
        </w:trPr>
        <w:tc>
          <w:tcPr>
            <w:tcW w:type="pct" w:w="2500"/>
            <w:tcBorders/>
            <w:vAlign w:val="center"/>
          </w:tcPr>
          <w:p>
            <w:pPr>
              <w:pStyle w:val="BodyText"/>
              <w:spacing/>
              <w:jc w:val="center"/>
              <w:rPr/>
            </w:pPr>
            <w:r>
              <w:rPr/>
              <w:t xml:space="preserve">75 to 100</w:t>
            </w:r>
          </w:p>
        </w:tc>
        <w:tc>
          <w:tcPr>
            <w:tcW w:type="pct" w:w="2500"/>
            <w:tcBorders/>
            <w:vAlign w:val="center"/>
          </w:tcPr>
          <w:p>
            <w:pPr>
              <w:pStyle w:val="BodyText"/>
              <w:spacing/>
              <w:jc w:val="center"/>
              <w:rPr/>
            </w:pPr>
            <w:r>
              <w:rPr/>
              <w:t xml:space="preserve">10 % of value of work completed exceeding 75% of Contract Amount.</w:t>
            </w:r>
          </w:p>
        </w:tc>
      </w:tr>
    </w:tbl>
    <w:p>
      <w:pPr>
        <w:pStyle w:val="BodyText"/>
        <w:spacing/>
        <w:rPr/>
      </w:pPr>
    </w:p>
    <w:p>
      <w:pPr>
        <w:pStyle w:val="BodyText"/>
        <w:spacing/>
        <w:rPr/>
      </w:pPr>
      <w:r>
        <w:rPr/>
        <w:tab/>
        <w:t xml:space="preserve"/>
      </w:r>
      <w:r>
        <w:rPr/>
        <w:tab/>
        <w:t xml:space="preserve"/>
      </w:r>
      <w:r>
        <w:rPr/>
        <w:t xml:space="preserve">The Engineer will make payments based upon invoices submitted by the Contractor in accordance with 9-2.1.</w:t>
      </w:r>
    </w:p>
    <w:p>
      <w:pPr>
        <w:pStyle w:val="BodyText"/>
        <w:spacing/>
        <w:rPr/>
      </w:pPr>
    </w:p>
    <w:p>
      <w:pPr>
        <w:pStyle w:val="BodyText"/>
        <w:spacing/>
        <w:rPr/>
      </w:pPr>
    </w:p>
    <w:p>
      <w:pPr>
        <w:pStyle w:val="LeadInSentence"/>
        <w:spacing/>
        <w:rPr/>
      </w:pPr>
      <w:r>
        <w:rPr/>
        <w:t xml:space="preserve">ARTICLE</w:t>
      </w:r>
      <w:r>
        <w:rPr/>
        <w:t xml:space="preserve"> 9-8 is deleted and the following substituted:</w:t>
      </w:r>
    </w:p>
    <w:p>
      <w:pPr>
        <w:pStyle w:val="Article"/>
        <w:spacing/>
        <w:rPr/>
      </w:pPr>
      <w:r>
        <w:rPr/>
        <w:t xml:space="preserve">9-8 Acceptance and Final Payment.</w:t>
      </w:r>
    </w:p>
    <w:p>
      <w:pPr>
        <w:pStyle w:val="BodyText"/>
        <w:spacing/>
        <w:rPr/>
      </w:pPr>
      <w:r>
        <w:rPr/>
        <w:tab/>
        <w:t xml:space="preserve"/>
      </w:r>
      <w:r>
        <w:rPr/>
        <w:t xml:space="preserve">Submit a </w:t>
      </w:r>
      <w:r>
        <w:rPr/>
        <w:t xml:space="preserve">completed Contractor’s Affidavit and Surety Consent (Form 21-A) (Department Form Number </w:t>
      </w:r>
      <w:r>
        <w:rPr/>
        <w:t xml:space="preserve">700-050-21</w:t>
      </w:r>
      <w:r>
        <w:rPr/>
        <w:t xml:space="preserve">)</w:t>
      </w:r>
      <w:r>
        <w:rPr/>
        <w:t xml:space="preserve"> </w:t>
      </w:r>
      <w:r>
        <w:rPr/>
        <w:t xml:space="preserve">to the Department </w:t>
      </w:r>
      <w:r>
        <w:rPr/>
        <w:t xml:space="preserve">within 90 days of submittal of </w:t>
      </w:r>
      <w:r>
        <w:rPr/>
        <w:t xml:space="preserve">the</w:t>
      </w:r>
      <w:r>
        <w:rPr/>
        <w:t xml:space="preserve"> final invoice</w:t>
      </w:r>
      <w:r>
        <w:rPr/>
        <w:t xml:space="preserve">. Failure to submit this form </w:t>
      </w:r>
      <w:r>
        <w:rPr/>
        <w:t xml:space="preserve">may </w:t>
      </w:r>
      <w:r>
        <w:rPr/>
        <w:t xml:space="preserve">result in a determination of Contractor Non-Responsibility </w:t>
      </w:r>
      <w:r>
        <w:rPr/>
        <w:t xml:space="preserve"> </w:t>
      </w:r>
      <w:r>
        <w:rPr/>
        <w:t xml:space="preserve"> </w:t>
      </w:r>
      <w:r>
        <w:rPr/>
        <w:t xml:space="preserve">under the provisions of </w:t>
      </w:r>
      <w:r>
        <w:rPr/>
        <w:t xml:space="preserve">14-22.0141, </w:t>
      </w:r>
      <w:r>
        <w:rPr/>
        <w:t xml:space="preserve">F</w:t>
      </w:r>
      <w:r>
        <w:rPr/>
        <w:t xml:space="preserve">.</w:t>
      </w:r>
      <w:r>
        <w:rPr/>
        <w:t xml:space="preserve">A</w:t>
      </w:r>
      <w:r>
        <w:rPr/>
        <w:t xml:space="preserve">.</w:t>
      </w:r>
      <w:r>
        <w:rPr/>
        <w:t xml:space="preserve">C</w:t>
      </w:r>
      <w:r>
        <w:rPr/>
        <w:t xml:space="preserve">., and the Contractor will be prohibited from bidding, subcontracting, or acting as a material supplier on any Department contracts</w:t>
      </w:r>
      <w:r>
        <w:rPr/>
        <w:t xml:space="preserve">. </w:t>
      </w:r>
    </w:p>
    <w:p>
      <w:pPr>
        <w:spacing/>
        <w:rPr/>
      </w:pPr>
    </w:p>
    <w:p>
      <w:pPr>
        <w:spacing/>
        <w:rPr/>
      </w:pPr>
    </w:p>
    <w:p>
      <w:pPr>
        <w:pStyle w:val="LeadInSentence"/>
        <w:spacing/>
        <w:rPr/>
      </w:pPr>
      <w:r>
        <w:rPr/>
        <w:t xml:space="preserve">ARTICLE 9-9 is expanded by the following:</w:t>
      </w:r>
    </w:p>
    <w:p>
      <w:pPr>
        <w:pStyle w:val="BodyText"/>
        <w:spacing/>
        <w:rPr/>
      </w:pPr>
      <w:r>
        <w:rPr/>
        <w:tab/>
        <w:t xml:space="preserve"/>
      </w:r>
      <w:r>
        <w:rPr/>
        <w:t xml:space="preserve">Section 215.422(5), Florida Statutes, requires the Department to include a statement of vendor (Contractor) rights. Contractors are hereby advised of the following:</w:t>
      </w:r>
    </w:p>
    <w:p>
      <w:pPr>
        <w:pStyle w:val="BodyText"/>
        <w:spacing/>
        <w:rPr/>
      </w:pPr>
      <w:r>
        <w:rPr/>
        <w:tab/>
        <w:t xml:space="preserve"/>
      </w:r>
      <w:r>
        <w:rPr/>
        <w:tab/>
        <w:t xml:space="preserve"/>
      </w:r>
      <w:r>
        <w:rPr/>
        <w:t xml:space="preserve">Contractors providing goods and services to an agency should be aware of the following time frames: Upon receipt, an agency has five working days to inspect and approve the goods and services, unless the bid specifications, purchase order or Contract specifies otherwise. An agency has 20 days to deliver a request for payment (voucher) to the Department of Financial Services. The 20 days are measured from the latter of the date the invoice is received or the goods or services are received, inspected and approved, by the Department of Transportation.</w:t>
      </w:r>
    </w:p>
    <w:p>
      <w:pPr>
        <w:pStyle w:val="BodyText"/>
        <w:spacing/>
        <w:rPr/>
      </w:pPr>
      <w:r>
        <w:rPr/>
        <w:tab/>
        <w:t xml:space="preserve"/>
      </w:r>
      <w:r>
        <w:rPr/>
        <w:tab/>
        <w:t xml:space="preserve"/>
      </w:r>
      <w:r>
        <w:rPr/>
        <w:t xml:space="preserve">If a payment is not made within 40 days, a separate interest penalty at the rate established pursuant to Section 55.03(1), Florida Statutes will be due and payable in addition to the invoice amount, to the Contractor. The interest penalty provision applies after a 35</w:t>
      </w:r>
      <w:r>
        <w:rPr/>
        <w:t xml:space="preserve">-</w:t>
      </w:r>
      <w:r>
        <w:rPr/>
        <w:t xml:space="preserve">day time period to health care providers, as defined by rule. Interest penalties of less than one dollar will not be enforced unless the Contractor requests payment. Invoices which </w:t>
      </w:r>
      <w:r>
        <w:rPr/>
        <w:t xml:space="preserve">have to</w:t>
      </w:r>
      <w:r>
        <w:rPr/>
        <w:t xml:space="preserve"> be returned to a Contractor because of Contractor preparation errors will result in a delay in the payment. The </w:t>
      </w:r>
      <w:r>
        <w:rPr/>
        <w:t xml:space="preserve">invoice payment requirements do not start until a properly completed invoice is provided to the Department.</w:t>
      </w:r>
    </w:p>
    <w:p>
      <w:pPr>
        <w:pStyle w:val="BodyText"/>
        <w:spacing/>
        <w:rPr/>
      </w:pPr>
      <w:r>
        <w:rPr/>
        <w:tab/>
        <w:t xml:space="preserve"/>
      </w:r>
      <w:r>
        <w:rPr/>
        <w:tab/>
        <w:t xml:space="preserve"/>
      </w:r>
      <w:r>
        <w:rPr/>
        <w:t xml:space="preserve">A Vendor Ombudsman has been established within the Department of Financial Services. The duties of this individual include acting as an advocate for Contractors who may be experiencing problems in obtaining timely payment(s) from a state agency. The Vendor Ombudsman may be contacted by calling the Bureau of Accounting at</w:t>
      </w:r>
      <w:r>
        <w:rPr/>
        <w:t xml:space="preserve"> </w:t>
      </w:r>
      <w:r>
        <w:rPr/>
        <w:t xml:space="preserve">(850) 413-5516</w:t>
      </w:r>
      <w:r>
        <w:rPr/>
        <w:t xml:space="preserve">.</w:t>
      </w:r>
    </w:p>
    <w:p>
      <w:pPr>
        <w:pStyle w:val="BodyText"/>
        <w:spacing/>
        <w:rPr/>
      </w:pPr>
    </w:p>
    <w:p>
      <w:pPr>
        <w:spacing/>
        <w:rPr/>
      </w:pPr>
    </w:p>
    <w:sectPr>
      <w:footerReference w:type="default" r:id="rId1"/>
      <w:endnotePr>
        <w:numFmt w:val="decimal"/>
      </w:endnotePr>
      <w:type w:val="continuous"/>
      <w:pgSz w:w="12240" w:h="15840"/>
      <w:pgMar w:top="1296" w:right="1440" w:bottom="72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spacing/>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 xml:space="preserve">3</w:t>
    </w:r>
    <w:r>
      <w:rPr>
        <w:rStyle w:val="PageNumbe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2">
    <w:nsid w:val="035C1231"/>
    <w:lvl w:ilvl="0">
      <w:start w:val="1"/>
      <w:numFmt w:val="upperRoman"/>
      <w:suff w:val="tab"/>
      <w:lvlText w:val="%1."/>
      <w:pPr>
        <w:tabs>
          <w:tab w:val="num" w:pos="1080"/>
        </w:tabs>
        <w:spacing/>
        <w:ind w:left="720" w:hanging="360"/>
      </w:pPr>
      <w:rPr>
        <w:rFonts w:hint="default"/>
      </w:rPr>
    </w:lvl>
    <w:lvl w:ilvl="1">
      <w:start w:val="1"/>
      <w:numFmt w:val="decimal"/>
      <w:suff w:val="tab"/>
      <w:lvlText w:val="%1.%2."/>
      <w:pPr>
        <w:tabs>
          <w:tab w:val="num" w:pos="1152"/>
        </w:tabs>
        <w:spacing/>
        <w:ind w:left="1152" w:hanging="432"/>
      </w:pPr>
      <w:rPr>
        <w:rFonts w:hint="default"/>
      </w:rPr>
    </w:lvl>
    <w:lvl w:ilvl="2">
      <w:start w:val="1"/>
      <w:numFmt w:val="upperLetter"/>
      <w:suff w:val="tab"/>
      <w:lvlText w:val="%1.%2.%3."/>
      <w:pPr>
        <w:tabs>
          <w:tab w:val="num" w:pos="1800"/>
        </w:tabs>
        <w:spacing/>
        <w:ind w:left="1584" w:hanging="504"/>
      </w:pPr>
      <w:rPr>
        <w:rFonts w:hint="default"/>
      </w:rPr>
    </w:lvl>
    <w:lvl w:ilvl="3">
      <w:start w:val="1"/>
      <w:numFmt w:val="lowerRoman"/>
      <w:suff w:val="tab"/>
      <w:lvlText w:val="%1.%2.%3.%4."/>
      <w:pPr>
        <w:tabs>
          <w:tab w:val="num" w:pos="2520"/>
        </w:tabs>
        <w:spacing/>
        <w:ind w:left="2088" w:hanging="648"/>
      </w:pPr>
      <w:rPr>
        <w:rFonts w:hint="default"/>
      </w:rPr>
    </w:lvl>
    <w:lvl w:ilvl="4">
      <w:start w:val="1"/>
      <w:numFmt w:val="decimal"/>
      <w:suff w:val="tab"/>
      <w:lvlText w:val="%1.%2.%3.%4.%5."/>
      <w:pPr>
        <w:tabs>
          <w:tab w:val="num" w:pos="2880"/>
        </w:tabs>
        <w:spacing/>
        <w:ind w:left="2592" w:hanging="792"/>
      </w:pPr>
      <w:rPr>
        <w:rFonts w:hint="default"/>
      </w:rPr>
    </w:lvl>
    <w:lvl w:ilvl="5">
      <w:start w:val="1"/>
      <w:numFmt w:val="decimal"/>
      <w:suff w:val="tab"/>
      <w:lvlText w:val="%1.%2.%3.%4.%5.%6."/>
      <w:pPr>
        <w:tabs>
          <w:tab w:val="num" w:pos="3240"/>
        </w:tabs>
        <w:spacing/>
        <w:ind w:left="3096" w:hanging="936"/>
      </w:pPr>
      <w:rPr>
        <w:rFonts w:hint="default"/>
      </w:rPr>
    </w:lvl>
    <w:lvl w:ilvl="6">
      <w:start w:val="1"/>
      <w:numFmt w:val="decimal"/>
      <w:suff w:val="tab"/>
      <w:lvlText w:val="%1.%2.%3.%4.%5.%6.%7."/>
      <w:pPr>
        <w:tabs>
          <w:tab w:val="num" w:pos="3960"/>
        </w:tabs>
        <w:spacing/>
        <w:ind w:left="3600" w:hanging="1080"/>
      </w:pPr>
      <w:rPr>
        <w:rFonts w:hint="default"/>
      </w:rPr>
    </w:lvl>
    <w:lvl w:ilvl="7">
      <w:start w:val="1"/>
      <w:numFmt w:val="decimal"/>
      <w:suff w:val="tab"/>
      <w:lvlText w:val="%1.%2.%3.%4.%5.%6.%7.%8."/>
      <w:pPr>
        <w:tabs>
          <w:tab w:val="num" w:pos="4320"/>
        </w:tabs>
        <w:spacing/>
        <w:ind w:left="4104" w:hanging="1224"/>
      </w:pPr>
      <w:rPr>
        <w:rFonts w:hint="default"/>
      </w:rPr>
    </w:lvl>
    <w:lvl w:ilvl="8">
      <w:start w:val="1"/>
      <w:numFmt w:val="decimal"/>
      <w:suff w:val="tab"/>
      <w:lvlText w:val="%1.%2.%3.%4.%5.%6.%7.%8.%9."/>
      <w:pPr>
        <w:tabs>
          <w:tab w:val="num" w:pos="5040"/>
        </w:tabs>
        <w:spacing/>
        <w:ind w:left="4680" w:hanging="1440"/>
      </w:pPr>
      <w:rPr>
        <w:rFonts w:hint="default"/>
      </w:rPr>
    </w:lvl>
  </w:abstractNum>
  <w:abstractNum w:abstractNumId="3">
    <w:nsid w:val="06C155D2"/>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abstractNum w:abstractNumId="4">
    <w:nsid w:val="107C0FBF"/>
    <w:lvl w:ilvl="0">
      <w:start w:val="1"/>
      <w:numFmt w:val="lowerLetter"/>
      <w:suff w:val="tab"/>
      <w:lvlText w:val="(%1)"/>
      <w:pPr>
        <w:tabs>
          <w:tab w:val="num" w:pos="1095"/>
        </w:tabs>
        <w:spacing/>
        <w:ind w:left="1095" w:hanging="375"/>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5">
    <w:nsid w:val="1C0A7009"/>
    <w:lvl w:ilvl="0">
      <w:start w:val="1"/>
      <w:numFmt w:val="decimal"/>
      <w:suff w:val="tab"/>
      <w:lvlText w:val="%1."/>
      <w:pPr>
        <w:tabs>
          <w:tab w:val="num" w:pos="3600"/>
        </w:tabs>
        <w:spacing/>
        <w:ind w:left="3600" w:hanging="720"/>
      </w:pPr>
      <w:rPr/>
    </w:lvl>
    <w:lvl w:ilvl="1">
      <w:start w:val="1"/>
      <w:numFmt w:val="decimal"/>
      <w:suff w:val="tab"/>
      <w:lvlText w:val="%2."/>
      <w:pPr>
        <w:tabs>
          <w:tab w:val="num" w:pos="3600"/>
        </w:tabs>
        <w:spacing/>
        <w:ind w:left="3600" w:hanging="360"/>
      </w:pPr>
      <w:rPr/>
    </w:lvl>
    <w:lvl w:ilvl="2">
      <w:start w:val="1"/>
      <w:numFmt w:val="decimal"/>
      <w:suff w:val="tab"/>
      <w:lvlText w:val="%3."/>
      <w:pPr>
        <w:tabs>
          <w:tab w:val="num" w:pos="4320"/>
        </w:tabs>
        <w:spacing/>
        <w:ind w:left="4320" w:hanging="360"/>
      </w:pPr>
      <w:rPr/>
    </w:lvl>
    <w:lvl w:ilvl="3">
      <w:start w:val="1"/>
      <w:numFmt w:val="decimal"/>
      <w:suff w:val="tab"/>
      <w:lvlText w:val="%4."/>
      <w:pPr>
        <w:tabs>
          <w:tab w:val="num" w:pos="5040"/>
        </w:tabs>
        <w:spacing/>
        <w:ind w:left="5040" w:hanging="360"/>
      </w:pPr>
      <w:rPr/>
    </w:lvl>
    <w:lvl w:ilvl="4">
      <w:start w:val="1"/>
      <w:numFmt w:val="decimal"/>
      <w:suff w:val="tab"/>
      <w:lvlText w:val="%5."/>
      <w:pPr>
        <w:tabs>
          <w:tab w:val="num" w:pos="5760"/>
        </w:tabs>
        <w:spacing/>
        <w:ind w:left="5760" w:hanging="360"/>
      </w:pPr>
      <w:rPr/>
    </w:lvl>
    <w:lvl w:ilvl="5">
      <w:start w:val="1"/>
      <w:numFmt w:val="decimal"/>
      <w:suff w:val="tab"/>
      <w:lvlText w:val="%6."/>
      <w:pPr>
        <w:tabs>
          <w:tab w:val="num" w:pos="6480"/>
        </w:tabs>
        <w:spacing/>
        <w:ind w:left="6480" w:hanging="360"/>
      </w:pPr>
      <w:rPr/>
    </w:lvl>
    <w:lvl w:ilvl="6">
      <w:start w:val="1"/>
      <w:numFmt w:val="decimal"/>
      <w:suff w:val="tab"/>
      <w:lvlText w:val="%7."/>
      <w:pPr>
        <w:tabs>
          <w:tab w:val="num" w:pos="7200"/>
        </w:tabs>
        <w:spacing/>
        <w:ind w:left="7200" w:hanging="360"/>
      </w:pPr>
      <w:rPr/>
    </w:lvl>
    <w:lvl w:ilvl="7">
      <w:start w:val="1"/>
      <w:numFmt w:val="decimal"/>
      <w:suff w:val="tab"/>
      <w:lvlText w:val="%8."/>
      <w:pPr>
        <w:tabs>
          <w:tab w:val="num" w:pos="7920"/>
        </w:tabs>
        <w:spacing/>
        <w:ind w:left="7920" w:hanging="360"/>
      </w:pPr>
      <w:rPr/>
    </w:lvl>
    <w:lvl w:ilvl="8">
      <w:start w:val="1"/>
      <w:numFmt w:val="decimal"/>
      <w:suff w:val="tab"/>
      <w:lvlText w:val="%9."/>
      <w:pPr>
        <w:tabs>
          <w:tab w:val="num" w:pos="8640"/>
        </w:tabs>
        <w:spacing/>
        <w:ind w:left="8640" w:hanging="360"/>
      </w:pPr>
      <w:rPr/>
    </w:lvl>
  </w:abstractNum>
  <w:abstractNum w:abstractNumId="6">
    <w:nsid w:val="1ECA5E77"/>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1.%2.%3"/>
      <w:pPr>
        <w:spacing/>
        <w:ind w:left="0" w:firstLine="1440"/>
      </w:pPr>
      <w:rPr>
        <w:rFonts w:ascii="Times New Roman" w:hAnsi="Times New Roman" w:eastAsia="Times New Roman" w:cs="Times New Roman" w:hint="default"/>
        <w:b/>
        <w:i w:val="0"/>
        <w:sz w:val="22"/>
      </w:rPr>
    </w:lvl>
    <w:lvl w:ilvl="3">
      <w:start w:val="5"/>
      <w:numFmt w:val="decimal"/>
      <w:suff w:val="space"/>
      <w:lvlText w:val="120-%1.%2.%3.%4"/>
      <w:pPr>
        <w:spacing/>
        <w:ind w:left="0" w:firstLine="2160"/>
      </w:pPr>
      <w:rPr>
        <w:rFonts w:hint="default"/>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7">
    <w:nsid w:val="1F611262"/>
    <w:lvl w:ilvl="0">
      <w:start w:val="1"/>
      <w:numFmt w:val="none"/>
      <w:suff w:val="space"/>
      <w:lvlText w:val="120-1"/>
      <w:pPr>
        <w:spacing/>
        <w:ind w:left="0" w:firstLine="0"/>
      </w:pPr>
      <w:rPr>
        <w:rFonts w:ascii="Times New Roman" w:hAnsi="Times New Roman" w:eastAsia="Times New Roman" w:cs="Times New Roman" w:hint="default"/>
        <w:b/>
        <w:i w:val="0"/>
        <w:sz w:val="24"/>
      </w:rPr>
    </w:lvl>
    <w:lvl w:ilvl="1">
      <w:start w:val="1"/>
      <w:numFmt w:val="decimal"/>
      <w:lvlRestart w:val="0"/>
      <w:suff w:val="space"/>
      <w:lvlText w:val="120-1.%2"/>
      <w:pPr>
        <w:spacing/>
        <w:ind w:left="0" w:firstLine="720"/>
      </w:pPr>
      <w:rPr>
        <w:rFonts w:ascii="Times New Roman" w:hAnsi="Times New Roman" w:eastAsia="Times New Roman" w:cs="Times New Roman" w:hint="default"/>
        <w:b/>
        <w:i w:val="0"/>
        <w:sz w:val="22"/>
      </w:rPr>
    </w:lvl>
    <w:lvl w:ilvl="2">
      <w:start w:val="1"/>
      <w:numFmt w:val="decimal"/>
      <w:lvlRestart w:val="0"/>
      <w:suff w:val="space"/>
      <w:lvlText w:val="120-%11.%2.%3"/>
      <w:pPr>
        <w:spacing/>
        <w:ind w:left="0" w:firstLine="1440"/>
      </w:pPr>
      <w:rPr>
        <w:rFonts w:ascii="Times New Roman" w:hAnsi="Times New Roman" w:eastAsia="Times New Roman" w:cs="Times New Roman" w:hint="default"/>
        <w:b/>
        <w:i w:val="0"/>
        <w:sz w:val="22"/>
      </w:rPr>
    </w:lvl>
    <w:lvl w:ilvl="3">
      <w:start w:val="5"/>
      <w:numFmt w:val="decimal"/>
      <w:lvlRestart w:val="0"/>
      <w:suff w:val="space"/>
      <w:lvlText w:val="120-%1.%2.%3.%4"/>
      <w:pPr>
        <w:spacing/>
        <w:ind w:left="0" w:firstLine="2160"/>
      </w:pPr>
      <w:rPr>
        <w:rFonts w:hint="default"/>
      </w:rPr>
    </w:lvl>
    <w:lvl w:ilvl="4">
      <w:start w:val="1"/>
      <w:numFmt w:val="decimal"/>
      <w:lvlRestart w:val="0"/>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lvlRestart w:val="0"/>
      <w:suff w:val="space"/>
      <w:lvlText w:val="120-%1.%2.%3.%4.%5.%6.%7"/>
      <w:pPr>
        <w:spacing/>
        <w:ind w:left="0" w:firstLine="4320"/>
      </w:pPr>
      <w:rPr>
        <w:rFonts w:hint="default"/>
      </w:rPr>
    </w:lvl>
    <w:lvl w:ilvl="7">
      <w:start w:val="1"/>
      <w:numFmt w:val="decimal"/>
      <w:lvlRestart w:val="0"/>
      <w:suff w:val="space"/>
      <w:lvlText w:val="120-%1.%2.%3.%4.%5.%6.%7.%8"/>
      <w:pPr>
        <w:spacing/>
        <w:ind w:left="0" w:firstLine="5040"/>
      </w:pPr>
      <w:rPr>
        <w:rFonts w:hint="default"/>
      </w:rPr>
    </w:lvl>
    <w:lvl w:ilvl="8">
      <w:start w:val="1"/>
      <w:numFmt w:val="decimal"/>
      <w:lvlRestart w:val="0"/>
      <w:suff w:val="space"/>
      <w:lvlText w:val="120-%1.%2.%3.%4.%5.%6.%7.%8.%9"/>
      <w:pPr>
        <w:spacing/>
        <w:ind w:left="0" w:firstLine="5760"/>
      </w:pPr>
      <w:rPr>
        <w:rFonts w:hint="default"/>
      </w:rPr>
    </w:lvl>
  </w:abstractNum>
  <w:abstractNum w:abstractNumId="8">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9">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0">
    <w:nsid w:val="2DFC5803"/>
    <w:lvl w:ilvl="0">
      <w:start w:val="1"/>
      <w:numFmt w:val="decimal"/>
      <w:suff w:val="tab"/>
      <w:lvlText w:val="%1."/>
      <w:pPr>
        <w:tabs>
          <w:tab w:val="num" w:pos="2880"/>
        </w:tabs>
        <w:spacing/>
        <w:ind w:left="2880" w:hanging="360"/>
      </w:pPr>
      <w:rPr/>
    </w:lvl>
    <w:lvl w:ilvl="1">
      <w:start w:val="1"/>
      <w:numFmt w:val="lowerLetter"/>
      <w:suff w:val="tab"/>
      <w:lvlText w:val="%2."/>
      <w:pPr>
        <w:tabs>
          <w:tab w:val="num" w:pos="3600"/>
        </w:tabs>
        <w:spacing/>
        <w:ind w:left="3600" w:hanging="360"/>
      </w:pPr>
      <w:rPr/>
    </w:lvl>
    <w:lvl w:ilvl="2">
      <w:start w:val="1"/>
      <w:numFmt w:val="lowerRoman"/>
      <w:suff w:val="tab"/>
      <w:lvlText w:val="%3."/>
      <w:lvlJc w:val="right"/>
      <w:pPr>
        <w:tabs>
          <w:tab w:val="num" w:pos="4320"/>
        </w:tabs>
        <w:spacing/>
        <w:ind w:left="4320" w:hanging="180"/>
      </w:pPr>
      <w:rPr/>
    </w:lvl>
    <w:lvl w:ilvl="3">
      <w:start w:val="1"/>
      <w:numFmt w:val="decimal"/>
      <w:suff w:val="tab"/>
      <w:lvlText w:val="%4."/>
      <w:pPr>
        <w:tabs>
          <w:tab w:val="num" w:pos="5040"/>
        </w:tabs>
        <w:spacing/>
        <w:ind w:left="5040" w:hanging="360"/>
      </w:pPr>
      <w:rPr/>
    </w:lvl>
    <w:lvl w:ilvl="4">
      <w:start w:val="1"/>
      <w:numFmt w:val="lowerLetter"/>
      <w:suff w:val="tab"/>
      <w:lvlText w:val="%5."/>
      <w:pPr>
        <w:tabs>
          <w:tab w:val="num" w:pos="5760"/>
        </w:tabs>
        <w:spacing/>
        <w:ind w:left="5760" w:hanging="360"/>
      </w:pPr>
      <w:rPr/>
    </w:lvl>
    <w:lvl w:ilvl="5">
      <w:start w:val="1"/>
      <w:numFmt w:val="lowerRoman"/>
      <w:suff w:val="tab"/>
      <w:lvlText w:val="%6."/>
      <w:lvlJc w:val="right"/>
      <w:pPr>
        <w:tabs>
          <w:tab w:val="num" w:pos="6480"/>
        </w:tabs>
        <w:spacing/>
        <w:ind w:left="6480" w:hanging="180"/>
      </w:pPr>
      <w:rPr/>
    </w:lvl>
    <w:lvl w:ilvl="6">
      <w:start w:val="1"/>
      <w:numFmt w:val="decimal"/>
      <w:suff w:val="tab"/>
      <w:lvlText w:val="%7."/>
      <w:pPr>
        <w:tabs>
          <w:tab w:val="num" w:pos="7200"/>
        </w:tabs>
        <w:spacing/>
        <w:ind w:left="7200" w:hanging="360"/>
      </w:pPr>
      <w:rPr/>
    </w:lvl>
    <w:lvl w:ilvl="7">
      <w:start w:val="1"/>
      <w:numFmt w:val="lowerLetter"/>
      <w:suff w:val="tab"/>
      <w:lvlText w:val="%8."/>
      <w:pPr>
        <w:tabs>
          <w:tab w:val="num" w:pos="7920"/>
        </w:tabs>
        <w:spacing/>
        <w:ind w:left="7920" w:hanging="360"/>
      </w:pPr>
      <w:rPr/>
    </w:lvl>
    <w:lvl w:ilvl="8">
      <w:start w:val="1"/>
      <w:numFmt w:val="lowerRoman"/>
      <w:suff w:val="tab"/>
      <w:lvlText w:val="%9."/>
      <w:lvlJc w:val="right"/>
      <w:pPr>
        <w:tabs>
          <w:tab w:val="num" w:pos="8640"/>
        </w:tabs>
        <w:spacing/>
        <w:ind w:left="8640" w:hanging="180"/>
      </w:pPr>
      <w:rPr/>
    </w:lvl>
  </w:abstractNum>
  <w:abstractNum w:abstractNumId="1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12">
    <w:nsid w:val="38B42033"/>
    <w:lvl w:ilvl="0">
      <w:start w:val="1"/>
      <w:numFmt w:val="decimal"/>
      <w:suff w:val="space"/>
      <w:lvlText w:val="125-%1"/>
      <w:pPr>
        <w:spacing/>
        <w:ind w:left="720" w:firstLine="0"/>
      </w:pPr>
      <w:rPr>
        <w:rFonts w:ascii="Times New Roman" w:hAnsi="Times New Roman" w:eastAsia="Times New Roman" w:cs="Times New Roman" w:hint="default"/>
        <w:b/>
        <w:i w:val="0"/>
        <w:sz w:val="24"/>
      </w:rPr>
    </w:lvl>
    <w:lvl w:ilvl="1">
      <w:start w:val="1"/>
      <w:numFmt w:val="decimal"/>
      <w:suff w:val="space"/>
      <w:lvlText w:val="125-%1.%2"/>
      <w:pPr>
        <w:spacing/>
        <w:ind w:left="720" w:firstLine="720"/>
      </w:pPr>
      <w:rPr>
        <w:rFonts w:ascii="Times New Roman" w:hAnsi="Times New Roman" w:eastAsia="Times New Roman" w:cs="Times New Roman" w:hint="default"/>
        <w:b/>
        <w:i w:val="0"/>
        <w:sz w:val="22"/>
      </w:rPr>
    </w:lvl>
    <w:lvl w:ilvl="2">
      <w:start w:val="1"/>
      <w:numFmt w:val="decimal"/>
      <w:suff w:val="space"/>
      <w:lvlText w:val="125-%1.%2.%3"/>
      <w:pPr>
        <w:spacing/>
        <w:ind w:left="720" w:firstLine="1440"/>
      </w:pPr>
      <w:rPr>
        <w:rFonts w:ascii="Times New Roman" w:hAnsi="Times New Roman" w:eastAsia="Times New Roman" w:cs="Times New Roman" w:hint="default"/>
        <w:b/>
        <w:i w:val="0"/>
        <w:sz w:val="22"/>
      </w:rPr>
    </w:lvl>
    <w:lvl w:ilvl="3">
      <w:start w:val="1"/>
      <w:numFmt w:val="decimal"/>
      <w:suff w:val="space"/>
      <w:lvlText w:val="125-%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3">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4">
    <w:nsid w:val="3B2F3343"/>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2.%3"/>
      <w:pPr>
        <w:spacing/>
        <w:ind w:left="0" w:firstLine="1440"/>
      </w:pPr>
      <w:rPr>
        <w:rFonts w:ascii="Times New Roman" w:hAnsi="Times New Roman" w:eastAsia="Times New Roman" w:cs="Times New Roman" w:hint="default"/>
        <w:b/>
        <w:i w:val="0"/>
        <w:sz w:val="22"/>
      </w:rPr>
    </w:lvl>
    <w:lvl w:ilvl="3">
      <w:start w:val="1"/>
      <w:numFmt w:val="decimal"/>
      <w:suff w:val="space"/>
      <w:lvlText w:val="12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15">
    <w:nsid w:val="41481682"/>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32767" w:firstLine="32767"/>
      </w:pPr>
      <w:rPr>
        <w:rFonts w:ascii="Times New Roman" w:hAnsi="Times New Roman" w:eastAsia="Times New Roman" w:cs="Times New Roman" w:hint="default"/>
        <w:b/>
        <w:i w:val="0"/>
        <w:sz w:val="22"/>
      </w:rPr>
    </w:lvl>
    <w:lvl w:ilvl="3">
      <w:start w:val="1"/>
      <w:numFmt w:val="decimal"/>
      <w:suff w:val="space"/>
      <w:lvlText w:val="12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6">
    <w:nsid w:val="449552D3"/>
    <w:lvl w:ilvl="0">
      <w:start w:val="1"/>
      <w:numFmt w:val="decimal"/>
      <w:suff w:val="space"/>
      <w:lvlText w:val="125-%1"/>
      <w:pPr>
        <w:spacing/>
        <w:ind w:left="-720" w:firstLine="0"/>
      </w:pPr>
      <w:rPr>
        <w:rFonts w:ascii="Times New Roman" w:hAnsi="Times New Roman" w:eastAsia="Times New Roman" w:cs="Times New Roman" w:hint="default"/>
        <w:b/>
        <w:i w:val="0"/>
        <w:sz w:val="24"/>
      </w:rPr>
    </w:lvl>
    <w:lvl w:ilvl="1">
      <w:start w:val="1"/>
      <w:numFmt w:val="decimal"/>
      <w:suff w:val="space"/>
      <w:lvlText w:val="125-%1.%2"/>
      <w:pPr>
        <w:spacing/>
        <w:ind w:left="-720" w:firstLine="0"/>
      </w:pPr>
      <w:rPr>
        <w:rFonts w:ascii="Times New Roman" w:hAnsi="Times New Roman" w:eastAsia="Times New Roman" w:cs="Times New Roman" w:hint="default"/>
        <w:b/>
        <w:i w:val="0"/>
        <w:sz w:val="22"/>
      </w:rPr>
    </w:lvl>
    <w:lvl w:ilvl="2">
      <w:start w:val="1"/>
      <w:numFmt w:val="decimal"/>
      <w:lvlRestart w:val="0"/>
      <w:suff w:val="space"/>
      <w:lvlText w:val="125-%1.%2.%3"/>
      <w:pPr>
        <w:spacing/>
        <w:ind w:left="0" w:firstLine="1440"/>
      </w:pPr>
      <w:rPr>
        <w:rFonts w:ascii="Times New Roman" w:hAnsi="Times New Roman" w:eastAsia="Times New Roman" w:cs="Times New Roman" w:hint="default"/>
        <w:b/>
        <w:i w:val="0"/>
        <w:sz w:val="22"/>
      </w:rPr>
    </w:lvl>
    <w:lvl w:ilvl="3">
      <w:start w:val="1"/>
      <w:numFmt w:val="decimal"/>
      <w:suff w:val="space"/>
      <w:lvlText w:val="125-%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17">
    <w:nsid w:val="460606F8"/>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6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8">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9">
    <w:nsid w:val="47C16964"/>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20-%1.%2.%3.%4"/>
      <w:pPr>
        <w:spacing/>
        <w:ind w:left="0" w:hanging="32767"/>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20">
    <w:nsid w:val="4F2C1212"/>
    <w:lvl w:ilvl="0">
      <w:start w:val="4"/>
      <w:numFmt w:val="upperLetter"/>
      <w:suff w:val="tab"/>
      <w:lvlText w:val="%1."/>
      <w:pPr>
        <w:tabs>
          <w:tab w:val="num" w:pos="720"/>
        </w:tabs>
        <w:spacing/>
        <w:ind w:left="720" w:hanging="360"/>
      </w:pPr>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21">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22">
    <w:nsid w:val="5428556E"/>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3">
    <w:nsid w:val="5CCC5214"/>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6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24">
    <w:nsid w:val="5D6944FB"/>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2.%3"/>
      <w:pPr>
        <w:spacing/>
        <w:ind w:left="0" w:firstLine="1440"/>
      </w:pPr>
      <w:rPr>
        <w:rFonts w:ascii="Times New Roman" w:hAnsi="Times New Roman" w:eastAsia="Times New Roman" w:cs="Times New Roman" w:hint="default"/>
        <w:b/>
        <w:i w:val="0"/>
        <w:sz w:val="22"/>
      </w:rPr>
    </w:lvl>
    <w:lvl w:ilvl="3">
      <w:start w:val="1"/>
      <w:numFmt w:val="decimal"/>
      <w:suff w:val="space"/>
      <w:lvlText w:val="12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25">
    <w:nsid w:val="65537F46"/>
    <w:lvl w:ilvl="0">
      <w:start w:val="1"/>
      <w:numFmt w:val="decimal"/>
      <w:suff w:val="space"/>
      <w:lvlText w:val="125-%1"/>
      <w:pPr>
        <w:spacing/>
        <w:ind w:left="0" w:firstLine="0"/>
      </w:pPr>
      <w:rPr>
        <w:rFonts w:ascii="Times New Roman" w:hAnsi="Times New Roman" w:eastAsia="Times New Roman" w:cs="Times New Roman" w:hint="default"/>
        <w:b/>
        <w:i w:val="0"/>
        <w:sz w:val="24"/>
      </w:rPr>
    </w:lvl>
    <w:lvl w:ilvl="1">
      <w:start w:val="1"/>
      <w:numFmt w:val="decimal"/>
      <w:suff w:val="space"/>
      <w:lvlText w:val="125-%1.%2"/>
      <w:pPr>
        <w:spacing/>
        <w:ind w:left="0" w:firstLine="720"/>
      </w:pPr>
      <w:rPr>
        <w:rFonts w:ascii="Times New Roman" w:hAnsi="Times New Roman" w:eastAsia="Times New Roman" w:cs="Times New Roman" w:hint="default"/>
        <w:b/>
        <w:i w:val="0"/>
        <w:sz w:val="22"/>
      </w:rPr>
    </w:lvl>
    <w:lvl w:ilvl="2">
      <w:start w:val="1"/>
      <w:numFmt w:val="decimal"/>
      <w:suff w:val="space"/>
      <w:lvlText w:val="125-%1.%2.%3"/>
      <w:pPr>
        <w:spacing/>
        <w:ind w:left="0" w:firstLine="1440"/>
      </w:pPr>
      <w:rPr>
        <w:rFonts w:ascii="Times New Roman" w:hAnsi="Times New Roman" w:eastAsia="Times New Roman" w:cs="Times New Roman" w:hint="default"/>
        <w:b/>
        <w:i w:val="0"/>
        <w:sz w:val="22"/>
      </w:rPr>
    </w:lvl>
    <w:lvl w:ilvl="3">
      <w:start w:val="1"/>
      <w:numFmt w:val="decimal"/>
      <w:suff w:val="space"/>
      <w:lvlText w:val="125-%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26">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7">
    <w:nsid w:val="6D4C5551"/>
    <w:lvl w:ilvl="0">
      <w:start w:val="330"/>
      <w:numFmt w:val="bullet"/>
      <w:suff w:val="tab"/>
      <w:lvlText w:val=""/>
      <w:pPr>
        <w:tabs>
          <w:tab w:val="num" w:pos="720"/>
        </w:tabs>
        <w:spacing/>
        <w:ind w:left="720" w:hanging="360"/>
      </w:pPr>
      <w:rPr>
        <w:rFonts w:ascii="Symbol" w:hAnsi="Symbol" w:eastAsia="Times New Roman" w:cs="Times New Roman"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8">
    <w:nsid w:val="6EB744A0"/>
    <w:lvl w:ilvl="0">
      <w:start w:val="1"/>
      <w:numFmt w:val="lowerLetter"/>
      <w:suff w:val="tab"/>
      <w:lvlText w:val="%1."/>
      <w:pPr>
        <w:tabs>
          <w:tab w:val="num" w:pos="1725"/>
        </w:tabs>
        <w:spacing/>
        <w:ind w:left="1725" w:hanging="1005"/>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29">
    <w:nsid w:val="6FF15081"/>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720" w:firstLine="0"/>
      </w:pPr>
      <w:rPr>
        <w:rFonts w:ascii="Times New Roman" w:hAnsi="Times New Roman" w:eastAsia="Times New Roman" w:cs="Times New Roman" w:hint="default"/>
        <w:b/>
        <w:i w:val="0"/>
        <w:sz w:val="22"/>
      </w:rPr>
    </w:lvl>
    <w:lvl w:ilvl="3">
      <w:start w:val="1"/>
      <w:numFmt w:val="decimal"/>
      <w:suff w:val="space"/>
      <w:lvlText w:val="12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30">
    <w:nsid w:val="7326466D"/>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abstractNum w:abstractNumId="31">
    <w:nsid w:val="77BB1A4D"/>
    <w:lvl w:ilvl="0">
      <w:start w:val="1"/>
      <w:numFmt w:val="decimal"/>
      <w:suff w:val="space"/>
      <w:lvlText w:val="160-%1"/>
      <w:pPr>
        <w:spacing/>
        <w:ind w:left="0" w:firstLine="0"/>
      </w:pPr>
      <w:rPr>
        <w:rFonts w:ascii="Times New Roman" w:hAnsi="Times New Roman" w:eastAsia="Times New Roman" w:cs="Times New Roman" w:hint="default"/>
        <w:b/>
        <w:i w:val="0"/>
        <w:sz w:val="24"/>
      </w:rPr>
    </w:lvl>
    <w:lvl w:ilvl="1">
      <w:start w:val="1"/>
      <w:numFmt w:val="decimal"/>
      <w:suff w:val="space"/>
      <w:lvlText w:val="160-%1.%2"/>
      <w:pPr>
        <w:spacing/>
        <w:ind w:left="0" w:firstLine="720"/>
      </w:pPr>
      <w:rPr>
        <w:rFonts w:ascii="Times New Roman" w:hAnsi="Times New Roman" w:eastAsia="Times New Roman" w:cs="Times New Roman" w:hint="default"/>
        <w:b/>
        <w:i w:val="0"/>
        <w:sz w:val="22"/>
      </w:rPr>
    </w:lvl>
    <w:lvl w:ilvl="2">
      <w:start w:val="1"/>
      <w:numFmt w:val="decimal"/>
      <w:suff w:val="space"/>
      <w:lvlText w:val="160-%1.%2.%3"/>
      <w:pPr>
        <w:spacing/>
        <w:ind w:left="0" w:firstLine="1440"/>
      </w:pPr>
      <w:rPr>
        <w:rFonts w:ascii="Times New Roman" w:hAnsi="Times New Roman" w:eastAsia="Times New Roman" w:cs="Times New Roman" w:hint="default"/>
        <w:b/>
        <w:i w:val="0"/>
        <w:sz w:val="22"/>
      </w:rPr>
    </w:lvl>
    <w:lvl w:ilvl="3">
      <w:start w:val="1"/>
      <w:numFmt w:val="decimal"/>
      <w:suff w:val="space"/>
      <w:lvlText w:val="16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32">
    <w:nsid w:val="79591DC6"/>
    <w:lvl w:ilvl="0">
      <w:start w:val="1"/>
      <w:numFmt w:val="decimal"/>
      <w:suff w:val="space"/>
      <w:lvlText w:val="200-%1"/>
      <w:pPr>
        <w:spacing/>
        <w:ind w:left="0" w:firstLine="0"/>
      </w:pPr>
      <w:rPr>
        <w:rFonts w:ascii="Times New Roman" w:hAnsi="Times New Roman" w:eastAsia="Times New Roman" w:cs="Times New Roman" w:hint="default"/>
        <w:b/>
        <w:i w:val="0"/>
        <w:sz w:val="24"/>
      </w:rPr>
    </w:lvl>
    <w:lvl w:ilvl="1">
      <w:start w:val="1"/>
      <w:numFmt w:val="decimal"/>
      <w:suff w:val="space"/>
      <w:lvlText w:val="200-%1.%2"/>
      <w:pPr>
        <w:spacing/>
        <w:ind w:left="0" w:firstLine="0"/>
      </w:pPr>
      <w:rPr>
        <w:rFonts w:ascii="Times New Roman" w:hAnsi="Times New Roman" w:eastAsia="Times New Roman" w:cs="Times New Roman" w:hint="default"/>
        <w:b/>
        <w:i w:val="0"/>
        <w:sz w:val="22"/>
      </w:rPr>
    </w:lvl>
    <w:lvl w:ilvl="2">
      <w:start w:val="1"/>
      <w:numFmt w:val="decimal"/>
      <w:suff w:val="space"/>
      <w:lvlText w:val="200-%1.%2.%3"/>
      <w:pPr>
        <w:spacing/>
        <w:ind w:left="0" w:firstLine="0"/>
      </w:pPr>
      <w:rPr>
        <w:rFonts w:ascii="Times New Roman" w:hAnsi="Times New Roman" w:eastAsia="Times New Roman" w:cs="Times New Roman" w:hint="default"/>
        <w:b/>
        <w:i w:val="0"/>
        <w:sz w:val="22"/>
      </w:rPr>
    </w:lvl>
    <w:lvl w:ilvl="3">
      <w:start w:val="1"/>
      <w:numFmt w:val="decimal"/>
      <w:suff w:val="space"/>
      <w:lvlText w:val="200-%1.%2.%3.%4"/>
      <w:pPr>
        <w:spacing/>
        <w:ind w:left="1440" w:firstLine="2160"/>
      </w:pPr>
      <w:rPr>
        <w:rFonts w:ascii="Times New Roman" w:hAnsi="Times New Roman" w:eastAsia="Times New Roman" w:cs="Times New Roman" w:hint="default"/>
        <w:b/>
        <w:i w:val="0"/>
        <w:sz w:val="22"/>
      </w:rPr>
    </w:lvl>
    <w:lvl w:ilvl="4">
      <w:start w:val="1"/>
      <w:numFmt w:val="decimal"/>
      <w:suff w:val="space"/>
      <w:lvlText w:val="120-%1.%2.%3.%4.%5"/>
      <w:pPr>
        <w:spacing/>
        <w:ind w:left="1440" w:firstLine="2880"/>
      </w:pPr>
      <w:rPr>
        <w:rFonts w:hint="default"/>
      </w:rPr>
    </w:lvl>
    <w:lvl w:ilvl="5">
      <w:start w:val="1"/>
      <w:numFmt w:val="decimal"/>
      <w:lvlRestart w:val="0"/>
      <w:suff w:val="space"/>
      <w:lvlText w:val="120-%1.%5.%2.%3.%4.%6"/>
      <w:pPr>
        <w:spacing/>
        <w:ind w:left="1440" w:firstLine="3600"/>
      </w:pPr>
      <w:rPr>
        <w:rFonts w:hint="default"/>
      </w:rPr>
    </w:lvl>
    <w:lvl w:ilvl="6">
      <w:start w:val="1"/>
      <w:numFmt w:val="decimal"/>
      <w:suff w:val="space"/>
      <w:lvlText w:val="120-%1.%2.%3.%4.%5.%6.%7"/>
      <w:pPr>
        <w:spacing/>
        <w:ind w:left="1440" w:firstLine="4320"/>
      </w:pPr>
      <w:rPr>
        <w:rFonts w:hint="default"/>
      </w:rPr>
    </w:lvl>
    <w:lvl w:ilvl="7">
      <w:start w:val="1"/>
      <w:numFmt w:val="decimal"/>
      <w:suff w:val="space"/>
      <w:lvlText w:val="120-%1.%2.%3.%4.%5.%6.%7.%8"/>
      <w:pPr>
        <w:spacing/>
        <w:ind w:left="1440" w:firstLine="5040"/>
      </w:pPr>
      <w:rPr>
        <w:rFonts w:hint="default"/>
      </w:rPr>
    </w:lvl>
    <w:lvl w:ilvl="8">
      <w:start w:val="1"/>
      <w:numFmt w:val="decimal"/>
      <w:suff w:val="space"/>
      <w:lvlText w:val="120-%1.%2.%3.%4.%5.%6.%7.%8.%9"/>
      <w:pPr>
        <w:spacing/>
        <w:ind w:left="1440" w:firstLine="5760"/>
      </w:pPr>
      <w:rPr>
        <w:rFonts w:hint="default"/>
      </w:rPr>
    </w:lvl>
  </w:abstractNum>
  <w:abstractNum w:abstractNumId="33">
    <w:nsid w:val="7A4E573C"/>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isplayBackgroundShape/>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12"/>
    </w:numPr>
    <w:pPr>
      <w:keepNext/>
      <w:numPr>
        <w:ilvl w:val="2"/>
        <w:numId w:val="1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Article" w:customStyle="1">
    <w:name w:val="Article"/>
    <w:next w:val="BodyText"/>
    <w:link w:val="ArticleChar"/>
    <w:pPr>
      <w:keepNext/>
      <w:tabs>
        <w:tab w:val="left" w:pos="720"/>
      </w:tabs>
      <w:spacing w:before="240"/>
    </w:pPr>
    <w:rPr>
      <w:b/>
      <w:sz w:val="24"/>
    </w:rPr>
  </w:style>
  <w:style w:type="character" w:styleId="FootnoteReference">
    <w:name w:val="Footnote Reference"/>
    <w:basedOn w:val="DefaultParagraphFont"/>
    <w:semiHidden/>
    <w:rPr/>
  </w:style>
  <w:style w:type="paragraph" w:styleId="TOC2">
    <w:name w:val="TOC 2"/>
    <w:basedOn w:val="Normal"/>
    <w:next w:val="Normal"/>
    <w:semiHidden/>
    <w:pPr>
      <w:spacing/>
      <w:ind w:left="1080" w:right="1080" w:hanging="720"/>
    </w:pPr>
    <w:rPr/>
  </w:style>
  <w:style w:type="paragraph" w:styleId="BodyText1" w:customStyle="1">
    <w:name w:val="Body Text1"/>
    <w:pPr>
      <w:tabs>
        <w:tab w:val="left" w:pos="720"/>
        <w:tab w:val="left" w:pos="1440"/>
      </w:tabs>
      <w:spacing/>
      <w:ind w:firstLine="720"/>
    </w:pPr>
    <w:rPr>
      <w:sz w:val="22"/>
    </w:rPr>
  </w:style>
  <w:style w:type="paragraph" w:styleId="SectionHeading" w:customStyle="1">
    <w:name w:val="Section Heading"/>
    <w:next w:val="Article"/>
    <w:pPr>
      <w:keepNext/>
      <w:spacing w:before="120"/>
      <w:jc w:val="center"/>
    </w:pPr>
    <w:rPr>
      <w:b/>
      <w:caps/>
      <w:sz w:val="24"/>
    </w:rPr>
  </w:style>
  <w:style w:type="paragraph" w:styleId="LeadInSentence" w:customStyle="1">
    <w:name w:val="Lead In Sentence"/>
    <w:next w:val="BodyText"/>
    <w:link w:val="LeadInSentenceChar"/>
    <w:pPr>
      <w:keepNext/>
      <w:spacing w:after="240"/>
      <w:ind w:firstLine="720"/>
    </w:pPr>
    <w:rPr>
      <w:sz w:val="24"/>
    </w:rPr>
  </w:style>
  <w:style w:type="paragraph" w:styleId="Header">
    <w:name w:val="Header"/>
    <w:basedOn w:val="Normal"/>
    <w:link w:val="HeaderChar"/>
    <w:pPr>
      <w:tabs>
        <w:tab w:val="center" w:pos="4320"/>
        <w:tab w:val="right" w:pos="8640"/>
      </w:tabs>
      <w:spacing/>
    </w:pPr>
    <w:rPr/>
  </w:style>
  <w:style w:type="paragraph" w:styleId="Footer">
    <w:name w:val="Footer"/>
    <w:basedOn w:val="Normal"/>
    <w:next w:val="Normal"/>
    <w:pPr>
      <w:tabs>
        <w:tab w:val="center" w:pos="4320"/>
        <w:tab w:val="right" w:pos="8640"/>
      </w:tabs>
      <w:spacing/>
    </w:pPr>
    <w:rPr>
      <w:sz w:val="22"/>
    </w:rPr>
  </w:style>
  <w:style w:type="character" w:styleId="PageNumber">
    <w:name w:val="Page Number"/>
    <w:basedOn w:val="DefaultParagraphFont"/>
    <w:rPr/>
  </w:style>
  <w:style w:type="paragraph" w:styleId="Article-SMSP" w:customStyle="1">
    <w:name w:val="Article-SMSP"/>
    <w:pPr>
      <w:spacing w:before="240"/>
      <w:ind w:left="720" w:hanging="720"/>
    </w:pPr>
    <w:rPr>
      <w:b/>
      <w:sz w:val="24"/>
    </w:rPr>
  </w:style>
  <w:style w:type="paragraph" w:styleId="BT-scope-L1" w:customStyle="1">
    <w:name w:val="BT-scope-L1"/>
    <w:pPr>
      <w:spacing w:after="120"/>
      <w:ind w:left="720"/>
    </w:pPr>
    <w:rPr>
      <w:sz w:val="22"/>
    </w:rPr>
  </w:style>
  <w:style w:type="paragraph" w:styleId="BT-scope-L2" w:customStyle="1">
    <w:name w:val="BT-scope-L2"/>
    <w:pPr>
      <w:tabs>
        <w:tab w:val="left" w:pos="1080"/>
      </w:tabs>
      <w:spacing w:after="120"/>
      <w:ind w:left="1123" w:hanging="403"/>
    </w:pPr>
    <w:rPr>
      <w:bCs/>
      <w:sz w:val="22"/>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Subarticle" w:customStyle="1">
    <w:name w:val="Subarticle"/>
    <w:link w:val="SubarticleChar"/>
    <w:pPr>
      <w:keepNext/>
      <w:spacing/>
      <w:ind w:firstLine="720"/>
    </w:pPr>
    <w:rPr>
      <w:b/>
      <w:sz w:val="24"/>
      <w:szCs w:val="24"/>
    </w:rPr>
  </w:style>
  <w:style w:type="paragraph" w:styleId="BodyText">
    <w:name w:val="Body Text"/>
    <w:next w:val="Normal"/>
    <w:link w:val="BodyTextChar"/>
    <w:pPr>
      <w:tabs>
        <w:tab w:val="left" w:pos="720"/>
      </w:tabs>
      <w:spacing/>
    </w:pPr>
    <w:rPr>
      <w:sz w:val="24"/>
    </w:rPr>
  </w:style>
  <w:style w:type="paragraph" w:styleId="Bodytext10"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BodyText11" w:customStyle="1">
    <w:name w:val="Body Text 1"/>
    <w:pPr>
      <w:spacing/>
      <w:ind w:firstLine="720"/>
    </w:pPr>
    <w:rPr>
      <w:sz w:val="22"/>
    </w:rPr>
  </w:style>
  <w:style w:type="paragraph" w:styleId="Section80" w:customStyle="1">
    <w:name w:val="Section8"/>
    <w:basedOn w:val="Normal"/>
    <w:numPr>
      <w:ilvl w:val="0"/>
      <w:numId w:val="19"/>
    </w:numPr>
    <w:pPr>
      <w:numPr>
        <w:ilvl w:val="0"/>
        <w:numId w:val="19"/>
      </w:numPr>
      <w:tabs>
        <w:tab w:val="left" w:pos="1440"/>
        <w:tab w:val="left" w:pos="1800"/>
      </w:tabs>
      <w:spacing/>
      <w:outlineLvl w:val="7"/>
    </w:pPr>
    <w:rPr>
      <w:b/>
    </w:rPr>
  </w:style>
  <w:style w:type="paragraph" w:styleId="Section102" w:customStyle="1">
    <w:name w:val="Section102"/>
    <w:basedOn w:val="Section80"/>
    <w:numPr>
      <w:ilvl w:val="0"/>
      <w:numId w:val="22"/>
    </w:numPr>
    <w:pPr>
      <w:numPr>
        <w:ilvl w:val="0"/>
        <w:numId w:val="22"/>
      </w:numPr>
      <w:tabs>
        <w:tab w:val="left" w:pos="720"/>
        <w:tab w:val="left" w:pos="2160"/>
      </w:tabs>
      <w:spacing/>
      <w:outlineLvl w:val="8"/>
    </w:pPr>
    <w:rPr/>
  </w:style>
  <w:style w:type="paragraph" w:styleId="TOC1">
    <w:name w:val="TOC 1"/>
    <w:basedOn w:val="Normal"/>
    <w:next w:val="Normal"/>
    <w:semiHidden/>
    <w:pPr>
      <w:spacing w:before="120" w:after="120"/>
    </w:pPr>
    <w:rPr>
      <w:b/>
    </w:rPr>
  </w:style>
  <w:style w:type="paragraph" w:styleId="Section8" w:customStyle="1">
    <w:name w:val="Section 8"/>
    <w:basedOn w:val="Heading8"/>
    <w:next w:val="Dates"/>
    <w:numPr>
      <w:ilvl w:val="0"/>
      <w:numId w:val="14"/>
    </w:numPr>
    <w:pPr>
      <w:keepLines/>
      <w:numPr>
        <w:ilvl w:val="0"/>
        <w:numId w:val="14"/>
      </w:numPr>
      <w:spacing w:before="0" w:after="0"/>
    </w:pPr>
    <w:rPr>
      <w:szCs w:val="24"/>
    </w:rPr>
  </w:style>
  <w:style w:type="paragraph" w:styleId="Section1020" w:customStyle="1">
    <w:name w:val="Section 102"/>
    <w:basedOn w:val="Heading9"/>
    <w:numPr>
      <w:ilvl w:val="0"/>
      <w:numId w:val="27"/>
    </w:numPr>
    <w:pPr>
      <w:widowControl w:val="false"/>
      <w:numPr>
        <w:ilvl w:val="0"/>
        <w:numId w:val="27"/>
      </w:numPr>
      <w:autoSpaceDE w:val="false"/>
      <w:autoSpaceDN w:val="false"/>
      <w:adjustRightInd w:val="false"/>
      <w:spacing w:before="0" w:after="0"/>
    </w:pPr>
    <w:rPr>
      <w:rFonts w:ascii="Times New Roman" w:hAnsi="Times New Roman" w:eastAsia="Times New Roman" w:cs="Times New Roman"/>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character" w:styleId="ArticleChar" w:customStyle="1">
    <w:name w:val="Article Char"/>
    <w:basedOn w:val="DefaultParagraphFont"/>
    <w:link w:val="Article"/>
    <w:rPr>
      <w:b/>
      <w:sz w:val="24"/>
    </w:rPr>
  </w:style>
  <w:style w:type="character" w:styleId="SubarticleChar" w:customStyle="1">
    <w:name w:val="Subarticle Char"/>
    <w:basedOn w:val="DefaultParagraphFont"/>
    <w:link w:val="Subarticle"/>
    <w:rPr>
      <w:b/>
      <w:sz w:val="24"/>
      <w:szCs w:val="24"/>
    </w:rPr>
  </w:style>
  <w:style w:type="character" w:styleId="HeaderChar" w:customStyle="1">
    <w:name w:val="Header Char"/>
    <w:basedOn w:val="DefaultParagraphFont"/>
    <w:link w:val="Header"/>
    <w:rPr>
      <w:sz w:val="24"/>
      <w:szCs w:val="24"/>
    </w:rPr>
  </w:style>
  <w:style w:type="character" w:styleId="LeadInSentenceChar" w:customStyle="1">
    <w:name w:val="Lead In Sentence Char"/>
    <w:basedOn w:val="DefaultParagraphFont"/>
    <w:link w:val="LeadInSentence"/>
    <w:rPr>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odyTextChar" w:customStyle="1">
    <w:name w:val="Body Text Char"/>
    <w:basedOn w:val="DefaultParagraphFont"/>
    <w:link w:val="BodyText"/>
    <w:rPr>
      <w:sz w:val="24"/>
    </w:rPr>
  </w:style>
  <w:style w:type="paragraph" w:styleId="Default" w:customStyle="1">
    <w:name w:val="Default"/>
    <w:pPr>
      <w:autoSpaceDE w:val="false"/>
      <w:autoSpaceDN w:val="false"/>
      <w:adjustRightInd w:val="false"/>
      <w:spacing/>
    </w:pPr>
    <w:rPr>
      <w:color w:val="000000"/>
      <w:sz w:val="24"/>
      <w:szCs w:val="24"/>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rPr/>
  </w:style>
  <w:style w:type="paragraph" w:styleId="CommentSubject" w:customStyle="1">
    <w:name w:val="annotation subject"/>
    <w:basedOn w:val="CommentText"/>
    <w:next w:val="annotationsubject"/>
    <w:link w:val="CommentSubjectChar"/>
    <w:pPr>
      <w:spacing/>
    </w:pPr>
    <w:rPr>
      <w:b/>
      <w:bCs/>
    </w:rPr>
  </w:style>
  <w:style w:type="character" w:styleId="CommentSubjectChar" w:customStyle="1">
    <w:name w:val="Comment Subject Char"/>
    <w:basedOn w:val="DefaultParagraphFont"/>
    <w:rPr>
      <w:b/>
      <w:bCs/>
    </w:rPr>
  </w:style>
  <w:style w:type="paragraph" w:styleId="Revision" w:customStyle="1">
    <w:name w:val="Revision"/>
    <w:semiHidden/>
    <w:pPr>
      <w:spacing/>
    </w:pPr>
    <w:rPr>
      <w:sz w:val="24"/>
      <w:szCs w:val="24"/>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1" Type="http://schemas.openxmlformats.org/officeDocument/2006/relationships/footer" Target="footer1.xml" /><Relationship Id="rId6" Type="http://schemas.openxmlformats.org/officeDocument/2006/relationships/fontTable" Target="fontTable.xml" /><Relationship Id="rId7"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Contracts/Specbook/103wkbk/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A92F6-923F-40B3-944F-201B883E4AC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1</TotalTime>
  <Pages>3</Pages>
  <Words>826</Words>
  <Characters>4711</Characters>
  <Application>Microsoft Office Word</Application>
  <DocSecurity>0</DocSecurity>
  <Lines>39</Lines>
  <Paragraphs>11</Paragraphs>
  <Company>Florida Department of Trasnportation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I Requirements (effective 01/03)</dc:title>
  <dc:subject>Maintenance Contracts (effective 01/03)</dc:subject>
  <dc:creator>State Maintenance Office</dc:creator>
  <cp:keywords/>
  <cp:lastModifiedBy>Rebecca</cp:lastModifiedBy>
  <cp:lastPrinted>2013-07-30T16:48:00Z</cp:lastPrinted>
  <cp:revision>3</cp:revision>
  <dcterms:created xsi:type="dcterms:W3CDTF">2020-02-26T15:13:00Z</dcterms:created>
  <dcterms:modified xsi:type="dcterms:W3CDTF">2020-03-31T21:07:00Z</dcterms:modified>
  <cp:category>Maintenance1 </cp:category>
</cp:coreProperties>
</file>