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PROSECUTION</w:t>
      </w:r>
      <w:r>
        <w:rPr/>
        <w:t xml:space="preserve"> AND PROGRESS</w:t>
      </w:r>
      <w:r>
        <w:rPr/>
        <w:t xml:space="preserve"> – CONTRACT TIME </w:t>
      </w:r>
      <w:r>
        <w:rPr/>
        <w:t xml:space="preserve">AND TERM </w:t>
      </w:r>
      <w:r>
        <w:rPr/>
        <w:t xml:space="preserve">EXTENSIONS</w:t>
      </w:r>
      <w:r>
        <w:rPr/>
        <w:t xml:space="preserve">.</w:t>
      </w:r>
    </w:p>
    <w:p>
      <w:pPr>
        <w:pStyle w:val="Dates"/>
        <w:spacing/>
        <w:rPr/>
      </w:pPr>
      <w:r>
        <w:rPr/>
        <w:t xml:space="preserve">(</w:t>
      </w:r>
      <w:r>
        <w:rPr/>
        <w:t xml:space="preserve">REV</w:t>
      </w:r>
      <w:r>
        <w:rPr/>
        <w:t xml:space="preserve"> </w:t>
      </w:r>
      <w:r>
        <w:rPr/>
        <w:t xml:space="preserve">8-25-17</w:t>
      </w:r>
      <w:r>
        <w:rPr/>
        <w:t xml:space="preserve">)</w:t>
      </w:r>
      <w:r>
        <w:rPr/>
        <w:t xml:space="preserve"> </w:t>
      </w:r>
      <w:r>
        <w:rPr/>
        <w:t xml:space="preserve">(1-21)</w:t>
      </w:r>
    </w:p>
    <w:p>
      <w:pPr>
        <w:pStyle w:val="LeadInSentence"/>
        <w:spacing/>
        <w:rPr/>
      </w:pPr>
      <w:r>
        <w:rPr/>
        <w:t xml:space="preserve">SUBARTICLE 8-7.3.2 is deleted</w:t>
      </w:r>
      <w:r>
        <w:rPr/>
        <w:t xml:space="preserve"> and the following substituted</w:t>
      </w:r>
      <w:r>
        <w:rPr/>
        <w:t xml:space="preserve">:</w:t>
      </w:r>
    </w:p>
    <w:p>
      <w:pPr>
        <w:pStyle w:val="BodyText"/>
        <w:spacing/>
        <w:rPr/>
      </w:pPr>
      <w:r>
        <w:rPr/>
        <w:tab/>
        <w:t xml:space="preserve"/>
      </w:r>
      <w:r>
        <w:rPr/>
        <w:tab/>
        <w:t xml:space="preserve"/>
      </w:r>
      <w:r>
        <w:rPr>
          <w:b/>
        </w:rPr>
        <w:t xml:space="preserve">8-7.3.2 Contract Time Extensions:</w:t>
      </w:r>
      <w:r>
        <w:rP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pPr>
        <w:pStyle w:val="BodyText"/>
        <w:spacing/>
        <w:rPr/>
      </w:pPr>
      <w:r>
        <w:rPr/>
        <w:tab/>
        <w:t xml:space="preserve"/>
      </w:r>
      <w:r>
        <w:rPr/>
        <w:tab/>
        <w:t xml:space="preserve"/>
      </w:r>
      <w:r>
        <w:rPr/>
        <w:t xml:space="preserve">Whenever the Engineer suspends the Contractor’s operations, as provided in 8</w:t>
      </w:r>
      <w:r>
        <w:rPr/>
        <w:noBreakHyphen/>
        <w:t xml:space="preserve"/>
      </w:r>
      <w:r>
        <w:rPr/>
        <w:t xml:space="preserve">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pPr>
        <w:pStyle w:val="BodyText"/>
        <w:spacing/>
        <w:rPr/>
      </w:pPr>
      <w:r>
        <w:rPr/>
        <w:tab/>
        <w:t xml:space="preserve"/>
      </w:r>
      <w:r>
        <w:rPr/>
        <w:tab/>
        <w:t xml:space="preserve"/>
      </w:r>
      <w:r>
        <w:rPr/>
        <w:t xml:space="preserve">The </w:t>
      </w:r>
      <w:r>
        <w:rPr/>
        <w:t xml:space="preserve">Contractor </w:t>
      </w:r>
      <w:r>
        <w:rPr/>
        <w:t xml:space="preserve">must</w:t>
      </w:r>
      <w:r>
        <w:rPr/>
        <w:t xml:space="preserve"> </w:t>
      </w:r>
      <w:r>
        <w:rPr/>
        <w:t xml:space="preserve">continually monitor the effects of weather</w:t>
      </w:r>
      <w:r>
        <w:rPr/>
        <w:t xml:space="preserve">. </w:t>
      </w:r>
      <w:r>
        <w:rPr/>
        <w:t xml:space="preserve">When a controlling item of work is delayed by the effects of rains or other inclement weather, the Contractor </w:t>
      </w:r>
      <w:r>
        <w:rPr/>
        <w:t xml:space="preserve">may</w:t>
      </w:r>
      <w:r>
        <w:rPr/>
        <w:t xml:space="preserve"> submit</w:t>
      </w:r>
      <w:r>
        <w:rPr/>
        <w:t xml:space="preserve"> a request for an extension of contract time </w:t>
      </w:r>
      <w:r>
        <w:rPr/>
        <w:t xml:space="preserve">to the Engineer due to the </w:t>
      </w:r>
      <w:r>
        <w:rPr/>
        <w:t xml:space="preserve">weather related</w:t>
      </w:r>
      <w:r>
        <w:rPr/>
        <w:t xml:space="preserve"> delay.  </w:t>
      </w:r>
      <w:r>
        <w:rPr/>
        <w:t xml:space="preserve">R</w:t>
      </w:r>
      <w:r>
        <w:rPr/>
        <w:t xml:space="preserve">equests </w:t>
      </w:r>
      <w:r>
        <w:rPr/>
        <w:t xml:space="preserve">must be submitted no later than 10</w:t>
      </w:r>
      <w:r>
        <w:rPr/>
        <w:t xml:space="preserve"> </w:t>
      </w:r>
      <w:r>
        <w:rPr/>
        <w:t xml:space="preserve">calendar </w:t>
      </w:r>
      <w:r>
        <w:rPr/>
        <w:t xml:space="preserve">days after</w:t>
      </w:r>
      <w:r>
        <w:rPr/>
        <w:t xml:space="preserve"> the work was originally scheduled to be completed.</w:t>
      </w:r>
      <w:r>
        <w:rPr/>
        <w:t xml:space="preserve"> Upon timely receipt of the request of Contract Time </w:t>
      </w:r>
      <w:r>
        <w:rPr/>
        <w:t xml:space="preserve">extension </w:t>
      </w:r>
      <w:r>
        <w:rPr/>
        <w:t xml:space="preserve">from the Contractor for weather related delays, the Engineer will investigate the conditions, and if found justifiable, the Engineer will grant the time extension</w:t>
      </w:r>
      <w:r>
        <w:rPr/>
        <w:t xml:space="preserve"> within </w:t>
      </w:r>
      <w:r>
        <w:rPr/>
        <w:t xml:space="preserve">five</w:t>
      </w:r>
      <w:r>
        <w:rPr/>
        <w:t xml:space="preserve"> calendar days of receipt</w:t>
      </w:r>
      <w:r>
        <w:rPr/>
        <w:t xml:space="preserve"> of the request</w:t>
      </w:r>
      <w:r>
        <w:rPr/>
        <w:t xml:space="preserve">.</w:t>
      </w:r>
    </w:p>
    <w:p>
      <w:pPr>
        <w:pStyle w:val="BodyText"/>
        <w:spacing/>
        <w:rPr/>
      </w:pPr>
      <w:r>
        <w:rPr/>
        <w:tab/>
        <w:t xml:space="preserve"/>
      </w:r>
      <w:r>
        <w:rPr/>
        <w:tab/>
        <w:t xml:space="preserve"/>
      </w:r>
      <w:r>
        <w:rPr/>
        <w:t xml:space="preserve">The Department will grant time extensions, on a day for day basis, for delays caused by the effects of rains or other inclement weather conditions, related adverse soil conditions or suspension of operations as defined in 8-6.4 that prevent the Contractor from productively performing controlling items of work resulting in:</w:t>
      </w:r>
    </w:p>
    <w:p>
      <w:pPr>
        <w:pStyle w:val="BodyText"/>
        <w:spacing/>
        <w:rPr/>
      </w:pPr>
      <w:r>
        <w:rPr/>
        <w:tab/>
        <w:t xml:space="preserve"/>
      </w:r>
      <w:r>
        <w:rPr/>
        <w:tab/>
        <w:t xml:space="preserve"/>
      </w:r>
      <w:r>
        <w:rPr/>
        <w:tab/>
        <w:t xml:space="preserve"/>
      </w:r>
      <w:r>
        <w:rPr/>
        <w:t xml:space="preserve">(1) The Contractor being unable to work at least 50% of the normal </w:t>
      </w:r>
      <w:r>
        <w:rPr/>
        <w:t xml:space="preserve">work day</w:t>
      </w:r>
      <w:r>
        <w:rPr/>
        <w:t xml:space="preserve"> on pre-determined controlling work items; or</w:t>
      </w:r>
    </w:p>
    <w:p>
      <w:pPr>
        <w:pStyle w:val="BodyText"/>
        <w:spacing/>
        <w:rPr/>
      </w:pPr>
      <w:r>
        <w:rPr/>
        <w:tab/>
        <w:t xml:space="preserve"/>
      </w:r>
      <w:r>
        <w:rPr/>
        <w:tab/>
        <w:t xml:space="preserve"/>
      </w:r>
      <w:r>
        <w:rPr/>
        <w:tab/>
        <w:t xml:space="preserve"/>
      </w:r>
      <w:r>
        <w:rPr/>
        <w:t xml:space="preserve">(2)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pPr>
        <w:pStyle w:val="BodyText"/>
        <w:spacing/>
        <w:rPr/>
      </w:pPr>
      <w:r>
        <w:rPr/>
        <w:tab/>
        <w:t xml:space="preserve"/>
      </w:r>
      <w:r>
        <w:rPr/>
        <w:tab/>
        <w:t xml:space="preserve"/>
      </w:r>
      <w:r>
        <w:rPr/>
        <w:t xml:space="preserve">No additional compensation will be made for delays caused by the effects of inclement weather.</w:t>
      </w:r>
    </w:p>
    <w:p>
      <w:pPr>
        <w:pStyle w:val="BodyText"/>
        <w:spacing/>
        <w:rPr/>
      </w:pPr>
      <w:r>
        <w:rPr/>
        <w:tab/>
        <w:t xml:space="preserve"/>
      </w:r>
      <w:r>
        <w:rPr/>
        <w:tab/>
        <w:t xml:space="preserve"/>
      </w:r>
      <w:r>
        <w:rPr/>
        <w:t xml:space="preserve">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pPr>
        <w:pStyle w:val="BodyText"/>
        <w:spacing/>
        <w:rPr/>
      </w:pPr>
      <w:r>
        <w:rPr/>
        <w:tab/>
        <w:t xml:space="preserve"/>
      </w:r>
      <w:r>
        <w:rPr/>
        <w:tab/>
        <w:t xml:space="preserve"/>
      </w:r>
      <w:r>
        <w:rPr/>
        <w:t xml:space="preserve">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pPr>
        <w:pStyle w:val="BodyText"/>
        <w:spacing/>
        <w:rPr/>
      </w:pPr>
      <w:r>
        <w:rPr/>
        <w:tab/>
        <w:t xml:space="preserve"/>
      </w:r>
      <w:r>
        <w:rPr/>
        <w:tab/>
        <w:t xml:space="preserve"/>
      </w:r>
      <w:r>
        <w:rPr/>
        <w:t xml:space="preserve">The Department will consider the </w:t>
      </w:r>
      <w:r>
        <w:rPr/>
        <w:t xml:space="preserve">e</w:t>
      </w:r>
      <w:r>
        <w:rPr/>
        <w:t xml:space="preserve">ffect of utility relocation and adjustment work on job progress as the basis for granting a time extension only if all the following criteria are met:</w:t>
      </w:r>
    </w:p>
    <w:p>
      <w:pPr>
        <w:pStyle w:val="BodyText"/>
        <w:spacing/>
        <w:rPr/>
      </w:pPr>
      <w:r>
        <w:rPr/>
        <w:tab/>
        <w:t xml:space="preserve"/>
      </w:r>
      <w:r>
        <w:rPr/>
        <w:tab/>
        <w:t xml:space="preserve"/>
      </w:r>
      <w:r>
        <w:rPr/>
        <w:tab/>
        <w:t xml:space="preserve"/>
      </w:r>
      <w:r>
        <w:rPr/>
        <w:t xml:space="preserve">(1) Delays are the result of either utility work that was not detailed in the plans, or utility work that was detailed in the plans but was not accomplished in reasonably close accordance with the schedule included in the Contract Documents.</w:t>
      </w:r>
    </w:p>
    <w:p>
      <w:pPr>
        <w:pStyle w:val="BodyText"/>
        <w:spacing/>
        <w:rPr/>
      </w:pPr>
      <w:r>
        <w:rPr/>
        <w:tab/>
        <w:t xml:space="preserve"/>
      </w:r>
      <w:r>
        <w:rPr/>
        <w:tab/>
        <w:t xml:space="preserve"/>
      </w:r>
      <w:r>
        <w:rPr/>
        <w:tab/>
        <w:t xml:space="preserve"/>
      </w:r>
      <w:r>
        <w:rPr/>
        <w:t xml:space="preserve">(2) Utility work </w:t>
      </w:r>
      <w:r>
        <w:rPr/>
        <w:t xml:space="preserve">actually affected</w:t>
      </w:r>
      <w:r>
        <w:rPr/>
        <w:t xml:space="preserve"> progress toward completion of controlling work items.</w:t>
      </w:r>
    </w:p>
    <w:p>
      <w:pPr>
        <w:pStyle w:val="BodyText"/>
        <w:spacing/>
        <w:rPr/>
      </w:pPr>
      <w:r>
        <w:rPr/>
        <w:tab/>
        <w:t xml:space="preserve"/>
      </w:r>
      <w:r>
        <w:rPr/>
        <w:tab/>
        <w:t xml:space="preserve"/>
      </w:r>
      <w:r>
        <w:rPr/>
        <w:tab/>
        <w:t xml:space="preserve"/>
      </w:r>
      <w:r>
        <w:rPr/>
        <w:t xml:space="preserve">(3)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pPr>
        <w:pStyle w:val="BodyText"/>
        <w:spacing/>
        <w:rPr/>
      </w:pPr>
      <w:r>
        <w:rPr/>
        <w:tab/>
        <w:t xml:space="preserve"/>
      </w:r>
      <w:r>
        <w:rPr/>
        <w:tab/>
        <w:t xml:space="preserve"/>
      </w:r>
      <w:r>
        <w:rPr/>
        <w:t xml:space="preserve">As a condition precedent to an extension of Contract Time the Contractor must submit to the Engineer:</w:t>
      </w:r>
    </w:p>
    <w:p>
      <w:pPr>
        <w:pStyle w:val="BodyText"/>
        <w:spacing/>
        <w:rPr/>
      </w:pPr>
      <w:r>
        <w:rPr/>
        <w:tab/>
        <w:t xml:space="preserve"/>
      </w:r>
      <w:r>
        <w:rPr/>
        <w:tab/>
        <w:t xml:space="preserve"/>
      </w:r>
      <w:r>
        <w:rPr/>
        <w:tab/>
        <w:t xml:space="preserve"/>
      </w:r>
      <w:r>
        <w:rPr/>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pPr>
        <w:pStyle w:val="BodyText"/>
        <w:spacing/>
        <w:rPr/>
      </w:pPr>
      <w:r>
        <w:rPr/>
        <w:tab/>
        <w:t xml:space="preserve"/>
      </w:r>
      <w:r>
        <w:rPr/>
        <w:tab/>
        <w:t xml:space="preserve"/>
      </w:r>
      <w:r>
        <w:rPr/>
        <w:tab/>
        <w:t xml:space="preserve"/>
      </w:r>
      <w:r>
        <w:rPr/>
        <w:t xml:space="preserve">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pPr>
        <w:pStyle w:val="BodyText"/>
        <w:spacing/>
        <w:rPr/>
      </w:pPr>
      <w:r>
        <w:rPr/>
        <w:tab/>
        <w:t xml:space="preserve"/>
      </w:r>
      <w:r>
        <w:rPr/>
        <w:tab/>
        <w:t xml:space="preserve"/>
      </w:r>
      <w:r>
        <w:rPr/>
        <w:tab/>
        <w:t xml:space="preserve"/>
      </w:r>
      <w:r>
        <w:rPr/>
        <w:t xml:space="preserve">Upon timely receipt of the preliminary request of Contract Time from the Contractor, the Engineer will investigate the conditions, and if it is determined that a controlling item of work is being delayed for reasons beyond the control of the Contractor the Engineer will </w:t>
      </w:r>
      <w:r>
        <w:rPr/>
        <w:t xml:space="preserve">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pPr>
        <w:pStyle w:val="BodyText"/>
        <w:spacing/>
        <w:rPr/>
      </w:pPr>
    </w:p>
    <w:p>
      <w:pPr>
        <w:pStyle w:val="BodyText"/>
        <w:spacing/>
        <w:rPr/>
      </w:pPr>
    </w:p>
    <w:p>
      <w:pPr>
        <w:pStyle w:val="LeadInSentence"/>
        <w:spacing/>
        <w:rPr/>
      </w:pPr>
      <w:r>
        <w:rPr/>
        <w:t xml:space="preserve">ARTICLE </w:t>
      </w:r>
      <w:r>
        <w:rPr/>
        <w:t xml:space="preserve">8</w:t>
      </w:r>
      <w:r>
        <w:rPr/>
        <w:t xml:space="preserve">-7 is expanded by the following new </w:t>
      </w:r>
      <w:r>
        <w:rPr/>
        <w:t xml:space="preserve">Subarticle</w:t>
      </w:r>
      <w:r>
        <w:rPr/>
        <w:t xml:space="preserve">:</w:t>
      </w:r>
    </w:p>
    <w:p>
      <w:pPr>
        <w:pStyle w:val="BodyText"/>
        <w:spacing/>
        <w:rPr/>
      </w:pPr>
      <w:r>
        <w:rPr>
          <w:b/>
        </w:rPr>
        <w:tab/>
        <w:t xml:space="preserve"/>
      </w:r>
      <w:r>
        <w:rPr>
          <w:b/>
        </w:rPr>
        <w:t xml:space="preserve">8-7.3.3 Contract Term Extension:</w:t>
      </w:r>
      <w:r>
        <w:rPr/>
        <w:t xml:space="preserve"> The Department will monitor the Contractor’s performance of the work. If the percentage of work progress indicates that the </w:t>
      </w:r>
      <w:r>
        <w:rPr/>
        <w:t xml:space="preserve">C</w:t>
      </w:r>
      <w:r>
        <w:rPr/>
        <w:t xml:space="preserve">ontractor </w:t>
      </w:r>
      <w:r>
        <w:rPr/>
        <w:t xml:space="preserve">will</w:t>
      </w:r>
      <w:r>
        <w:rPr/>
        <w:t xml:space="preserve"> not comp</w:t>
      </w:r>
      <w:r>
        <w:rPr/>
        <w:t xml:space="preserve">l</w:t>
      </w:r>
      <w:r>
        <w:rPr/>
        <w:t xml:space="preserve">ete the </w:t>
      </w:r>
      <w:r>
        <w:rPr/>
        <w:t xml:space="preserve">work</w:t>
      </w:r>
      <w:r>
        <w:rPr/>
        <w:t xml:space="preserve"> as contemplated by the original Contract and any Supplemental Agreements</w:t>
      </w:r>
      <w:r>
        <w:rPr/>
        <w:t xml:space="preserve"> </w:t>
      </w:r>
      <w:r>
        <w:rPr/>
        <w:t xml:space="preserve">prior to the expiration of the </w:t>
      </w:r>
      <w:r>
        <w:rPr/>
        <w:t xml:space="preserve">C</w:t>
      </w:r>
      <w:r>
        <w:rPr/>
        <w:t xml:space="preserve">ontract </w:t>
      </w:r>
      <w:r>
        <w:rPr/>
        <w:t xml:space="preserve">T</w:t>
      </w:r>
      <w:r>
        <w:rPr/>
        <w:t xml:space="preserve">erm, the Department </w:t>
      </w:r>
      <w:r>
        <w:rPr/>
        <w:t xml:space="preserve">may</w:t>
      </w:r>
      <w:r>
        <w:rPr/>
        <w:t xml:space="preserve"> extend the </w:t>
      </w:r>
      <w:r>
        <w:rPr/>
        <w:t xml:space="preserve">Contract T</w:t>
      </w:r>
      <w:r>
        <w:rPr/>
        <w:t xml:space="preserve">erm. </w:t>
      </w:r>
      <w:r>
        <w:rPr/>
        <w:t xml:space="preserve">A </w:t>
      </w:r>
      <w:r>
        <w:rPr/>
        <w:t xml:space="preserve">Contract </w:t>
      </w:r>
      <w:r>
        <w:rPr/>
        <w:t xml:space="preserve">T</w:t>
      </w:r>
      <w:r>
        <w:rPr/>
        <w:t xml:space="preserve">erm </w:t>
      </w:r>
      <w:r>
        <w:rPr/>
        <w:t xml:space="preserve">E</w:t>
      </w:r>
      <w:r>
        <w:rPr/>
        <w:t xml:space="preserve">xtension</w:t>
      </w:r>
      <w:r>
        <w:rPr/>
        <w:t xml:space="preserve"> is subject to the same terms and conditions set forth in the </w:t>
      </w:r>
      <w:r>
        <w:rPr/>
        <w:t xml:space="preserve">original</w:t>
      </w:r>
      <w:r>
        <w:rPr/>
        <w:t xml:space="preserve"> Contract and any Supplemental Agreements</w:t>
      </w:r>
      <w:r>
        <w:rPr/>
        <w:t xml:space="preserve">.</w:t>
      </w:r>
      <w:r>
        <w:rPr/>
        <w:t xml:space="preserve"> </w:t>
      </w:r>
      <w:r>
        <w:rPr/>
        <w:t xml:space="preserve">The cumulative period of all Contract Term Extensions shall not exceed 180 calendar days </w:t>
      </w:r>
      <w:r>
        <w:rPr/>
        <w:t xml:space="preserve">unless the failure to meet the criteria set forth in the Contract for completion of the Contract is due to events beyond the control of the Contractor.</w:t>
      </w:r>
      <w:r>
        <w:rPr/>
        <w:t xml:space="preserve"> The Contractor will receive written notification of the </w:t>
      </w:r>
      <w:r>
        <w:rPr/>
        <w:t xml:space="preserve">C</w:t>
      </w:r>
      <w:r>
        <w:rPr/>
        <w:t xml:space="preserve">ontract </w:t>
      </w:r>
      <w:r>
        <w:rPr/>
        <w:t xml:space="preserve">T</w:t>
      </w:r>
      <w:r>
        <w:rPr/>
        <w:t xml:space="preserve">erm </w:t>
      </w:r>
      <w:r>
        <w:rPr/>
        <w:t xml:space="preserve">E</w:t>
      </w:r>
      <w:r>
        <w:rPr/>
        <w:t xml:space="preserve">xtension.</w:t>
      </w:r>
    </w:p>
    <w:p>
      <w:pPr>
        <w:pStyle w:val="BodyText"/>
        <w:spacing/>
        <w:rPr/>
      </w:pPr>
    </w:p>
    <w:p>
      <w:pPr>
        <w:pStyle w:val="LeadInSentence"/>
        <w:spacing/>
        <w:rPr/>
      </w:pPr>
      <w:r>
        <w:rPr/>
        <w:t xml:space="preserve">ARTI</w:t>
      </w:r>
      <w:r>
        <w:rPr/>
        <w:t xml:space="preserve">CLE 8-8</w:t>
      </w:r>
      <w:r>
        <w:rPr/>
        <w:t xml:space="preserve"> is deleted and the following substituted:</w:t>
      </w:r>
    </w:p>
    <w:p>
      <w:pPr>
        <w:pStyle w:val="Article"/>
        <w:spacing/>
        <w:rPr/>
      </w:pPr>
      <w:r>
        <w:rPr/>
        <w:t xml:space="preserve">8-8 Contractor Non-Responsibility.</w:t>
      </w:r>
    </w:p>
    <w:p>
      <w:pPr>
        <w:pStyle w:val="BodyText"/>
        <w:spacing/>
        <w:rPr/>
      </w:pPr>
      <w:r>
        <w:rPr/>
        <w:tab/>
        <w:t xml:space="preserve"/>
      </w:r>
      <w:r>
        <w:rPr/>
        <w:t xml:space="preserve">Section 337.16(2) of the Florida Statutes and Rule 14-22, Florida Administrative Code (FAC), establish certain requirements for Contractors bidding on or any </w:t>
      </w:r>
      <w:r>
        <w:rPr/>
        <w:t xml:space="preserve">M</w:t>
      </w:r>
      <w:r>
        <w:rPr/>
        <w:t xml:space="preserve">aintenance </w:t>
      </w:r>
      <w:r>
        <w:rPr/>
        <w:t xml:space="preserve">Contracts, and authorize ineligibility to bid due to Contractor non-responsibility.</w:t>
      </w:r>
    </w:p>
    <w:p>
      <w:pPr>
        <w:pStyle w:val="BodyText"/>
        <w:spacing/>
        <w:rPr/>
      </w:pPr>
      <w:r>
        <w:rPr/>
        <w:tab/>
        <w:t xml:space="preserve"/>
      </w:r>
      <w:r>
        <w:rPr/>
        <w:t xml:space="preserve">T</w:t>
      </w:r>
      <w:r>
        <w:rPr/>
        <w:t xml:space="preserve">he Department will review and rate the performance of each Contractor using the Contractor Field Performance Report. The Contractor will receive written notification of the Field Performance Report and will be given an opportunity to resolve disputes concerning the rating.</w:t>
      </w:r>
    </w:p>
    <w:p>
      <w:pPr>
        <w:pStyle w:val="BodyText"/>
        <w:spacing/>
        <w:rPr/>
      </w:pPr>
    </w:p>
    <w:p>
      <w:pPr>
        <w:pStyle w:val="BodyText"/>
        <w:spacing/>
        <w:rPr/>
      </w:pPr>
    </w:p>
    <w:p>
      <w:pPr>
        <w:pStyle w:val="LeadInSentence"/>
        <w:spacing/>
        <w:rPr/>
      </w:pPr>
      <w:r>
        <w:rPr/>
        <w:t xml:space="preserve">SUBARTICLE 8-9.1 </w:t>
      </w:r>
      <w:r>
        <w:rPr/>
        <w:t xml:space="preserve">is deleted and the following substituted</w:t>
      </w:r>
      <w:r>
        <w:rPr/>
        <w:t xml:space="preserve">:</w:t>
      </w:r>
    </w:p>
    <w:p>
      <w:pPr>
        <w:pStyle w:val="BodyText"/>
        <w:spacing/>
        <w:rPr/>
      </w:pPr>
      <w:r>
        <w:rPr/>
        <w:tab/>
        <w:t xml:space="preserve"/>
      </w:r>
      <w:r>
        <w:rPr>
          <w:b/>
        </w:rPr>
        <w:t xml:space="preserve">8-9.1 Determination of Default:</w:t>
      </w:r>
      <w:r>
        <w:rPr/>
        <w:t xml:space="preserve"> The following acts or omissions constitute acts of default and, except as to subparagraphs (i and k), the Department will give notice, in writing, to the Contractor and his surety for any delay, neglect or default, if the Contractor:</w:t>
      </w:r>
    </w:p>
    <w:p>
      <w:pPr>
        <w:pStyle w:val="BodyText"/>
        <w:spacing/>
        <w:rPr/>
      </w:pPr>
      <w:r>
        <w:rPr/>
        <w:tab/>
        <w:t xml:space="preserve"/>
      </w:r>
      <w:r>
        <w:rPr/>
        <w:tab/>
        <w:t xml:space="preserve"/>
      </w:r>
      <w:r>
        <w:rPr/>
        <w:t xml:space="preserve">(a) fails to begin the work under the Contract within the time specified in the Notice to </w:t>
      </w:r>
      <w:r>
        <w:rPr/>
        <w:t xml:space="preserve">Proceed;</w:t>
      </w:r>
    </w:p>
    <w:p>
      <w:pPr>
        <w:pStyle w:val="BodyText"/>
        <w:spacing/>
        <w:rPr/>
      </w:pPr>
      <w:r>
        <w:rPr/>
        <w:tab/>
        <w:t xml:space="preserve"/>
      </w:r>
      <w:r>
        <w:rPr/>
        <w:tab/>
        <w:t xml:space="preserve"/>
      </w:r>
      <w:r>
        <w:rPr/>
        <w:t xml:space="preserve">(b) fails to perform the work with sufficient workmen and equipment or with sufficient materials to ensure prompt completion of the </w:t>
      </w:r>
      <w:r>
        <w:rPr/>
        <w:t xml:space="preserve">Contract;</w:t>
      </w:r>
    </w:p>
    <w:p>
      <w:pPr>
        <w:pStyle w:val="BodyText"/>
        <w:spacing/>
        <w:rPr/>
      </w:pPr>
      <w:r>
        <w:rPr/>
        <w:tab/>
        <w:t xml:space="preserve"/>
      </w:r>
      <w:r>
        <w:rPr/>
        <w:tab/>
        <w:t xml:space="preserve"/>
      </w:r>
      <w:r>
        <w:rPr/>
        <w:t xml:space="preserve">(c) performs the work unsuitably, or neglects or refuses to remove materials or to perform anew such work that the Engineer rejects as unacceptable and </w:t>
      </w:r>
      <w:r>
        <w:rPr/>
        <w:t xml:space="preserve">unsuitable;</w:t>
      </w:r>
    </w:p>
    <w:p>
      <w:pPr>
        <w:pStyle w:val="BodyText"/>
        <w:spacing/>
        <w:rPr/>
      </w:pPr>
      <w:r>
        <w:rPr/>
        <w:tab/>
        <w:t xml:space="preserve"/>
      </w:r>
      <w:r>
        <w:rPr/>
        <w:tab/>
        <w:t xml:space="preserve"/>
      </w:r>
      <w:r>
        <w:rPr/>
        <w:t xml:space="preserve">(d) discontinues the prosecution of the work, or fails to resume discontinued work within a reasonable time after the Engineer notifies the Contractor to do </w:t>
      </w:r>
      <w:r>
        <w:rPr/>
        <w:t xml:space="preserve">so;</w:t>
      </w:r>
    </w:p>
    <w:p>
      <w:pPr>
        <w:pStyle w:val="BodyText"/>
        <w:spacing/>
        <w:rPr/>
      </w:pPr>
      <w:r>
        <w:rPr/>
        <w:tab/>
        <w:t xml:space="preserve"/>
      </w:r>
      <w:r>
        <w:rPr/>
        <w:tab/>
        <w:t xml:space="preserve"/>
      </w:r>
      <w:r>
        <w:rPr/>
        <w:t xml:space="preserve">(e) becomes insolvent or is declared bankrupt, or files for reorganization under the bankruptcy code, or commits any act of bankruptcy or insolvency, either voluntarily or </w:t>
      </w:r>
      <w:r>
        <w:rPr/>
        <w:t xml:space="preserve">involuntarily;</w:t>
      </w:r>
    </w:p>
    <w:p>
      <w:pPr>
        <w:pStyle w:val="BodyText"/>
        <w:spacing/>
        <w:rPr/>
      </w:pPr>
      <w:r>
        <w:rPr/>
        <w:tab/>
        <w:t xml:space="preserve"/>
      </w:r>
      <w:r>
        <w:rPr/>
        <w:tab/>
        <w:t xml:space="preserve"/>
      </w:r>
      <w:r>
        <w:rPr/>
        <w:t xml:space="preserve">(f) allows any final judgment to stand against him unsatisfied for a period of ten calendar </w:t>
      </w:r>
      <w:r>
        <w:rPr/>
        <w:t xml:space="preserve">days;</w:t>
      </w:r>
    </w:p>
    <w:p>
      <w:pPr>
        <w:pStyle w:val="BodyText"/>
        <w:spacing/>
        <w:rPr/>
      </w:pPr>
      <w:r>
        <w:rPr/>
        <w:tab/>
        <w:t xml:space="preserve"/>
      </w:r>
      <w:r>
        <w:rPr/>
        <w:tab/>
        <w:t xml:space="preserve"/>
      </w:r>
      <w:r>
        <w:rPr/>
        <w:t xml:space="preserve">(g) makes an assignment for the benefit of </w:t>
      </w:r>
      <w:r>
        <w:rPr/>
        <w:t xml:space="preserve">creditors;</w:t>
      </w:r>
    </w:p>
    <w:p>
      <w:pPr>
        <w:pStyle w:val="BodyText"/>
        <w:spacing/>
        <w:rPr/>
      </w:pPr>
      <w:r>
        <w:rPr/>
        <w:tab/>
        <w:t xml:space="preserve"/>
      </w:r>
      <w:r>
        <w:rPr/>
        <w:tab/>
        <w:t xml:space="preserve"/>
      </w:r>
      <w:r>
        <w:rPr/>
        <w:t xml:space="preserve">(h) fails to comply with Contract requirements regarding minimum wage payments or EEO </w:t>
      </w:r>
      <w:r>
        <w:rPr/>
        <w:t xml:space="preserve">requirements;</w:t>
      </w:r>
    </w:p>
    <w:p>
      <w:pPr>
        <w:pStyle w:val="BodyText"/>
        <w:spacing/>
        <w:rPr/>
      </w:pPr>
      <w:r>
        <w:rPr/>
        <w:tab/>
        <w:t xml:space="preserve"/>
      </w:r>
      <w:r>
        <w:rPr/>
        <w:tab/>
        <w:t xml:space="preserve"/>
      </w:r>
      <w:r>
        <w:rPr/>
        <w:t xml:space="preserve">(i) fails to comply with the Engineer’s written suspension of work order within the time allowed for compliance and which time is stated in that suspension of work order; or </w:t>
      </w:r>
    </w:p>
    <w:p>
      <w:pPr>
        <w:pStyle w:val="BodyText"/>
        <w:spacing/>
        <w:rPr/>
      </w:pPr>
      <w:r>
        <w:rPr/>
        <w:tab/>
        <w:t xml:space="preserve"/>
      </w:r>
      <w:r>
        <w:rPr/>
        <w:tab/>
        <w:t xml:space="preserve"/>
      </w:r>
      <w:r>
        <w:rPr/>
        <w:t xml:space="preserve">(j) for any other cause whatsoever, fails to carry on the work in an acceptable manner, or if the surety executing the bond, for any reasonable cause, becomes unsatisfactory in the opinion of the Department.</w:t>
      </w:r>
    </w:p>
    <w:p>
      <w:pPr>
        <w:pStyle w:val="BodyText"/>
        <w:spacing/>
        <w:rPr/>
      </w:pPr>
      <w:r>
        <w:rPr/>
        <w:tab/>
        <w:t xml:space="preserve"/>
      </w:r>
      <w:r>
        <w:rPr/>
        <w:tab/>
        <w:t xml:space="preserve"/>
      </w:r>
      <w:r>
        <w:rPr/>
        <w:t xml:space="preserve">(k) fails to comply with 3-9.</w:t>
      </w:r>
    </w:p>
    <w:p>
      <w:pPr>
        <w:pStyle w:val="BodyText"/>
        <w:spacing/>
        <w:rPr/>
      </w:pPr>
      <w:r>
        <w:rPr/>
        <w:tab/>
        <w:t xml:space="preserve"/>
      </w:r>
      <w:r>
        <w:rPr/>
        <w:tab/>
        <w:t xml:space="preserve"/>
      </w:r>
      <w:r>
        <w:rPr/>
        <w:t xml:space="preserve">(l) fails to provide all required insurance and to keep said insurance in force during the duration of the Contract.</w:t>
      </w:r>
    </w:p>
    <w:p>
      <w:pPr>
        <w:pStyle w:val="BodyText"/>
        <w:spacing/>
        <w:rPr/>
      </w:pPr>
      <w:r>
        <w:rPr/>
        <w:tab/>
        <w:t xml:space="preserve"/>
      </w:r>
      <w:r>
        <w:rPr/>
        <w:tab/>
        <w:t xml:space="preserve"/>
      </w:r>
      <w:r>
        <w:rPr/>
        <w:t xml:space="preserve">For a notice based upon reasons stated in subparagraphs (a) through (h) and (j): if the Contractor, within a period of time specified by the Department</w:t>
      </w:r>
      <w:r>
        <w:rPr/>
        <w:t xml:space="preserve"> </w:t>
      </w:r>
      <w:r>
        <w:rPr/>
        <w:t xml:space="preserve">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pPr>
        <w:pStyle w:val="BodyText"/>
        <w:spacing/>
        <w:rPr/>
      </w:pPr>
      <w:r>
        <w:rPr/>
        <w:tab/>
        <w:t xml:space="preserve"/>
      </w:r>
      <w:r>
        <w:rPr/>
        <w:tab/>
        <w:t xml:space="preserve"/>
      </w:r>
      <w:r>
        <w:rPr/>
        <w:t xml:space="preserve">If the Contractor, after having received a prior notice described above for any reason stated in subparagraph (b), (c), (d), (e), (f) or (h), commits a second or subsequent act of default for any reason covered by the same subparagraph (b), (c), (d), (e), (f) or (h)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pPr>
        <w:pStyle w:val="BodyText"/>
        <w:spacing/>
        <w:rPr/>
      </w:pPr>
      <w:r>
        <w:rPr/>
        <w:tab/>
        <w:t xml:space="preserve"/>
      </w:r>
      <w:r>
        <w:rPr/>
        <w:tab/>
        <w:t xml:space="preserve"/>
      </w:r>
      <w:r>
        <w:rPr/>
        <w:t xml:space="preserve">Regarding subparagraph (i),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pPr>
        <w:pStyle w:val="BodyText"/>
        <w:spacing/>
        <w:rPr/>
      </w:pPr>
      <w:r>
        <w:rPr/>
        <w:tab/>
        <w:t xml:space="preserve"/>
      </w:r>
      <w:r>
        <w:rPr/>
        <w:tab/>
        <w:t xml:space="preserve"/>
      </w:r>
      <w:r>
        <w:rPr/>
        <w:t xml:space="preserve">Regarding subparagraph (k), if the Contractor fails to comply with 3</w:t>
      </w:r>
      <w:r>
        <w:rPr/>
        <w:noBreakHyphen/>
        <w:t xml:space="preserve"/>
      </w:r>
      <w:r>
        <w:rPr/>
        <w:t xml:space="preserve">9, the Department will have full power and authority, without violating the Contract, to immediately take the prosecution of the work out of the hands of the Contractor and to declare the Contractor in default.</w:t>
      </w:r>
    </w:p>
    <w:p>
      <w:pPr>
        <w:pStyle w:val="BodyText"/>
        <w:spacing/>
        <w:rPr/>
      </w:pPr>
      <w:r>
        <w:rPr/>
        <w:tab/>
        <w:t xml:space="preserve"/>
      </w:r>
      <w:r>
        <w:rPr/>
        <w:tab/>
        <w:t xml:space="preserve"/>
      </w:r>
      <w:r>
        <w:rPr/>
        <w:t xml:space="preserve">The Department has no liability for anticipated profits for unfinished work on a Contract that the Department has determined to be in default.</w:t>
      </w:r>
    </w:p>
    <w:p>
      <w:pPr>
        <w:pStyle w:val="BodyText"/>
        <w:spacing/>
        <w:rPr/>
      </w:pPr>
      <w:r>
        <w:rPr/>
        <w:tab/>
        <w:t xml:space="preserve"/>
      </w:r>
      <w:r>
        <w:rPr/>
        <w:tab/>
        <w:t xml:space="preserve"/>
      </w:r>
      <w:r>
        <w:rPr/>
        <w:t xml:space="preserve">Notwithstanding the above, the Department shall have the right to declare the Contractor (or its “affiliate”) in default and immediately terminate this Contract, without any </w:t>
      </w:r>
      <w:r>
        <w:rPr/>
        <w:t xml:space="preserve">prior notice to the Contractor, in the event the Contractor (or its “affiliate”) is at any time “convicted” of a “contract crime,” as these terms are defined in Section 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pPr>
        <w:pStyle w:val="BodyText"/>
        <w:spacing/>
        <w:rPr/>
      </w:pPr>
    </w:p>
    <w:p>
      <w:pPr>
        <w:pStyle w:val="BodyText"/>
        <w:spacing/>
        <w:rPr/>
      </w:pPr>
    </w:p>
    <w:p>
      <w:pPr>
        <w:pStyle w:val="LeadInSentence"/>
        <w:spacing/>
        <w:rPr/>
      </w:pPr>
      <w:r>
        <w:rPr/>
        <w:t xml:space="preserve">SUBARTICLE 8-9.3 </w:t>
      </w:r>
      <w:r>
        <w:rPr/>
        <w:t xml:space="preserve">is deleted and the following substituted</w:t>
      </w:r>
      <w:r>
        <w:rPr/>
        <w:t xml:space="preserve">:</w:t>
      </w:r>
    </w:p>
    <w:p>
      <w:pPr>
        <w:pStyle w:val="BodyText"/>
        <w:spacing/>
        <w:rPr/>
      </w:pPr>
      <w:r>
        <w:rPr/>
        <w:tab/>
        <w:t xml:space="preserve"/>
      </w:r>
      <w:r>
        <w:rPr>
          <w:b/>
        </w:rPr>
        <w:t xml:space="preserve">8-9.3 Completion of Work by Department:</w:t>
      </w:r>
      <w:r>
        <w:rPr/>
        <w:t xml:space="preserve"> Upon declaration of default, the Department will have full </w:t>
      </w:r>
      <w:r>
        <w:rPr/>
        <w:t xml:space="preserve">authority</w:t>
      </w:r>
      <w:r>
        <w:rPr/>
        <w:t xml:space="preserve">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Pr/>
        <w:t xml:space="preserve">Department</w:t>
      </w:r>
      <w:r>
        <w:rPr/>
        <w:t xml:space="preserve"> the amount of the excess.</w:t>
      </w:r>
    </w:p>
    <w:p>
      <w:pPr>
        <w:pStyle w:val="BodyText"/>
        <w:spacing/>
        <w:rPr/>
      </w:pPr>
      <w:r>
        <w:rPr/>
        <w:tab/>
        <w:t xml:space="preserve"/>
      </w:r>
      <w:r>
        <w:rPr/>
        <w:tab/>
        <w:t xml:space="preserve"/>
      </w:r>
      <w:r>
        <w:rPr/>
        <w:t xml:space="preserve">If, after the </w:t>
      </w:r>
      <w:r>
        <w:rPr/>
        <w:t xml:space="preserve">period of time specified by the Department</w:t>
      </w:r>
      <w:r>
        <w:rPr/>
        <w:t xml:space="preserve">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pPr>
        <w:pStyle w:val="BodyText"/>
        <w:spacing/>
        <w:rPr/>
      </w:pP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440" w:right="1440" w:bottom="1440" w:left="1440" w:header="1296"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2</w:t>
    </w:r>
    <w:r>
      <w:rPr>
        <w:rStyle w:val="PageNumbe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rPr/>
  </w:style>
  <w:style w:type="paragraph" w:styleId="TOC2">
    <w:name w:val="TOC 2"/>
    <w:basedOn w:val="Normal"/>
    <w:next w:val="Normal"/>
    <w:pPr>
      <w:spacing/>
      <w:ind w:left="1080" w:right="1080" w:hanging="720"/>
    </w:pPr>
    <w:rPr/>
  </w:style>
  <w:style w:type="paragraph" w:styleId="BodyText">
    <w:name w:val="Body Text"/>
    <w:next w:val="Normal"/>
    <w:link w:val="BodyTextChar"/>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0"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Hyperlink">
    <w:name w:val="Hyperlink"/>
    <w:basedOn w:val="DefaultParagraphFont"/>
    <w:rPr>
      <w:color w:val="0000FF"/>
      <w:u w:val="single"/>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semiHidden/>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b/>
      <w:bC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 Id="rId12"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B255-C1F1-400D-B9AE-5EB2708B324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5</Pages>
  <Words>2417</Words>
  <Characters>13777</Characters>
  <Application>Microsoft Office Word</Application>
  <DocSecurity>0</DocSecurity>
  <Lines>114</Lines>
  <Paragraphs>32</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Rebecca</cp:lastModifiedBy>
  <cp:lastPrinted>2017-08-24T11:34:00Z</cp:lastPrinted>
  <cp:revision>3</cp:revision>
  <dcterms:created xsi:type="dcterms:W3CDTF">2020-02-26T15:06:00Z</dcterms:created>
  <dcterms:modified xsi:type="dcterms:W3CDTF">2020-03-31T20:56:00Z</dcterms:modified>
  <cp:category>Maintenance1 </cp:category>
</cp:coreProperties>
</file>