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DDFB" w14:textId="77777777" w:rsidR="00162CDD" w:rsidRDefault="007F17A6" w:rsidP="007F17A6">
      <w:pPr>
        <w:pStyle w:val="Heading2"/>
      </w:pPr>
      <w:bookmarkStart w:id="0" w:name="_GoBack"/>
      <w:bookmarkEnd w:id="0"/>
      <w:r>
        <w:t>PAVEMENT MARKING MATERIALS.</w:t>
      </w:r>
    </w:p>
    <w:p w14:paraId="445C9A8F" w14:textId="165583F5" w:rsidR="007F17A6" w:rsidRDefault="007F17A6" w:rsidP="007F17A6">
      <w:pPr>
        <w:pStyle w:val="Dates"/>
      </w:pPr>
      <w:r>
        <w:t xml:space="preserve">(REV </w:t>
      </w:r>
      <w:r w:rsidR="00373BA4">
        <w:t>3-8-19</w:t>
      </w:r>
      <w:r>
        <w:t>)</w:t>
      </w:r>
      <w:r w:rsidR="004827B4">
        <w:t xml:space="preserve"> (</w:t>
      </w:r>
      <w:r w:rsidR="004405D4">
        <w:t>7</w:t>
      </w:r>
      <w:r w:rsidR="004827B4">
        <w:t>-</w:t>
      </w:r>
      <w:r w:rsidR="009E65AB">
        <w:t>20</w:t>
      </w:r>
      <w:r w:rsidR="004827B4">
        <w:t>)</w:t>
      </w:r>
    </w:p>
    <w:p w14:paraId="2FA23884" w14:textId="77777777" w:rsidR="00B95AA6" w:rsidRDefault="00B95AA6" w:rsidP="00B95AA6">
      <w:pPr>
        <w:pStyle w:val="LeadInSentence"/>
      </w:pPr>
      <w:r>
        <w:t>SUBARTICLE 971-8.1 is deleted and the following substituted:</w:t>
      </w:r>
    </w:p>
    <w:p w14:paraId="7D5EEE40" w14:textId="77777777" w:rsidR="00B95AA6" w:rsidRPr="00B95AA6" w:rsidRDefault="00B95AA6" w:rsidP="008F42BF">
      <w:pPr>
        <w:pStyle w:val="BodyText"/>
      </w:pPr>
      <w:r w:rsidRPr="00B95AA6">
        <w:tab/>
      </w:r>
      <w:r w:rsidRPr="00B95AA6">
        <w:rPr>
          <w:b/>
          <w:bCs/>
        </w:rPr>
        <w:t>971-8.1 General:</w:t>
      </w:r>
      <w:r w:rsidRPr="00B95AA6">
        <w:t xml:space="preserve"> Two reactive component materials intended for use under this Specification shall include, but not be limited to, MMA (methyl methacrylate), epoxies, polyesters and urethanes. The manufacturer shall have the option of formulating the material according to his own specifications. However, the criteria outlined in this Specification and Section 709 shall apply regardless of the type of formulation used. The material shall be free from all skins, dirt and foreign objects. This application is intended for weigh stations usage only.</w:t>
      </w:r>
    </w:p>
    <w:p w14:paraId="62EAD919" w14:textId="77777777" w:rsidR="00B95AA6" w:rsidRDefault="00B95AA6" w:rsidP="00B95AA6"/>
    <w:p w14:paraId="66977556" w14:textId="77777777" w:rsidR="007F17A6" w:rsidRDefault="007F17A6" w:rsidP="007F17A6">
      <w:pPr>
        <w:pStyle w:val="LeadInSentence"/>
      </w:pPr>
      <w:r>
        <w:t>SUBARTICLE 971-8.2 is deleted and the following substituted:</w:t>
      </w:r>
    </w:p>
    <w:p w14:paraId="5B7D5B9A" w14:textId="77777777" w:rsidR="007F17A6" w:rsidRPr="007F17A6" w:rsidRDefault="007F17A6" w:rsidP="007F17A6">
      <w:pPr>
        <w:pStyle w:val="BodyText"/>
        <w:rPr>
          <w:b/>
          <w:szCs w:val="22"/>
        </w:rPr>
      </w:pPr>
      <w:r>
        <w:tab/>
      </w:r>
      <w:r w:rsidRPr="007F17A6">
        <w:tab/>
      </w:r>
      <w:r w:rsidRPr="007F17A6">
        <w:rPr>
          <w:b/>
        </w:rPr>
        <w:t>971-8.2 Composition</w:t>
      </w:r>
      <w:r w:rsidRPr="007F17A6">
        <w:rPr>
          <w:b/>
          <w:szCs w:val="22"/>
        </w:rPr>
        <w:t>:</w:t>
      </w:r>
      <w:r w:rsidR="00652B0D" w:rsidRPr="007F17A6">
        <w:rPr>
          <w:color w:val="FF0000"/>
        </w:rPr>
        <w:t xml:space="preserve"> </w:t>
      </w:r>
      <w:r w:rsidR="00652B0D" w:rsidRPr="007F17A6">
        <w:t>The binder portion shall be a blend of acrylic polymers and monomers, prime pigment and filler pigment, with or without intermix glass beads and/or aggregate, depending on application method.</w:t>
      </w:r>
    </w:p>
    <w:p w14:paraId="73300A58" w14:textId="77777777" w:rsidR="007F17A6" w:rsidRPr="007F17A6" w:rsidRDefault="007F17A6" w:rsidP="00207707">
      <w:pPr>
        <w:pStyle w:val="BodyText"/>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010"/>
        <w:gridCol w:w="2674"/>
        <w:gridCol w:w="2696"/>
      </w:tblGrid>
      <w:tr w:rsidR="007F17A6" w:rsidRPr="007F17A6" w14:paraId="6CD53D79" w14:textId="77777777" w:rsidTr="003E5AA0">
        <w:trPr>
          <w:cantSplit/>
          <w:tblHeader/>
          <w:jc w:val="center"/>
        </w:trPr>
        <w:tc>
          <w:tcPr>
            <w:tcW w:w="4010" w:type="dxa"/>
            <w:vAlign w:val="center"/>
          </w:tcPr>
          <w:p w14:paraId="1509C549" w14:textId="77777777" w:rsidR="007F17A6" w:rsidRPr="007F17A6" w:rsidRDefault="007F17A6" w:rsidP="00207707">
            <w:pPr>
              <w:pStyle w:val="BodyText"/>
              <w:jc w:val="center"/>
            </w:pPr>
            <w:r w:rsidRPr="007F17A6">
              <w:t>Component</w:t>
            </w:r>
          </w:p>
        </w:tc>
        <w:tc>
          <w:tcPr>
            <w:tcW w:w="2674" w:type="dxa"/>
            <w:vAlign w:val="center"/>
          </w:tcPr>
          <w:p w14:paraId="32E249FA" w14:textId="77777777" w:rsidR="007F17A6" w:rsidRPr="007F17A6" w:rsidRDefault="007F17A6" w:rsidP="00207707">
            <w:pPr>
              <w:pStyle w:val="BodyText"/>
              <w:jc w:val="center"/>
            </w:pPr>
            <w:r w:rsidRPr="007F17A6">
              <w:t>Test Method</w:t>
            </w:r>
          </w:p>
        </w:tc>
        <w:tc>
          <w:tcPr>
            <w:tcW w:w="2696" w:type="dxa"/>
            <w:vAlign w:val="center"/>
          </w:tcPr>
          <w:p w14:paraId="2E3CC819" w14:textId="77777777" w:rsidR="007F17A6" w:rsidRPr="007F17A6" w:rsidRDefault="007F17A6" w:rsidP="00207707">
            <w:pPr>
              <w:pStyle w:val="BodyText"/>
              <w:jc w:val="center"/>
            </w:pPr>
            <w:r w:rsidRPr="007F17A6">
              <w:t>Criteria</w:t>
            </w:r>
          </w:p>
        </w:tc>
      </w:tr>
      <w:tr w:rsidR="007F17A6" w:rsidRPr="007F17A6" w14:paraId="44841989" w14:textId="77777777" w:rsidTr="003E5AA0">
        <w:trPr>
          <w:cantSplit/>
          <w:jc w:val="center"/>
        </w:trPr>
        <w:tc>
          <w:tcPr>
            <w:tcW w:w="4010" w:type="dxa"/>
            <w:vAlign w:val="center"/>
          </w:tcPr>
          <w:p w14:paraId="4BA4355B" w14:textId="77777777" w:rsidR="007F17A6" w:rsidRPr="007F17A6" w:rsidRDefault="007F17A6" w:rsidP="00207707">
            <w:pPr>
              <w:pStyle w:val="BodyText"/>
              <w:jc w:val="center"/>
            </w:pPr>
            <w:r w:rsidRPr="007F17A6">
              <w:t>TiO</w:t>
            </w:r>
            <w:r w:rsidRPr="007F17A6">
              <w:rPr>
                <w:vertAlign w:val="subscript"/>
              </w:rPr>
              <w:t>2</w:t>
            </w:r>
            <w:r w:rsidRPr="007F17A6">
              <w:t>, Type II Rutile</w:t>
            </w:r>
          </w:p>
          <w:p w14:paraId="759FBB32" w14:textId="77777777" w:rsidR="007F17A6" w:rsidRPr="007F17A6" w:rsidRDefault="007F17A6" w:rsidP="00207707">
            <w:pPr>
              <w:pStyle w:val="BodyText"/>
              <w:jc w:val="center"/>
            </w:pPr>
            <w:r w:rsidRPr="007F17A6">
              <w:t>(white material only)</w:t>
            </w:r>
          </w:p>
        </w:tc>
        <w:tc>
          <w:tcPr>
            <w:tcW w:w="2674" w:type="dxa"/>
            <w:vAlign w:val="center"/>
          </w:tcPr>
          <w:p w14:paraId="0BDD76E3" w14:textId="77777777" w:rsidR="007F17A6" w:rsidRPr="007F17A6" w:rsidRDefault="007F17A6" w:rsidP="00207707">
            <w:pPr>
              <w:pStyle w:val="BodyText"/>
              <w:jc w:val="center"/>
            </w:pPr>
            <w:r w:rsidRPr="007F17A6">
              <w:t>ASTM D476</w:t>
            </w:r>
          </w:p>
        </w:tc>
        <w:tc>
          <w:tcPr>
            <w:tcW w:w="2696" w:type="dxa"/>
            <w:vAlign w:val="center"/>
          </w:tcPr>
          <w:p w14:paraId="4A26908C" w14:textId="77777777" w:rsidR="007F17A6" w:rsidRPr="007F17A6" w:rsidRDefault="007F17A6" w:rsidP="00207707">
            <w:pPr>
              <w:pStyle w:val="BodyText"/>
              <w:jc w:val="center"/>
            </w:pPr>
            <w:r w:rsidRPr="007F17A6">
              <w:t>minimum 10% by weight</w:t>
            </w:r>
          </w:p>
        </w:tc>
      </w:tr>
      <w:tr w:rsidR="007F17A6" w:rsidRPr="007F17A6" w14:paraId="173CEFDB" w14:textId="77777777" w:rsidTr="003E5AA0">
        <w:trPr>
          <w:cantSplit/>
          <w:jc w:val="center"/>
        </w:trPr>
        <w:tc>
          <w:tcPr>
            <w:tcW w:w="4010" w:type="dxa"/>
            <w:vAlign w:val="center"/>
          </w:tcPr>
          <w:p w14:paraId="1AD46BF9" w14:textId="77777777" w:rsidR="007F17A6" w:rsidRPr="007F17A6" w:rsidRDefault="007F17A6" w:rsidP="00207707">
            <w:pPr>
              <w:pStyle w:val="BodyText"/>
              <w:jc w:val="center"/>
            </w:pPr>
            <w:r w:rsidRPr="007F17A6">
              <w:t>Volatile Organic Content, (VOC)</w:t>
            </w:r>
          </w:p>
        </w:tc>
        <w:tc>
          <w:tcPr>
            <w:tcW w:w="2674" w:type="dxa"/>
            <w:vAlign w:val="center"/>
          </w:tcPr>
          <w:p w14:paraId="623EE2B5" w14:textId="77777777" w:rsidR="007F17A6" w:rsidRPr="007F17A6" w:rsidRDefault="007F17A6" w:rsidP="00207707">
            <w:pPr>
              <w:pStyle w:val="BodyText"/>
              <w:jc w:val="center"/>
            </w:pPr>
            <w:r w:rsidRPr="007F17A6">
              <w:t>ASTM D3960</w:t>
            </w:r>
          </w:p>
        </w:tc>
        <w:tc>
          <w:tcPr>
            <w:tcW w:w="2696" w:type="dxa"/>
            <w:vAlign w:val="center"/>
          </w:tcPr>
          <w:p w14:paraId="218C1CE3" w14:textId="77777777" w:rsidR="007F17A6" w:rsidRPr="007F17A6" w:rsidRDefault="007F17A6" w:rsidP="00207707">
            <w:pPr>
              <w:pStyle w:val="BodyText"/>
              <w:jc w:val="center"/>
            </w:pPr>
            <w:r w:rsidRPr="007F17A6">
              <w:t>maximum 150 g/L</w:t>
            </w:r>
          </w:p>
        </w:tc>
      </w:tr>
    </w:tbl>
    <w:p w14:paraId="147AC78D" w14:textId="469B3758" w:rsidR="00B95AA6" w:rsidRDefault="00B95AA6" w:rsidP="007F17A6">
      <w:pPr>
        <w:pStyle w:val="BodyText"/>
      </w:pPr>
    </w:p>
    <w:p w14:paraId="4BA71358" w14:textId="77777777" w:rsidR="00207707" w:rsidRDefault="00207707" w:rsidP="007F17A6">
      <w:pPr>
        <w:pStyle w:val="BodyText"/>
      </w:pPr>
    </w:p>
    <w:p w14:paraId="4546211F" w14:textId="77777777" w:rsidR="00B95AA6" w:rsidRDefault="00B95AA6" w:rsidP="00B95AA6">
      <w:pPr>
        <w:pStyle w:val="LeadInSentence"/>
      </w:pPr>
      <w:r>
        <w:t>SUBARTICLE 971-8.3 is deleted and the following substituted:</w:t>
      </w:r>
    </w:p>
    <w:p w14:paraId="2E71853E" w14:textId="77777777" w:rsidR="00B95AA6" w:rsidRPr="00C5467E" w:rsidRDefault="00B95AA6" w:rsidP="00B95AA6">
      <w:pPr>
        <w:pStyle w:val="BodyText"/>
      </w:pPr>
      <w:r w:rsidRPr="00C5467E">
        <w:tab/>
      </w:r>
      <w:r w:rsidRPr="00C5467E">
        <w:rPr>
          <w:b/>
          <w:bCs/>
        </w:rPr>
        <w:t>971-8.3 Physical Requirements:</w:t>
      </w:r>
      <w:r w:rsidRPr="00C5467E">
        <w:t xml:space="preserve"> Test laboratory samples in accordance with ASTM </w:t>
      </w:r>
      <w:proofErr w:type="gramStart"/>
      <w:r w:rsidRPr="00C5467E">
        <w:t>and also</w:t>
      </w:r>
      <w:proofErr w:type="gramEnd"/>
      <w:r w:rsidRPr="00C5467E">
        <w:t xml:space="preserve"> meet the following criteria:</w:t>
      </w:r>
    </w:p>
    <w:p w14:paraId="54117357" w14:textId="77777777" w:rsidR="00B95AA6" w:rsidRPr="00C5467E" w:rsidRDefault="00B95AA6" w:rsidP="00B95AA6"/>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22"/>
        <w:gridCol w:w="3030"/>
        <w:gridCol w:w="1814"/>
        <w:gridCol w:w="1814"/>
      </w:tblGrid>
      <w:tr w:rsidR="00B95AA6" w:rsidRPr="00C5467E" w14:paraId="4325B980" w14:textId="77777777" w:rsidTr="00E454A3">
        <w:trPr>
          <w:cantSplit/>
          <w:tblHeader/>
          <w:jc w:val="center"/>
        </w:trPr>
        <w:tc>
          <w:tcPr>
            <w:tcW w:w="2160" w:type="dxa"/>
            <w:vAlign w:val="center"/>
          </w:tcPr>
          <w:p w14:paraId="3C82A5F3" w14:textId="77777777" w:rsidR="00B95AA6" w:rsidRPr="00C5467E" w:rsidRDefault="00B95AA6" w:rsidP="00E454A3">
            <w:pPr>
              <w:pStyle w:val="BodyText"/>
              <w:keepNext/>
              <w:keepLines/>
              <w:jc w:val="center"/>
            </w:pPr>
            <w:r w:rsidRPr="00C5467E">
              <w:t>Property</w:t>
            </w:r>
          </w:p>
        </w:tc>
        <w:tc>
          <w:tcPr>
            <w:tcW w:w="2405" w:type="dxa"/>
            <w:vAlign w:val="center"/>
          </w:tcPr>
          <w:p w14:paraId="7B2530D8" w14:textId="77777777" w:rsidR="00B95AA6" w:rsidRPr="00C5467E" w:rsidRDefault="00B95AA6" w:rsidP="00E454A3">
            <w:pPr>
              <w:pStyle w:val="BodyText"/>
              <w:keepNext/>
              <w:keepLines/>
              <w:jc w:val="center"/>
            </w:pPr>
            <w:r w:rsidRPr="00C5467E">
              <w:t>Test Method</w:t>
            </w:r>
          </w:p>
        </w:tc>
        <w:tc>
          <w:tcPr>
            <w:tcW w:w="1440" w:type="dxa"/>
            <w:vAlign w:val="center"/>
          </w:tcPr>
          <w:p w14:paraId="5CCFB8F1" w14:textId="77777777" w:rsidR="00B95AA6" w:rsidRPr="00C5467E" w:rsidRDefault="00B95AA6" w:rsidP="00E454A3">
            <w:pPr>
              <w:pStyle w:val="BodyText"/>
              <w:keepNext/>
              <w:keepLines/>
              <w:jc w:val="center"/>
            </w:pPr>
            <w:r w:rsidRPr="00C5467E">
              <w:t>Minimum</w:t>
            </w:r>
          </w:p>
        </w:tc>
        <w:tc>
          <w:tcPr>
            <w:tcW w:w="1440" w:type="dxa"/>
            <w:vAlign w:val="center"/>
          </w:tcPr>
          <w:p w14:paraId="27F6D3BD" w14:textId="77777777" w:rsidR="00B95AA6" w:rsidRPr="00C5467E" w:rsidRDefault="00B95AA6" w:rsidP="00E454A3">
            <w:pPr>
              <w:pStyle w:val="BodyText"/>
              <w:keepNext/>
              <w:keepLines/>
              <w:jc w:val="center"/>
            </w:pPr>
            <w:r w:rsidRPr="00C5467E">
              <w:t>Maximum</w:t>
            </w:r>
          </w:p>
        </w:tc>
      </w:tr>
      <w:tr w:rsidR="00B95AA6" w:rsidRPr="00C5467E" w14:paraId="02BC3A27" w14:textId="77777777" w:rsidTr="00E454A3">
        <w:trPr>
          <w:cantSplit/>
          <w:jc w:val="center"/>
        </w:trPr>
        <w:tc>
          <w:tcPr>
            <w:tcW w:w="2160" w:type="dxa"/>
            <w:vAlign w:val="center"/>
          </w:tcPr>
          <w:p w14:paraId="194A340D" w14:textId="77777777" w:rsidR="00B95AA6" w:rsidRPr="00C5467E" w:rsidRDefault="00B95AA6" w:rsidP="00E454A3">
            <w:pPr>
              <w:pStyle w:val="BodyText"/>
              <w:keepNext/>
              <w:keepLines/>
              <w:jc w:val="center"/>
            </w:pPr>
            <w:r w:rsidRPr="00C5467E">
              <w:t>Adhesion to Concrete</w:t>
            </w:r>
          </w:p>
        </w:tc>
        <w:tc>
          <w:tcPr>
            <w:tcW w:w="2405" w:type="dxa"/>
            <w:vAlign w:val="center"/>
          </w:tcPr>
          <w:p w14:paraId="4EBB9450" w14:textId="77777777" w:rsidR="00B95AA6" w:rsidRPr="00C5467E" w:rsidRDefault="00B95AA6" w:rsidP="00E454A3">
            <w:pPr>
              <w:pStyle w:val="BodyText"/>
              <w:keepNext/>
              <w:keepLines/>
              <w:jc w:val="center"/>
            </w:pPr>
            <w:r w:rsidRPr="00C5467E">
              <w:t>ASTM D4541, ASTM D7234</w:t>
            </w:r>
          </w:p>
          <w:p w14:paraId="0D35A6BE" w14:textId="77777777" w:rsidR="00B95AA6" w:rsidRPr="00C5467E" w:rsidRDefault="00B95AA6" w:rsidP="00E454A3">
            <w:pPr>
              <w:pStyle w:val="BodyText"/>
              <w:keepNext/>
              <w:keepLines/>
              <w:jc w:val="center"/>
            </w:pPr>
            <w:r w:rsidRPr="00C5467E">
              <w:t>or ACI 503</w:t>
            </w:r>
          </w:p>
        </w:tc>
        <w:tc>
          <w:tcPr>
            <w:tcW w:w="1440" w:type="dxa"/>
            <w:vAlign w:val="center"/>
          </w:tcPr>
          <w:p w14:paraId="5E4A8D28" w14:textId="77777777" w:rsidR="00B95AA6" w:rsidRPr="00C5467E" w:rsidRDefault="00B95AA6" w:rsidP="00E454A3">
            <w:pPr>
              <w:pStyle w:val="BodyText"/>
              <w:keepNext/>
              <w:keepLines/>
              <w:jc w:val="center"/>
            </w:pPr>
            <w:r w:rsidRPr="00C5467E">
              <w:t>Concrete Failure</w:t>
            </w:r>
            <w:r w:rsidRPr="00C5467E" w:rsidDel="004E1F69">
              <w:t xml:space="preserve"> </w:t>
            </w:r>
          </w:p>
        </w:tc>
        <w:tc>
          <w:tcPr>
            <w:tcW w:w="1440" w:type="dxa"/>
            <w:vAlign w:val="center"/>
          </w:tcPr>
          <w:p w14:paraId="6D1611F8" w14:textId="77777777" w:rsidR="00B95AA6" w:rsidRPr="00C5467E" w:rsidRDefault="00B95AA6" w:rsidP="00E454A3">
            <w:pPr>
              <w:pStyle w:val="BodyText"/>
              <w:keepNext/>
              <w:keepLines/>
              <w:jc w:val="center"/>
            </w:pPr>
            <w:r w:rsidRPr="00C5467E">
              <w:t>-</w:t>
            </w:r>
          </w:p>
        </w:tc>
      </w:tr>
      <w:tr w:rsidR="00B95AA6" w:rsidRPr="00C5467E" w14:paraId="120325A5" w14:textId="77777777" w:rsidTr="00E454A3">
        <w:trPr>
          <w:cantSplit/>
          <w:jc w:val="center"/>
        </w:trPr>
        <w:tc>
          <w:tcPr>
            <w:tcW w:w="2160" w:type="dxa"/>
            <w:vAlign w:val="center"/>
          </w:tcPr>
          <w:p w14:paraId="0A0FA2BE" w14:textId="77777777" w:rsidR="00B95AA6" w:rsidRPr="00C5467E" w:rsidRDefault="00B95AA6" w:rsidP="00E454A3">
            <w:pPr>
              <w:pStyle w:val="BodyText"/>
              <w:keepNext/>
              <w:keepLines/>
              <w:jc w:val="center"/>
            </w:pPr>
            <w:r w:rsidRPr="00C5467E">
              <w:t>Hardness</w:t>
            </w:r>
          </w:p>
        </w:tc>
        <w:tc>
          <w:tcPr>
            <w:tcW w:w="2405" w:type="dxa"/>
            <w:vAlign w:val="center"/>
          </w:tcPr>
          <w:p w14:paraId="14E30BD3" w14:textId="77777777" w:rsidR="00B95AA6" w:rsidRPr="00C5467E" w:rsidRDefault="00B95AA6" w:rsidP="00E454A3">
            <w:pPr>
              <w:pStyle w:val="BodyText"/>
              <w:keepNext/>
              <w:keepLines/>
              <w:jc w:val="center"/>
            </w:pPr>
            <w:r w:rsidRPr="00C5467E">
              <w:t>ASTM D7735</w:t>
            </w:r>
            <w:r>
              <w:t xml:space="preserve">, </w:t>
            </w:r>
            <w:r w:rsidRPr="00C5467E">
              <w:t>Type D</w:t>
            </w:r>
          </w:p>
        </w:tc>
        <w:tc>
          <w:tcPr>
            <w:tcW w:w="1440" w:type="dxa"/>
            <w:vAlign w:val="center"/>
          </w:tcPr>
          <w:p w14:paraId="65495BFB" w14:textId="77777777" w:rsidR="00B95AA6" w:rsidRPr="00C5467E" w:rsidRDefault="00B95AA6" w:rsidP="00E454A3">
            <w:pPr>
              <w:pStyle w:val="BodyText"/>
              <w:keepNext/>
              <w:keepLines/>
              <w:jc w:val="center"/>
            </w:pPr>
            <w:r>
              <w:t>5</w:t>
            </w:r>
            <w:r w:rsidRPr="00C5467E">
              <w:t>5</w:t>
            </w:r>
          </w:p>
        </w:tc>
        <w:tc>
          <w:tcPr>
            <w:tcW w:w="1440" w:type="dxa"/>
            <w:vAlign w:val="center"/>
          </w:tcPr>
          <w:p w14:paraId="4A5AA1EF" w14:textId="77777777" w:rsidR="00B95AA6" w:rsidRPr="00C5467E" w:rsidRDefault="00B95AA6" w:rsidP="00E454A3">
            <w:pPr>
              <w:pStyle w:val="BodyText"/>
              <w:keepNext/>
              <w:keepLines/>
              <w:jc w:val="center"/>
            </w:pPr>
            <w:r w:rsidRPr="00C5467E">
              <w:t>-</w:t>
            </w:r>
          </w:p>
        </w:tc>
      </w:tr>
      <w:tr w:rsidR="00B95AA6" w:rsidRPr="00C5467E" w14:paraId="582B76EA" w14:textId="77777777" w:rsidTr="00E454A3">
        <w:trPr>
          <w:cantSplit/>
          <w:jc w:val="center"/>
        </w:trPr>
        <w:tc>
          <w:tcPr>
            <w:tcW w:w="2160" w:type="dxa"/>
            <w:vAlign w:val="center"/>
          </w:tcPr>
          <w:p w14:paraId="1DC7D9ED" w14:textId="77777777" w:rsidR="00B95AA6" w:rsidRPr="00C5467E" w:rsidRDefault="00B95AA6" w:rsidP="00E454A3">
            <w:pPr>
              <w:pStyle w:val="BodyText"/>
              <w:keepNext/>
              <w:keepLines/>
              <w:jc w:val="center"/>
            </w:pPr>
            <w:r w:rsidRPr="00C5467E">
              <w:t>Abrasion Resistance</w:t>
            </w:r>
          </w:p>
        </w:tc>
        <w:tc>
          <w:tcPr>
            <w:tcW w:w="2405" w:type="dxa"/>
            <w:vAlign w:val="center"/>
          </w:tcPr>
          <w:p w14:paraId="1700084E" w14:textId="77777777" w:rsidR="00B95AA6" w:rsidRPr="00C5467E" w:rsidRDefault="00B95AA6" w:rsidP="00E454A3">
            <w:pPr>
              <w:pStyle w:val="BodyText"/>
              <w:keepNext/>
              <w:keepLines/>
              <w:jc w:val="center"/>
            </w:pPr>
            <w:r w:rsidRPr="00C5467E">
              <w:t>ASTM D4060</w:t>
            </w:r>
          </w:p>
        </w:tc>
        <w:tc>
          <w:tcPr>
            <w:tcW w:w="1440" w:type="dxa"/>
            <w:vAlign w:val="center"/>
          </w:tcPr>
          <w:p w14:paraId="774B5C71" w14:textId="77777777" w:rsidR="00B95AA6" w:rsidRPr="00C5467E" w:rsidRDefault="00B95AA6" w:rsidP="00E454A3">
            <w:pPr>
              <w:pStyle w:val="BodyText"/>
              <w:keepNext/>
              <w:keepLines/>
              <w:jc w:val="center"/>
            </w:pPr>
            <w:r w:rsidRPr="00C5467E">
              <w:t>Pass</w:t>
            </w:r>
          </w:p>
        </w:tc>
        <w:tc>
          <w:tcPr>
            <w:tcW w:w="1440" w:type="dxa"/>
            <w:vAlign w:val="center"/>
          </w:tcPr>
          <w:p w14:paraId="21265F87" w14:textId="77777777" w:rsidR="00B95AA6" w:rsidRPr="00C5467E" w:rsidRDefault="00B95AA6" w:rsidP="00E454A3">
            <w:pPr>
              <w:pStyle w:val="BodyText"/>
              <w:keepNext/>
              <w:keepLines/>
              <w:jc w:val="center"/>
            </w:pPr>
            <w:r w:rsidRPr="00C5467E">
              <w:t>-</w:t>
            </w:r>
          </w:p>
        </w:tc>
      </w:tr>
    </w:tbl>
    <w:p w14:paraId="167DC3AE" w14:textId="77777777" w:rsidR="00B95AA6" w:rsidRPr="00C5467E" w:rsidRDefault="00B95AA6" w:rsidP="00B95AA6">
      <w:pPr>
        <w:pStyle w:val="BodyText"/>
      </w:pPr>
    </w:p>
    <w:p w14:paraId="71C8A76D" w14:textId="77777777" w:rsidR="00B95AA6" w:rsidRPr="00C5467E" w:rsidRDefault="00B95AA6" w:rsidP="00B95AA6">
      <w:pPr>
        <w:pStyle w:val="BodyText"/>
      </w:pPr>
      <w:r w:rsidRPr="00C5467E">
        <w:tab/>
      </w:r>
      <w:r w:rsidRPr="00C5467E">
        <w:tab/>
      </w:r>
      <w:r w:rsidRPr="00C5467E">
        <w:rPr>
          <w:b/>
          <w:bCs/>
        </w:rPr>
        <w:t xml:space="preserve">971-8.3.1 Set </w:t>
      </w:r>
      <w:proofErr w:type="gramStart"/>
      <w:r w:rsidRPr="00C5467E">
        <w:rPr>
          <w:b/>
          <w:bCs/>
        </w:rPr>
        <w:t>To</w:t>
      </w:r>
      <w:proofErr w:type="gramEnd"/>
      <w:r w:rsidRPr="00C5467E">
        <w:rPr>
          <w:b/>
          <w:bCs/>
        </w:rPr>
        <w:t xml:space="preserve"> Bear Traffic Time:</w:t>
      </w:r>
      <w:r w:rsidRPr="00C5467E">
        <w:t xml:space="preserve"> The material shall set to bear traffic in not more than </w:t>
      </w:r>
      <w:r>
        <w:t>thirty</w:t>
      </w:r>
      <w:r w:rsidR="005876B1">
        <w:t xml:space="preserve"> minutes</w:t>
      </w:r>
      <w:r w:rsidRPr="00C5467E">
        <w:t>.</w:t>
      </w:r>
    </w:p>
    <w:p w14:paraId="39CBE9CC" w14:textId="77777777" w:rsidR="00B95AA6" w:rsidRPr="00C5467E" w:rsidRDefault="00B95AA6" w:rsidP="00B95AA6">
      <w:pPr>
        <w:pStyle w:val="BodyText"/>
      </w:pPr>
      <w:r w:rsidRPr="00C5467E">
        <w:tab/>
      </w:r>
      <w:r w:rsidRPr="00C5467E">
        <w:tab/>
      </w:r>
      <w:r w:rsidRPr="00C5467E">
        <w:rPr>
          <w:b/>
          <w:bCs/>
        </w:rPr>
        <w:t>971-8.3.2 Abrasion Resistance:</w:t>
      </w:r>
      <w:r w:rsidRPr="00C5467E">
        <w:t xml:space="preserve"> Test four samples using a Taber Abrader. The material shall be applied to specimen plates using a drawdown blade having a clearance of 15 mils. Clean with a soft brush and weigh each sample. Abrade samples for 1,000 cycles with a combined load of 500 g (arm plus auxiliary weight) on each arm and CS</w:t>
      </w:r>
      <w:r w:rsidRPr="00C5467E">
        <w:noBreakHyphen/>
        <w:t>10 wheels. Clean the samples with a soft brush and weigh again. The average weight loss for the four plates shall not exceed 60 mg per plate.</w:t>
      </w:r>
    </w:p>
    <w:p w14:paraId="5ED511D9" w14:textId="77777777" w:rsidR="00B95AA6" w:rsidRPr="00C5467E" w:rsidRDefault="00B95AA6" w:rsidP="00B95AA6">
      <w:pPr>
        <w:pStyle w:val="BodyText"/>
      </w:pPr>
      <w:r w:rsidRPr="00C5467E">
        <w:lastRenderedPageBreak/>
        <w:tab/>
      </w:r>
      <w:r w:rsidRPr="00C5467E">
        <w:tab/>
      </w:r>
      <w:r w:rsidRPr="00C5467E">
        <w:rPr>
          <w:b/>
        </w:rPr>
        <w:t>971-</w:t>
      </w:r>
      <w:r w:rsidRPr="00C5467E">
        <w:rPr>
          <w:b/>
          <w:bCs/>
        </w:rPr>
        <w:t xml:space="preserve">8.3.3 </w:t>
      </w:r>
      <w:proofErr w:type="spellStart"/>
      <w:r w:rsidRPr="00C5467E">
        <w:rPr>
          <w:b/>
          <w:bCs/>
        </w:rPr>
        <w:t>Retroreflectivity</w:t>
      </w:r>
      <w:proofErr w:type="spellEnd"/>
      <w:r w:rsidRPr="00C5467E">
        <w:rPr>
          <w:b/>
          <w:bCs/>
        </w:rPr>
        <w:t xml:space="preserve">: </w:t>
      </w:r>
      <w:r w:rsidRPr="00C5467E">
        <w:t xml:space="preserve">The white and yellow pavement markings shall attain an initial retroreflectance of not less than </w:t>
      </w:r>
      <w:r>
        <w:t>30</w:t>
      </w:r>
      <w:r w:rsidRPr="00C5467E">
        <w:t>0 mcd/lx·m</w:t>
      </w:r>
      <w:r w:rsidRPr="00C5467E">
        <w:rPr>
          <w:vertAlign w:val="superscript"/>
        </w:rPr>
        <w:t>2</w:t>
      </w:r>
      <w:r w:rsidRPr="00C5467E">
        <w:t xml:space="preserve"> and not less than </w:t>
      </w:r>
      <w:r w:rsidR="00402283">
        <w:t>20</w:t>
      </w:r>
      <w:r w:rsidRPr="00C5467E">
        <w:t>0 mcd/lx·m</w:t>
      </w:r>
      <w:r w:rsidRPr="00C5467E">
        <w:rPr>
          <w:vertAlign w:val="superscript"/>
        </w:rPr>
        <w:t>2</w:t>
      </w:r>
      <w:r w:rsidRPr="00C5467E">
        <w:t xml:space="preserve">, respectively. The retroreflectance of the white and yellow pavement markings at the end of the </w:t>
      </w:r>
      <w:proofErr w:type="gramStart"/>
      <w:r w:rsidRPr="00C5467E">
        <w:t>three year</w:t>
      </w:r>
      <w:proofErr w:type="gramEnd"/>
      <w:r w:rsidRPr="00C5467E">
        <w:t xml:space="preserve"> period shall not be less than 150 mcd/lx·m</w:t>
      </w:r>
      <w:r w:rsidRPr="00C5467E">
        <w:rPr>
          <w:vertAlign w:val="superscript"/>
        </w:rPr>
        <w:t>2</w:t>
      </w:r>
      <w:r w:rsidRPr="00C5467E">
        <w:t>.</w:t>
      </w:r>
    </w:p>
    <w:p w14:paraId="2F1A8A66" w14:textId="77777777" w:rsidR="00B95AA6" w:rsidRDefault="00B95AA6" w:rsidP="007F17A6">
      <w:pPr>
        <w:pStyle w:val="BodyText"/>
      </w:pPr>
    </w:p>
    <w:p w14:paraId="283C395B" w14:textId="77777777" w:rsidR="00B95AA6" w:rsidRDefault="00B95AA6" w:rsidP="007F17A6">
      <w:pPr>
        <w:pStyle w:val="BodyText"/>
      </w:pPr>
    </w:p>
    <w:p w14:paraId="29712AC8" w14:textId="77777777" w:rsidR="007F17A6" w:rsidRDefault="007F17A6" w:rsidP="007F17A6">
      <w:pPr>
        <w:pStyle w:val="LeadInSentence"/>
      </w:pPr>
      <w:r>
        <w:t>SUBARTICLE 971-8.5 is deleted and the following substituted:</w:t>
      </w:r>
    </w:p>
    <w:p w14:paraId="75830282" w14:textId="77777777" w:rsidR="007F17A6" w:rsidRDefault="007F17A6" w:rsidP="007F17A6">
      <w:pPr>
        <w:pStyle w:val="BodyText"/>
      </w:pPr>
      <w:r>
        <w:tab/>
      </w:r>
      <w:r w:rsidRPr="00C5467E">
        <w:rPr>
          <w:b/>
          <w:bCs/>
        </w:rPr>
        <w:t>971-8.5 Packaging and Labeling:</w:t>
      </w:r>
      <w:r w:rsidRPr="00C5467E">
        <w:t xml:space="preserve"> </w:t>
      </w:r>
      <w:r w:rsidR="00D754DD" w:rsidRPr="00C5467E">
        <w:t xml:space="preserve">The two reactive component material shall be placed </w:t>
      </w:r>
      <w:r w:rsidR="00D754DD" w:rsidRPr="007F17A6">
        <w:t xml:space="preserve">in </w:t>
      </w:r>
      <w:proofErr w:type="gramStart"/>
      <w:r w:rsidR="00D754DD" w:rsidRPr="007F17A6">
        <w:t>5 gallon</w:t>
      </w:r>
      <w:proofErr w:type="gramEnd"/>
      <w:r w:rsidR="00D754DD" w:rsidRPr="007F17A6">
        <w:t xml:space="preserve"> pails or in 50 gallon drums. No more than 4 gallons shall be placed in the </w:t>
      </w:r>
      <w:proofErr w:type="gramStart"/>
      <w:r w:rsidR="00D754DD" w:rsidRPr="007F17A6">
        <w:t>5 gallon</w:t>
      </w:r>
      <w:proofErr w:type="gramEnd"/>
      <w:r w:rsidR="00D754DD" w:rsidRPr="007F17A6">
        <w:t xml:space="preserve"> pails and no more than 50 gallons shall be placed in any drum to allow for expansion during transport and storage. Clearly mark the containers with the volume of materials in units of gallons and the product name.</w:t>
      </w:r>
    </w:p>
    <w:p w14:paraId="3E043CD9" w14:textId="77777777" w:rsidR="00B62B1F" w:rsidRDefault="00B62B1F" w:rsidP="007F17A6">
      <w:pPr>
        <w:pStyle w:val="BodyText"/>
      </w:pPr>
    </w:p>
    <w:p w14:paraId="439F21FB" w14:textId="77777777" w:rsidR="00B62B1F" w:rsidRDefault="00B62B1F" w:rsidP="007F17A6">
      <w:pPr>
        <w:pStyle w:val="BodyText"/>
      </w:pPr>
    </w:p>
    <w:sectPr w:rsidR="00B62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7518" w14:textId="77777777" w:rsidR="00F02D9C" w:rsidRDefault="00F02D9C" w:rsidP="007F17A6">
      <w:r>
        <w:separator/>
      </w:r>
    </w:p>
  </w:endnote>
  <w:endnote w:type="continuationSeparator" w:id="0">
    <w:p w14:paraId="630F666F" w14:textId="77777777" w:rsidR="00F02D9C" w:rsidRDefault="00F02D9C" w:rsidP="007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6928" w14:textId="77777777" w:rsidR="00F02D9C" w:rsidRDefault="00F02D9C" w:rsidP="007F17A6">
      <w:r>
        <w:separator/>
      </w:r>
    </w:p>
  </w:footnote>
  <w:footnote w:type="continuationSeparator" w:id="0">
    <w:p w14:paraId="3ECF1970" w14:textId="77777777" w:rsidR="00F02D9C" w:rsidRDefault="00F02D9C" w:rsidP="007F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F66"/>
    <w:rsid w:val="000C5367"/>
    <w:rsid w:val="00105192"/>
    <w:rsid w:val="00110A01"/>
    <w:rsid w:val="001579EA"/>
    <w:rsid w:val="00162CDD"/>
    <w:rsid w:val="00181873"/>
    <w:rsid w:val="001F6426"/>
    <w:rsid w:val="00207707"/>
    <w:rsid w:val="00233C75"/>
    <w:rsid w:val="00373BA4"/>
    <w:rsid w:val="003E5AA0"/>
    <w:rsid w:val="00402283"/>
    <w:rsid w:val="0040730D"/>
    <w:rsid w:val="004102B3"/>
    <w:rsid w:val="004405D4"/>
    <w:rsid w:val="004827B4"/>
    <w:rsid w:val="00487383"/>
    <w:rsid w:val="004B5EBA"/>
    <w:rsid w:val="004C7B6A"/>
    <w:rsid w:val="004D77AF"/>
    <w:rsid w:val="0052453B"/>
    <w:rsid w:val="00565877"/>
    <w:rsid w:val="005876B1"/>
    <w:rsid w:val="00614428"/>
    <w:rsid w:val="00626F66"/>
    <w:rsid w:val="00652B0D"/>
    <w:rsid w:val="007A4146"/>
    <w:rsid w:val="007B7812"/>
    <w:rsid w:val="007F17A6"/>
    <w:rsid w:val="00893383"/>
    <w:rsid w:val="008F42BF"/>
    <w:rsid w:val="009A25F6"/>
    <w:rsid w:val="009E65AB"/>
    <w:rsid w:val="00A154C7"/>
    <w:rsid w:val="00A5745F"/>
    <w:rsid w:val="00A612A5"/>
    <w:rsid w:val="00A86A81"/>
    <w:rsid w:val="00B62B1F"/>
    <w:rsid w:val="00B95AA6"/>
    <w:rsid w:val="00CB1EA8"/>
    <w:rsid w:val="00CB4FE1"/>
    <w:rsid w:val="00D754DD"/>
    <w:rsid w:val="00DF6E22"/>
    <w:rsid w:val="00E454A3"/>
    <w:rsid w:val="00F02D9C"/>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E54C73F"/>
  <w15:chartTrackingRefBased/>
  <w15:docId w15:val="{AFCE2224-0B57-427E-ACA8-E479C27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C7"/>
    <w:pPr>
      <w:spacing w:after="160" w:line="259" w:lineRule="auto"/>
    </w:pPr>
    <w:rPr>
      <w:sz w:val="22"/>
      <w:szCs w:val="22"/>
    </w:rPr>
  </w:style>
  <w:style w:type="paragraph" w:styleId="Heading1">
    <w:name w:val="heading 1"/>
    <w:basedOn w:val="Heading2"/>
    <w:next w:val="Normal"/>
    <w:link w:val="Heading1Char"/>
    <w:qFormat/>
    <w:rsid w:val="00A154C7"/>
    <w:pPr>
      <w:outlineLvl w:val="0"/>
    </w:pPr>
    <w:rPr>
      <w:bCs w:val="0"/>
      <w:kern w:val="32"/>
      <w:sz w:val="96"/>
      <w:szCs w:val="32"/>
    </w:rPr>
  </w:style>
  <w:style w:type="paragraph" w:styleId="Heading2">
    <w:name w:val="heading 2"/>
    <w:basedOn w:val="Article"/>
    <w:next w:val="Dates"/>
    <w:link w:val="Heading2Char"/>
    <w:autoRedefine/>
    <w:qFormat/>
    <w:rsid w:val="00A154C7"/>
    <w:pPr>
      <w:spacing w:after="60"/>
      <w:outlineLvl w:val="1"/>
    </w:pPr>
    <w:rPr>
      <w:rFonts w:cs="Arial"/>
      <w:bCs/>
      <w:iCs/>
      <w:caps/>
      <w:szCs w:val="28"/>
    </w:rPr>
  </w:style>
  <w:style w:type="paragraph" w:styleId="Heading8">
    <w:name w:val="heading 8"/>
    <w:basedOn w:val="Article"/>
    <w:next w:val="Normal"/>
    <w:link w:val="Heading8Char"/>
    <w:qFormat/>
    <w:rsid w:val="00A154C7"/>
    <w:pPr>
      <w:spacing w:after="60"/>
      <w:outlineLvl w:val="7"/>
    </w:pPr>
    <w:rPr>
      <w:iCs/>
    </w:rPr>
  </w:style>
  <w:style w:type="paragraph" w:styleId="Heading9">
    <w:name w:val="heading 9"/>
    <w:basedOn w:val="Article"/>
    <w:next w:val="Normal"/>
    <w:link w:val="Heading9Char"/>
    <w:qFormat/>
    <w:rsid w:val="00A154C7"/>
    <w:pPr>
      <w:spacing w:after="60"/>
      <w:outlineLvl w:val="8"/>
    </w:pPr>
    <w:rPr>
      <w:rFonts w:ascii="Arial" w:hAnsi="Arial" w:cs="Arial"/>
      <w:szCs w:val="22"/>
    </w:rPr>
  </w:style>
  <w:style w:type="character" w:default="1" w:styleId="DefaultParagraphFont">
    <w:name w:val="Default Paragraph Font"/>
    <w:uiPriority w:val="1"/>
    <w:semiHidden/>
    <w:unhideWhenUsed/>
    <w:rsid w:val="00A154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54C7"/>
  </w:style>
  <w:style w:type="character" w:customStyle="1" w:styleId="Heading2Char">
    <w:name w:val="Heading 2 Char"/>
    <w:link w:val="Heading2"/>
    <w:rsid w:val="007F17A6"/>
    <w:rPr>
      <w:rFonts w:ascii="Times New Roman" w:eastAsia="Times New Roman" w:hAnsi="Times New Roman" w:cs="Arial"/>
      <w:b/>
      <w:bCs/>
      <w:iCs/>
      <w:caps/>
      <w:sz w:val="24"/>
      <w:szCs w:val="28"/>
    </w:rPr>
  </w:style>
  <w:style w:type="character" w:customStyle="1" w:styleId="Heading1Char">
    <w:name w:val="Heading 1 Char"/>
    <w:link w:val="Heading1"/>
    <w:rsid w:val="007F17A6"/>
    <w:rPr>
      <w:rFonts w:ascii="Times New Roman" w:eastAsia="Times New Roman" w:hAnsi="Times New Roman" w:cs="Arial"/>
      <w:b/>
      <w:iCs/>
      <w:caps/>
      <w:kern w:val="32"/>
      <w:sz w:val="96"/>
      <w:szCs w:val="32"/>
    </w:rPr>
  </w:style>
  <w:style w:type="character" w:customStyle="1" w:styleId="Heading8Char">
    <w:name w:val="Heading 8 Char"/>
    <w:link w:val="Heading8"/>
    <w:rsid w:val="007F17A6"/>
    <w:rPr>
      <w:rFonts w:ascii="Times New Roman" w:eastAsia="Times New Roman" w:hAnsi="Times New Roman"/>
      <w:b/>
      <w:iCs/>
      <w:sz w:val="24"/>
    </w:rPr>
  </w:style>
  <w:style w:type="character" w:customStyle="1" w:styleId="Heading9Char">
    <w:name w:val="Heading 9 Char"/>
    <w:link w:val="Heading9"/>
    <w:rsid w:val="007F17A6"/>
    <w:rPr>
      <w:rFonts w:ascii="Arial" w:eastAsia="Times New Roman" w:hAnsi="Arial" w:cs="Arial"/>
      <w:b/>
      <w:sz w:val="24"/>
      <w:szCs w:val="22"/>
    </w:rPr>
  </w:style>
  <w:style w:type="paragraph" w:customStyle="1" w:styleId="SectionHeading">
    <w:name w:val="Section Heading"/>
    <w:next w:val="Article"/>
    <w:autoRedefine/>
    <w:rsid w:val="00A154C7"/>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A154C7"/>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A154C7"/>
    <w:pPr>
      <w:keepNext/>
      <w:spacing w:after="240"/>
      <w:ind w:firstLine="720"/>
    </w:pPr>
    <w:rPr>
      <w:rFonts w:ascii="Times New Roman" w:eastAsia="Times New Roman" w:hAnsi="Times New Roman"/>
      <w:sz w:val="24"/>
    </w:rPr>
  </w:style>
  <w:style w:type="paragraph" w:styleId="BodyText">
    <w:name w:val="Body Text"/>
    <w:link w:val="BodyTextChar"/>
    <w:rsid w:val="00A154C7"/>
    <w:pPr>
      <w:tabs>
        <w:tab w:val="left" w:pos="720"/>
      </w:tabs>
    </w:pPr>
    <w:rPr>
      <w:rFonts w:ascii="Times New Roman" w:eastAsia="Times New Roman" w:hAnsi="Times New Roman"/>
      <w:sz w:val="24"/>
    </w:rPr>
  </w:style>
  <w:style w:type="character" w:customStyle="1" w:styleId="BodyTextChar">
    <w:name w:val="Body Text Char"/>
    <w:link w:val="BodyText"/>
    <w:rsid w:val="007F17A6"/>
    <w:rPr>
      <w:rFonts w:ascii="Times New Roman" w:eastAsia="Times New Roman" w:hAnsi="Times New Roman"/>
      <w:sz w:val="24"/>
    </w:rPr>
  </w:style>
  <w:style w:type="paragraph" w:styleId="TOC2">
    <w:name w:val="toc 2"/>
    <w:basedOn w:val="Normal"/>
    <w:next w:val="Normal"/>
    <w:autoRedefine/>
    <w:semiHidden/>
    <w:rsid w:val="00A154C7"/>
    <w:pPr>
      <w:ind w:left="1080" w:right="1080" w:hanging="720"/>
    </w:pPr>
  </w:style>
  <w:style w:type="paragraph" w:customStyle="1" w:styleId="Section8">
    <w:name w:val="Section 8"/>
    <w:basedOn w:val="Heading8"/>
    <w:next w:val="Dates"/>
    <w:autoRedefine/>
    <w:rsid w:val="00A154C7"/>
    <w:pPr>
      <w:keepLines/>
      <w:numPr>
        <w:numId w:val="2"/>
      </w:numPr>
      <w:spacing w:before="0" w:after="0"/>
    </w:pPr>
    <w:rPr>
      <w:szCs w:val="24"/>
    </w:rPr>
  </w:style>
  <w:style w:type="paragraph" w:customStyle="1" w:styleId="Section102">
    <w:name w:val="Section 102"/>
    <w:basedOn w:val="Heading9"/>
    <w:autoRedefine/>
    <w:rsid w:val="00A154C7"/>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A154C7"/>
    <w:pPr>
      <w:spacing w:before="120" w:after="120"/>
    </w:pPr>
    <w:rPr>
      <w:b/>
    </w:rPr>
  </w:style>
  <w:style w:type="paragraph" w:styleId="TOC3">
    <w:name w:val="toc 3"/>
    <w:basedOn w:val="Normal"/>
    <w:next w:val="Normal"/>
    <w:autoRedefine/>
    <w:semiHidden/>
    <w:rsid w:val="00A154C7"/>
    <w:pPr>
      <w:ind w:left="360"/>
    </w:pPr>
  </w:style>
  <w:style w:type="paragraph" w:styleId="TOC4">
    <w:name w:val="toc 4"/>
    <w:basedOn w:val="Normal"/>
    <w:next w:val="Normal"/>
    <w:autoRedefine/>
    <w:semiHidden/>
    <w:rsid w:val="00A154C7"/>
    <w:pPr>
      <w:ind w:left="720"/>
    </w:pPr>
  </w:style>
  <w:style w:type="paragraph" w:styleId="TOC5">
    <w:name w:val="toc 5"/>
    <w:basedOn w:val="Normal"/>
    <w:next w:val="Normal"/>
    <w:autoRedefine/>
    <w:semiHidden/>
    <w:rsid w:val="00A154C7"/>
    <w:pPr>
      <w:ind w:left="960"/>
    </w:pPr>
  </w:style>
  <w:style w:type="paragraph" w:styleId="TOC6">
    <w:name w:val="toc 6"/>
    <w:basedOn w:val="Normal"/>
    <w:next w:val="Normal"/>
    <w:autoRedefine/>
    <w:semiHidden/>
    <w:rsid w:val="00A154C7"/>
    <w:pPr>
      <w:ind w:left="1200"/>
    </w:pPr>
  </w:style>
  <w:style w:type="paragraph" w:styleId="TOC7">
    <w:name w:val="toc 7"/>
    <w:basedOn w:val="Normal"/>
    <w:next w:val="Normal"/>
    <w:autoRedefine/>
    <w:semiHidden/>
    <w:rsid w:val="00A154C7"/>
    <w:pPr>
      <w:ind w:left="1440"/>
    </w:pPr>
  </w:style>
  <w:style w:type="paragraph" w:styleId="TOC8">
    <w:name w:val="toc 8"/>
    <w:basedOn w:val="Normal"/>
    <w:next w:val="Normal"/>
    <w:autoRedefine/>
    <w:semiHidden/>
    <w:rsid w:val="00A154C7"/>
    <w:pPr>
      <w:ind w:left="1680"/>
    </w:pPr>
  </w:style>
  <w:style w:type="paragraph" w:styleId="TOC9">
    <w:name w:val="toc 9"/>
    <w:basedOn w:val="Normal"/>
    <w:next w:val="Normal"/>
    <w:autoRedefine/>
    <w:semiHidden/>
    <w:rsid w:val="00A154C7"/>
    <w:pPr>
      <w:ind w:left="1920"/>
    </w:pPr>
  </w:style>
  <w:style w:type="paragraph" w:styleId="Header">
    <w:name w:val="header"/>
    <w:basedOn w:val="Normal"/>
    <w:link w:val="HeaderChar"/>
    <w:rsid w:val="00A154C7"/>
    <w:pPr>
      <w:tabs>
        <w:tab w:val="center" w:pos="4320"/>
        <w:tab w:val="right" w:pos="8640"/>
      </w:tabs>
    </w:pPr>
  </w:style>
  <w:style w:type="character" w:customStyle="1" w:styleId="HeaderChar">
    <w:name w:val="Header Char"/>
    <w:link w:val="Header"/>
    <w:rsid w:val="007F17A6"/>
    <w:rPr>
      <w:sz w:val="22"/>
      <w:szCs w:val="22"/>
    </w:rPr>
  </w:style>
  <w:style w:type="paragraph" w:styleId="Footer">
    <w:name w:val="footer"/>
    <w:basedOn w:val="Normal"/>
    <w:link w:val="FooterChar"/>
    <w:rsid w:val="00A154C7"/>
    <w:pPr>
      <w:tabs>
        <w:tab w:val="center" w:pos="4320"/>
        <w:tab w:val="right" w:pos="8640"/>
      </w:tabs>
    </w:pPr>
  </w:style>
  <w:style w:type="character" w:customStyle="1" w:styleId="FooterChar">
    <w:name w:val="Footer Char"/>
    <w:link w:val="Footer"/>
    <w:rsid w:val="007F17A6"/>
    <w:rPr>
      <w:sz w:val="22"/>
      <w:szCs w:val="22"/>
    </w:rPr>
  </w:style>
  <w:style w:type="paragraph" w:customStyle="1" w:styleId="Dates">
    <w:name w:val="Dates"/>
    <w:basedOn w:val="Article"/>
    <w:next w:val="LeadInSentence"/>
    <w:autoRedefine/>
    <w:rsid w:val="00A154C7"/>
    <w:pPr>
      <w:spacing w:before="0" w:after="240"/>
      <w:contextualSpacing/>
    </w:pPr>
  </w:style>
  <w:style w:type="paragraph" w:styleId="BlockText">
    <w:name w:val="Block Text"/>
    <w:basedOn w:val="Normal"/>
    <w:rsid w:val="00A154C7"/>
    <w:pPr>
      <w:spacing w:after="120"/>
      <w:ind w:left="1440" w:right="1440"/>
    </w:pPr>
  </w:style>
  <w:style w:type="paragraph" w:customStyle="1" w:styleId="PayItem">
    <w:name w:val="PayItem"/>
    <w:basedOn w:val="BodyText"/>
    <w:rsid w:val="00A154C7"/>
    <w:pPr>
      <w:tabs>
        <w:tab w:val="clear" w:pos="720"/>
      </w:tabs>
      <w:ind w:left="3600" w:right="10" w:hanging="2170"/>
    </w:pPr>
  </w:style>
  <w:style w:type="paragraph" w:styleId="BalloonText">
    <w:name w:val="Balloon Text"/>
    <w:basedOn w:val="Normal"/>
    <w:link w:val="BalloonTextChar"/>
    <w:uiPriority w:val="99"/>
    <w:semiHidden/>
    <w:unhideWhenUsed/>
    <w:rsid w:val="007F17A6"/>
    <w:rPr>
      <w:rFonts w:ascii="Segoe UI" w:hAnsi="Segoe UI" w:cs="Segoe UI"/>
      <w:sz w:val="18"/>
      <w:szCs w:val="18"/>
    </w:rPr>
  </w:style>
  <w:style w:type="character" w:customStyle="1" w:styleId="BalloonTextChar">
    <w:name w:val="Balloon Text Char"/>
    <w:link w:val="BalloonText"/>
    <w:uiPriority w:val="99"/>
    <w:semiHidden/>
    <w:rsid w:val="007F17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ata\shares\CO\ProgMgt\Specs\DEVELOP\MEMO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pg965dt D01</dc:creator>
  <cp:keywords/>
  <dc:description/>
  <cp:lastModifiedBy>Rebecca</cp:lastModifiedBy>
  <cp:revision>3</cp:revision>
  <dcterms:created xsi:type="dcterms:W3CDTF">2020-03-31T22:38:00Z</dcterms:created>
  <dcterms:modified xsi:type="dcterms:W3CDTF">2020-03-31T22:39:00Z</dcterms:modified>
</cp:coreProperties>
</file>