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40C5" w14:textId="1C4D094C" w:rsidR="008A4D09" w:rsidRDefault="00CA4705">
      <w:pPr>
        <w:pStyle w:val="Heading2"/>
      </w:pPr>
      <w:r>
        <w:t>334</w:t>
      </w:r>
      <w:r>
        <w:tab/>
      </w:r>
      <w:r>
        <w:rPr>
          <w:caps w:val="0"/>
        </w:rPr>
        <w:t>ASPHALT CONCRETE FOR LAP (CLASS - D).</w:t>
      </w:r>
    </w:p>
    <w:p w14:paraId="0E01CCAA" w14:textId="572C9F09" w:rsidR="008A4D09" w:rsidRDefault="00CA4705">
      <w:pPr>
        <w:pStyle w:val="Dates"/>
      </w:pPr>
      <w:r>
        <w:tab/>
        <w:t xml:space="preserve">(REV </w:t>
      </w:r>
      <w:r w:rsidR="006175A1">
        <w:t>12</w:t>
      </w:r>
      <w:r>
        <w:t>-</w:t>
      </w:r>
      <w:r w:rsidR="006175A1">
        <w:t>1</w:t>
      </w:r>
      <w:r>
        <w:t>2-</w:t>
      </w:r>
      <w:r w:rsidR="006175A1">
        <w:t>24</w:t>
      </w:r>
      <w:r>
        <w:t xml:space="preserve">) (FA 7-2-21) (FY </w:t>
      </w:r>
      <w:r w:rsidR="006175A1">
        <w:t>2025</w:t>
      </w:r>
      <w:r>
        <w:t>-</w:t>
      </w:r>
      <w:r w:rsidR="006175A1">
        <w:t>26</w:t>
      </w:r>
      <w:r>
        <w:t>)</w:t>
      </w:r>
    </w:p>
    <w:p w14:paraId="76155C6A" w14:textId="77777777" w:rsidR="008A4D09" w:rsidRDefault="00CA4705">
      <w:pPr>
        <w:pStyle w:val="LeadInSentence"/>
      </w:pPr>
      <w:r>
        <w:t>SECTION 334 is deleted and the following substituted:</w:t>
      </w:r>
    </w:p>
    <w:p w14:paraId="2C87335D" w14:textId="77777777" w:rsidR="008A4D09" w:rsidRDefault="00CA4705">
      <w:pPr>
        <w:pStyle w:val="SectionHeading"/>
      </w:pPr>
      <w:r>
        <w:t>SECTION 334</w:t>
      </w:r>
      <w:r>
        <w:br/>
        <w:t>ASPHALT CONCRETE FOR LAP (OFF-SYSTEM)</w:t>
      </w:r>
    </w:p>
    <w:p w14:paraId="59CA3D24" w14:textId="77777777" w:rsidR="008A4D09" w:rsidRDefault="00CA4705">
      <w:pPr>
        <w:pStyle w:val="Article"/>
      </w:pPr>
      <w:r>
        <w:t>334-1 Description.</w:t>
      </w:r>
    </w:p>
    <w:p w14:paraId="3E987D6C" w14:textId="77777777" w:rsidR="008A4D09" w:rsidRDefault="00CA4705">
      <w:pPr>
        <w:pStyle w:val="BodyText"/>
        <w:rPr>
          <w:szCs w:val="22"/>
        </w:rPr>
      </w:pPr>
      <w:r>
        <w:rPr>
          <w:b/>
          <w:bCs/>
          <w:szCs w:val="24"/>
        </w:rPr>
        <w:tab/>
        <w:t>334-1.1 General</w:t>
      </w:r>
      <w:r>
        <w:rPr>
          <w:b/>
          <w:szCs w:val="24"/>
        </w:rPr>
        <w:t>:</w:t>
      </w:r>
      <w:r>
        <w:rPr>
          <w:szCs w:val="24"/>
        </w:rPr>
        <w:t xml:space="preserve"> Construct an Asphalt Concrete pavement based on the type of w</w:t>
      </w:r>
      <w:r>
        <w:rPr>
          <w:szCs w:val="22"/>
        </w:rPr>
        <w:t>ork specified in the Contract and the Asphalt Work Categories as defined below. Meet the applicable requirements for plants, equipment, and construction requirements as defined below. Use an asphalt concrete mix that meets the requirements of this specification.</w:t>
      </w:r>
    </w:p>
    <w:p w14:paraId="7B106EEC" w14:textId="77777777" w:rsidR="008A4D09" w:rsidRDefault="00CA4705">
      <w:pPr>
        <w:pStyle w:val="BodyText"/>
        <w:rPr>
          <w:szCs w:val="22"/>
        </w:rPr>
      </w:pPr>
      <w:r>
        <w:rPr>
          <w:szCs w:val="22"/>
        </w:rPr>
        <w:tab/>
      </w:r>
      <w:r>
        <w:rPr>
          <w:b/>
          <w:szCs w:val="22"/>
        </w:rPr>
        <w:t xml:space="preserve">334-1.2 Asphalt Work Mix Categories: </w:t>
      </w:r>
      <w:r>
        <w:rPr>
          <w:color w:val="000000"/>
          <w:szCs w:val="22"/>
        </w:rPr>
        <w:t>Construction of Asphalt Concrete Pavement will fall into one of the following work categories:</w:t>
      </w:r>
    </w:p>
    <w:p w14:paraId="407C5A02" w14:textId="77777777" w:rsidR="008A4D09" w:rsidRDefault="00CA4705">
      <w:pPr>
        <w:pStyle w:val="BodyText"/>
        <w:rPr>
          <w:szCs w:val="22"/>
        </w:rPr>
      </w:pPr>
      <w:r>
        <w:rPr>
          <w:szCs w:val="22"/>
        </w:rPr>
        <w:tab/>
      </w:r>
      <w:r>
        <w:rPr>
          <w:szCs w:val="22"/>
        </w:rPr>
        <w:tab/>
      </w:r>
      <w:r>
        <w:rPr>
          <w:b/>
          <w:szCs w:val="22"/>
        </w:rPr>
        <w:t xml:space="preserve">334-1.2.1 </w:t>
      </w:r>
      <w:r>
        <w:rPr>
          <w:b/>
          <w:color w:val="000000"/>
          <w:szCs w:val="22"/>
        </w:rPr>
        <w:t xml:space="preserve">Asphalt </w:t>
      </w:r>
      <w:r>
        <w:rPr>
          <w:b/>
          <w:szCs w:val="22"/>
        </w:rPr>
        <w:t>Work Category 1:</w:t>
      </w:r>
      <w:r>
        <w:rPr>
          <w:szCs w:val="22"/>
        </w:rPr>
        <w:t xml:space="preserve"> Includes the construction of bike paths and miscellaneous asphalt.</w:t>
      </w:r>
    </w:p>
    <w:p w14:paraId="7D95C561" w14:textId="77777777" w:rsidR="008A4D09" w:rsidRDefault="00CA4705">
      <w:pPr>
        <w:pStyle w:val="BodyText"/>
        <w:rPr>
          <w:szCs w:val="22"/>
        </w:rPr>
      </w:pPr>
      <w:r>
        <w:rPr>
          <w:szCs w:val="22"/>
        </w:rPr>
        <w:tab/>
      </w:r>
      <w:r>
        <w:rPr>
          <w:szCs w:val="22"/>
        </w:rPr>
        <w:tab/>
      </w:r>
      <w:r>
        <w:rPr>
          <w:b/>
          <w:szCs w:val="22"/>
        </w:rPr>
        <w:t>334-</w:t>
      </w:r>
      <w:proofErr w:type="gramStart"/>
      <w:r>
        <w:rPr>
          <w:b/>
          <w:szCs w:val="22"/>
        </w:rPr>
        <w:t>1.2.2</w:t>
      </w:r>
      <w:proofErr w:type="gramEnd"/>
      <w:r>
        <w:rPr>
          <w:b/>
          <w:szCs w:val="22"/>
        </w:rPr>
        <w:t xml:space="preserve"> </w:t>
      </w:r>
      <w:r>
        <w:rPr>
          <w:b/>
          <w:color w:val="000000"/>
          <w:szCs w:val="22"/>
        </w:rPr>
        <w:t>Asphalt</w:t>
      </w:r>
      <w:r>
        <w:rPr>
          <w:b/>
          <w:i/>
          <w:szCs w:val="22"/>
        </w:rPr>
        <w:t xml:space="preserve"> </w:t>
      </w:r>
      <w:r>
        <w:rPr>
          <w:b/>
          <w:szCs w:val="22"/>
        </w:rPr>
        <w:t xml:space="preserve">Work Category 2: </w:t>
      </w:r>
      <w:r>
        <w:rPr>
          <w:szCs w:val="22"/>
        </w:rPr>
        <w:t>Includes the construction of new turn lanes, paved shoulders and other non-mainline pavement locations.</w:t>
      </w:r>
    </w:p>
    <w:p w14:paraId="75C22574" w14:textId="77777777" w:rsidR="008A4D09" w:rsidRDefault="00CA4705">
      <w:pPr>
        <w:pStyle w:val="BodyText"/>
        <w:rPr>
          <w:szCs w:val="22"/>
        </w:rPr>
      </w:pPr>
      <w:r>
        <w:rPr>
          <w:szCs w:val="22"/>
        </w:rPr>
        <w:tab/>
      </w:r>
      <w:r>
        <w:rPr>
          <w:szCs w:val="22"/>
        </w:rPr>
        <w:tab/>
      </w:r>
      <w:r>
        <w:rPr>
          <w:b/>
          <w:szCs w:val="22"/>
        </w:rPr>
        <w:t xml:space="preserve">334-1.2.3 </w:t>
      </w:r>
      <w:r>
        <w:rPr>
          <w:b/>
          <w:color w:val="000000"/>
          <w:szCs w:val="22"/>
        </w:rPr>
        <w:t>Asphalt</w:t>
      </w:r>
      <w:r>
        <w:rPr>
          <w:b/>
          <w:i/>
          <w:szCs w:val="22"/>
        </w:rPr>
        <w:t xml:space="preserve"> </w:t>
      </w:r>
      <w:r>
        <w:rPr>
          <w:b/>
          <w:szCs w:val="22"/>
        </w:rPr>
        <w:t xml:space="preserve">Work Category 3: </w:t>
      </w:r>
      <w:r>
        <w:rPr>
          <w:szCs w:val="22"/>
        </w:rPr>
        <w:t>Includes the construction of new mainline pavement lanes, milling and resurfacing.</w:t>
      </w:r>
    </w:p>
    <w:p w14:paraId="3423BFDD" w14:textId="77777777" w:rsidR="008A4D09" w:rsidRDefault="00CA4705">
      <w:pPr>
        <w:pStyle w:val="BodyText"/>
        <w:rPr>
          <w:bCs/>
          <w:szCs w:val="22"/>
        </w:rPr>
      </w:pPr>
      <w:r>
        <w:rPr>
          <w:szCs w:val="22"/>
        </w:rPr>
        <w:tab/>
      </w:r>
      <w:r>
        <w:rPr>
          <w:b/>
          <w:bCs/>
          <w:szCs w:val="22"/>
        </w:rPr>
        <w:t>334-1.3 Mix Types:</w:t>
      </w:r>
      <w:r>
        <w:rPr>
          <w:bCs/>
          <w:szCs w:val="22"/>
        </w:rPr>
        <w:t xml:space="preserve"> Use the appropriate mix type as shown in Table 334-1.</w:t>
      </w:r>
    </w:p>
    <w:p w14:paraId="5A844A57" w14:textId="77777777" w:rsidR="008A4D09" w:rsidRDefault="008A4D09">
      <w:pPr>
        <w:pStyle w:val="BodyText"/>
        <w:rPr>
          <w:szCs w:val="2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02"/>
        <w:gridCol w:w="4390"/>
        <w:gridCol w:w="1166"/>
        <w:gridCol w:w="1982"/>
      </w:tblGrid>
      <w:tr w:rsidR="008A4D09" w14:paraId="3A8DD5CE" w14:textId="77777777">
        <w:trPr>
          <w:tblHeader/>
          <w:jc w:val="center"/>
        </w:trPr>
        <w:tc>
          <w:tcPr>
            <w:tcW w:w="5000" w:type="pct"/>
            <w:gridSpan w:val="4"/>
          </w:tcPr>
          <w:p w14:paraId="2024C945" w14:textId="77777777" w:rsidR="008A4D09" w:rsidRDefault="00CA4705">
            <w:pPr>
              <w:pStyle w:val="BodyText"/>
              <w:keepNext/>
              <w:keepLines/>
              <w:jc w:val="center"/>
              <w:rPr>
                <w:szCs w:val="24"/>
              </w:rPr>
            </w:pPr>
            <w:r>
              <w:rPr>
                <w:szCs w:val="24"/>
              </w:rPr>
              <w:t>Table 334-1</w:t>
            </w:r>
          </w:p>
          <w:p w14:paraId="3E4A117E" w14:textId="77777777" w:rsidR="008A4D09" w:rsidRDefault="00CA4705">
            <w:pPr>
              <w:pStyle w:val="BodyText"/>
              <w:keepNext/>
              <w:keepLines/>
              <w:jc w:val="center"/>
              <w:rPr>
                <w:szCs w:val="24"/>
              </w:rPr>
            </w:pPr>
            <w:r>
              <w:rPr>
                <w:szCs w:val="24"/>
              </w:rPr>
              <w:t>Mix Types</w:t>
            </w:r>
          </w:p>
        </w:tc>
      </w:tr>
      <w:tr w:rsidR="008A4D09" w14:paraId="0CDABDCD" w14:textId="77777777" w:rsidTr="00AF3B1A">
        <w:trPr>
          <w:tblHeader/>
          <w:jc w:val="center"/>
        </w:trPr>
        <w:tc>
          <w:tcPr>
            <w:tcW w:w="965" w:type="pct"/>
            <w:vAlign w:val="center"/>
          </w:tcPr>
          <w:p w14:paraId="6E50212A" w14:textId="77777777" w:rsidR="008A4D09" w:rsidRDefault="00CA4705" w:rsidP="00AF3B1A">
            <w:pPr>
              <w:pStyle w:val="BodyText"/>
              <w:keepNext/>
              <w:keepLines/>
              <w:jc w:val="center"/>
              <w:rPr>
                <w:szCs w:val="24"/>
              </w:rPr>
            </w:pPr>
            <w:r>
              <w:rPr>
                <w:color w:val="000000"/>
                <w:szCs w:val="24"/>
              </w:rPr>
              <w:t>Asphalt</w:t>
            </w:r>
            <w:r>
              <w:rPr>
                <w:szCs w:val="24"/>
              </w:rPr>
              <w:t xml:space="preserve"> Work Category</w:t>
            </w:r>
          </w:p>
        </w:tc>
        <w:tc>
          <w:tcPr>
            <w:tcW w:w="2350" w:type="pct"/>
            <w:shd w:val="clear" w:color="auto" w:fill="auto"/>
            <w:vAlign w:val="center"/>
          </w:tcPr>
          <w:p w14:paraId="3241CBEC" w14:textId="77777777" w:rsidR="008A4D09" w:rsidRDefault="00CA4705" w:rsidP="00AF3B1A">
            <w:pPr>
              <w:pStyle w:val="BodyText"/>
              <w:keepNext/>
              <w:keepLines/>
              <w:jc w:val="center"/>
              <w:rPr>
                <w:szCs w:val="24"/>
                <w:vertAlign w:val="superscript"/>
              </w:rPr>
            </w:pPr>
            <w:r>
              <w:rPr>
                <w:szCs w:val="24"/>
              </w:rPr>
              <w:t>Mix Types</w:t>
            </w:r>
          </w:p>
        </w:tc>
        <w:tc>
          <w:tcPr>
            <w:tcW w:w="624" w:type="pct"/>
            <w:shd w:val="clear" w:color="auto" w:fill="auto"/>
            <w:vAlign w:val="center"/>
          </w:tcPr>
          <w:p w14:paraId="218ED49F" w14:textId="77777777" w:rsidR="008A4D09" w:rsidRDefault="00CA4705" w:rsidP="00AF3B1A">
            <w:pPr>
              <w:pStyle w:val="BodyText"/>
              <w:keepNext/>
              <w:keepLines/>
              <w:jc w:val="center"/>
              <w:rPr>
                <w:szCs w:val="24"/>
              </w:rPr>
            </w:pPr>
            <w:r>
              <w:rPr>
                <w:szCs w:val="24"/>
              </w:rPr>
              <w:t>Traffic Level</w:t>
            </w:r>
          </w:p>
        </w:tc>
        <w:tc>
          <w:tcPr>
            <w:tcW w:w="1061" w:type="pct"/>
            <w:vAlign w:val="center"/>
          </w:tcPr>
          <w:p w14:paraId="5ABFD853" w14:textId="77777777" w:rsidR="008A4D09" w:rsidRDefault="00CA4705" w:rsidP="00AF3B1A">
            <w:pPr>
              <w:pStyle w:val="BodyText"/>
              <w:keepNext/>
              <w:keepLines/>
              <w:jc w:val="center"/>
              <w:rPr>
                <w:szCs w:val="24"/>
              </w:rPr>
            </w:pPr>
            <w:r>
              <w:rPr>
                <w:szCs w:val="24"/>
              </w:rPr>
              <w:t>ESALs (millions)</w:t>
            </w:r>
          </w:p>
        </w:tc>
      </w:tr>
      <w:tr w:rsidR="008A4D09" w14:paraId="6C9D8965" w14:textId="77777777">
        <w:trPr>
          <w:jc w:val="center"/>
        </w:trPr>
        <w:tc>
          <w:tcPr>
            <w:tcW w:w="965" w:type="pct"/>
            <w:vAlign w:val="center"/>
          </w:tcPr>
          <w:p w14:paraId="3EB00630" w14:textId="77777777" w:rsidR="008A4D09" w:rsidRDefault="00CA4705">
            <w:pPr>
              <w:pStyle w:val="BodyText"/>
              <w:keepNext/>
              <w:keepLines/>
              <w:jc w:val="center"/>
              <w:rPr>
                <w:szCs w:val="24"/>
              </w:rPr>
            </w:pPr>
            <w:r>
              <w:rPr>
                <w:szCs w:val="24"/>
              </w:rPr>
              <w:t>1</w:t>
            </w:r>
          </w:p>
        </w:tc>
        <w:tc>
          <w:tcPr>
            <w:tcW w:w="2350" w:type="pct"/>
            <w:shd w:val="clear" w:color="auto" w:fill="auto"/>
          </w:tcPr>
          <w:p w14:paraId="01EA396E" w14:textId="77777777" w:rsidR="008A4D09" w:rsidRDefault="00CA4705">
            <w:pPr>
              <w:pStyle w:val="BodyText"/>
              <w:keepNext/>
              <w:keepLines/>
              <w:jc w:val="center"/>
              <w:rPr>
                <w:szCs w:val="24"/>
              </w:rPr>
            </w:pPr>
            <w:r>
              <w:rPr>
                <w:szCs w:val="24"/>
              </w:rPr>
              <w:t>Type SP-9.5</w:t>
            </w:r>
            <w:r>
              <w:rPr>
                <w:szCs w:val="24"/>
                <w:vertAlign w:val="superscript"/>
              </w:rPr>
              <w:t>(1)</w:t>
            </w:r>
          </w:p>
        </w:tc>
        <w:tc>
          <w:tcPr>
            <w:tcW w:w="624" w:type="pct"/>
            <w:shd w:val="clear" w:color="auto" w:fill="auto"/>
            <w:vAlign w:val="center"/>
          </w:tcPr>
          <w:p w14:paraId="11A9EA36" w14:textId="65DDFE59" w:rsidR="008A4D09" w:rsidRDefault="00AF3B1A">
            <w:pPr>
              <w:pStyle w:val="BodyText"/>
              <w:keepNext/>
              <w:keepLines/>
              <w:jc w:val="center"/>
              <w:rPr>
                <w:szCs w:val="24"/>
              </w:rPr>
            </w:pPr>
            <w:r>
              <w:rPr>
                <w:szCs w:val="24"/>
              </w:rPr>
              <w:t>B</w:t>
            </w:r>
          </w:p>
        </w:tc>
        <w:tc>
          <w:tcPr>
            <w:tcW w:w="1061" w:type="pct"/>
            <w:vAlign w:val="center"/>
          </w:tcPr>
          <w:p w14:paraId="3E8AC467" w14:textId="1073939F" w:rsidR="008A4D09" w:rsidRDefault="00AF3B1A">
            <w:pPr>
              <w:pStyle w:val="BodyText"/>
              <w:keepNext/>
              <w:keepLines/>
              <w:jc w:val="center"/>
              <w:rPr>
                <w:szCs w:val="24"/>
              </w:rPr>
            </w:pPr>
            <w:r>
              <w:rPr>
                <w:szCs w:val="24"/>
              </w:rPr>
              <w:t>&lt; 3</w:t>
            </w:r>
          </w:p>
        </w:tc>
      </w:tr>
      <w:tr w:rsidR="008A4D09" w14:paraId="4EB78CA8" w14:textId="77777777">
        <w:trPr>
          <w:jc w:val="center"/>
        </w:trPr>
        <w:tc>
          <w:tcPr>
            <w:tcW w:w="965" w:type="pct"/>
            <w:vAlign w:val="center"/>
          </w:tcPr>
          <w:p w14:paraId="72ACC9B2" w14:textId="77777777" w:rsidR="008A4D09" w:rsidRDefault="00CA4705">
            <w:pPr>
              <w:pStyle w:val="BodyText"/>
              <w:keepNext/>
              <w:keepLines/>
              <w:jc w:val="center"/>
              <w:rPr>
                <w:szCs w:val="24"/>
              </w:rPr>
            </w:pPr>
            <w:r>
              <w:rPr>
                <w:szCs w:val="24"/>
              </w:rPr>
              <w:t>2</w:t>
            </w:r>
          </w:p>
        </w:tc>
        <w:tc>
          <w:tcPr>
            <w:tcW w:w="2350" w:type="pct"/>
            <w:shd w:val="clear" w:color="auto" w:fill="auto"/>
          </w:tcPr>
          <w:p w14:paraId="69C2A1FB" w14:textId="77777777" w:rsidR="008A4D09" w:rsidRDefault="00CA4705">
            <w:pPr>
              <w:pStyle w:val="BodyText"/>
              <w:keepNext/>
              <w:keepLines/>
              <w:jc w:val="center"/>
              <w:rPr>
                <w:szCs w:val="24"/>
              </w:rPr>
            </w:pPr>
            <w:r>
              <w:rPr>
                <w:szCs w:val="24"/>
              </w:rPr>
              <w:t>Structural Mixes: Types SP-9.5 or SP-12.5</w:t>
            </w:r>
            <w:r>
              <w:rPr>
                <w:szCs w:val="24"/>
                <w:vertAlign w:val="superscript"/>
              </w:rPr>
              <w:t>(1)</w:t>
            </w:r>
          </w:p>
          <w:p w14:paraId="6ACCFECF" w14:textId="77777777" w:rsidR="008A4D09" w:rsidRDefault="00CA4705">
            <w:pPr>
              <w:pStyle w:val="BodyText"/>
              <w:keepNext/>
              <w:keepLines/>
              <w:jc w:val="center"/>
              <w:rPr>
                <w:szCs w:val="24"/>
              </w:rPr>
            </w:pPr>
            <w:r>
              <w:rPr>
                <w:szCs w:val="24"/>
              </w:rPr>
              <w:t>Friction Mixes: Types FC-9.5 or FC-12.5</w:t>
            </w:r>
            <w:r>
              <w:rPr>
                <w:szCs w:val="24"/>
                <w:vertAlign w:val="superscript"/>
              </w:rPr>
              <w:t>(1)</w:t>
            </w:r>
          </w:p>
        </w:tc>
        <w:tc>
          <w:tcPr>
            <w:tcW w:w="624" w:type="pct"/>
            <w:shd w:val="clear" w:color="auto" w:fill="auto"/>
            <w:vAlign w:val="center"/>
          </w:tcPr>
          <w:p w14:paraId="5558493A" w14:textId="77777777" w:rsidR="008A4D09" w:rsidRDefault="00CA4705">
            <w:pPr>
              <w:pStyle w:val="BodyText"/>
              <w:keepNext/>
              <w:keepLines/>
              <w:jc w:val="center"/>
              <w:rPr>
                <w:szCs w:val="24"/>
              </w:rPr>
            </w:pPr>
            <w:r>
              <w:rPr>
                <w:szCs w:val="24"/>
              </w:rPr>
              <w:t>B</w:t>
            </w:r>
          </w:p>
        </w:tc>
        <w:tc>
          <w:tcPr>
            <w:tcW w:w="1061" w:type="pct"/>
            <w:vAlign w:val="center"/>
          </w:tcPr>
          <w:p w14:paraId="36FE23FE" w14:textId="3CF2F4D5" w:rsidR="008A4D09" w:rsidRDefault="00E35CFB">
            <w:pPr>
              <w:pStyle w:val="BodyText"/>
              <w:keepNext/>
              <w:keepLines/>
              <w:jc w:val="center"/>
              <w:rPr>
                <w:szCs w:val="24"/>
              </w:rPr>
            </w:pPr>
            <w:r>
              <w:rPr>
                <w:szCs w:val="24"/>
              </w:rPr>
              <w:t>&lt; 3</w:t>
            </w:r>
          </w:p>
        </w:tc>
      </w:tr>
      <w:tr w:rsidR="008A4D09" w14:paraId="1D9F29A8" w14:textId="77777777">
        <w:trPr>
          <w:jc w:val="center"/>
        </w:trPr>
        <w:tc>
          <w:tcPr>
            <w:tcW w:w="965" w:type="pct"/>
            <w:vAlign w:val="center"/>
          </w:tcPr>
          <w:p w14:paraId="729BEA83" w14:textId="77777777" w:rsidR="008A4D09" w:rsidRDefault="00CA4705">
            <w:pPr>
              <w:pStyle w:val="BodyText"/>
              <w:keepNext/>
              <w:keepLines/>
              <w:jc w:val="center"/>
              <w:rPr>
                <w:szCs w:val="24"/>
              </w:rPr>
            </w:pPr>
            <w:r>
              <w:rPr>
                <w:szCs w:val="24"/>
              </w:rPr>
              <w:t>3</w:t>
            </w:r>
          </w:p>
        </w:tc>
        <w:tc>
          <w:tcPr>
            <w:tcW w:w="2350" w:type="pct"/>
            <w:shd w:val="clear" w:color="auto" w:fill="auto"/>
          </w:tcPr>
          <w:p w14:paraId="6280897E" w14:textId="77777777" w:rsidR="008A4D09" w:rsidRDefault="00CA4705">
            <w:pPr>
              <w:pStyle w:val="BodyText"/>
              <w:keepNext/>
              <w:keepLines/>
              <w:jc w:val="center"/>
              <w:rPr>
                <w:szCs w:val="24"/>
              </w:rPr>
            </w:pPr>
            <w:r>
              <w:rPr>
                <w:szCs w:val="24"/>
              </w:rPr>
              <w:t>Structural Mixes: Types SP-9.5 or SP-12.5</w:t>
            </w:r>
          </w:p>
          <w:p w14:paraId="782781CF" w14:textId="77777777" w:rsidR="008A4D09" w:rsidRDefault="00CA4705">
            <w:pPr>
              <w:pStyle w:val="BodyText"/>
              <w:keepNext/>
              <w:keepLines/>
              <w:jc w:val="center"/>
              <w:rPr>
                <w:szCs w:val="24"/>
              </w:rPr>
            </w:pPr>
            <w:r>
              <w:rPr>
                <w:szCs w:val="24"/>
              </w:rPr>
              <w:t>Friction Mixes: Types FC-9.5 or FC-12.5</w:t>
            </w:r>
          </w:p>
        </w:tc>
        <w:tc>
          <w:tcPr>
            <w:tcW w:w="624" w:type="pct"/>
            <w:shd w:val="clear" w:color="auto" w:fill="auto"/>
            <w:vAlign w:val="center"/>
          </w:tcPr>
          <w:p w14:paraId="1EABD6A4" w14:textId="77777777" w:rsidR="008A4D09" w:rsidRDefault="00CA4705">
            <w:pPr>
              <w:pStyle w:val="BodyText"/>
              <w:keepNext/>
              <w:keepLines/>
              <w:jc w:val="center"/>
              <w:rPr>
                <w:szCs w:val="24"/>
              </w:rPr>
            </w:pPr>
            <w:r>
              <w:rPr>
                <w:szCs w:val="24"/>
              </w:rPr>
              <w:t>C</w:t>
            </w:r>
          </w:p>
        </w:tc>
        <w:tc>
          <w:tcPr>
            <w:tcW w:w="1061" w:type="pct"/>
            <w:vAlign w:val="center"/>
          </w:tcPr>
          <w:p w14:paraId="41560F8B" w14:textId="4E4489FF" w:rsidR="008A4D09" w:rsidRDefault="00CA4705">
            <w:pPr>
              <w:pStyle w:val="BodyText"/>
              <w:keepNext/>
              <w:keepLines/>
              <w:jc w:val="center"/>
              <w:rPr>
                <w:szCs w:val="24"/>
              </w:rPr>
            </w:pPr>
            <w:r>
              <w:rPr>
                <w:szCs w:val="24"/>
              </w:rPr>
              <w:t>≥</w:t>
            </w:r>
            <w:r w:rsidR="00E35CFB">
              <w:rPr>
                <w:szCs w:val="24"/>
              </w:rPr>
              <w:t xml:space="preserve"> </w:t>
            </w:r>
            <w:r>
              <w:rPr>
                <w:szCs w:val="24"/>
              </w:rPr>
              <w:t>3</w:t>
            </w:r>
          </w:p>
        </w:tc>
      </w:tr>
      <w:tr w:rsidR="008A4D09" w14:paraId="71142142" w14:textId="77777777">
        <w:trPr>
          <w:jc w:val="center"/>
        </w:trPr>
        <w:tc>
          <w:tcPr>
            <w:tcW w:w="5000" w:type="pct"/>
            <w:gridSpan w:val="4"/>
            <w:vAlign w:val="center"/>
          </w:tcPr>
          <w:p w14:paraId="7E0DC38E" w14:textId="77777777" w:rsidR="008A4D09" w:rsidRDefault="00CA4705">
            <w:pPr>
              <w:pStyle w:val="BodyText"/>
              <w:rPr>
                <w:bCs/>
                <w:szCs w:val="22"/>
              </w:rPr>
            </w:pPr>
            <w:r>
              <w:rPr>
                <w:sz w:val="18"/>
                <w:szCs w:val="18"/>
              </w:rPr>
              <w:t>(1) Equivalent mixes may be approved as determined by the Engineer.</w:t>
            </w:r>
            <w:r>
              <w:rPr>
                <w:bCs/>
                <w:szCs w:val="22"/>
              </w:rPr>
              <w:t xml:space="preserve"> </w:t>
            </w:r>
            <w:r>
              <w:rPr>
                <w:sz w:val="18"/>
                <w:szCs w:val="18"/>
              </w:rPr>
              <w:t>For example, Marshall S-III mixture type is equivalent to Superpave SP-9.5, Marshall S-I is equivalent to Superpave SP-12.5, and Marshall FC-</w:t>
            </w:r>
            <w:proofErr w:type="gramStart"/>
            <w:r>
              <w:rPr>
                <w:sz w:val="18"/>
                <w:szCs w:val="18"/>
              </w:rPr>
              <w:t>3 is</w:t>
            </w:r>
            <w:proofErr w:type="gramEnd"/>
            <w:r>
              <w:rPr>
                <w:sz w:val="18"/>
                <w:szCs w:val="18"/>
              </w:rPr>
              <w:t xml:space="preserve"> equivalent to Superpave FC-9.5.</w:t>
            </w:r>
          </w:p>
        </w:tc>
      </w:tr>
    </w:tbl>
    <w:p w14:paraId="2C4CD8CA" w14:textId="77777777" w:rsidR="008A4D09" w:rsidRDefault="008A4D09">
      <w:pPr>
        <w:pStyle w:val="BodyText"/>
        <w:rPr>
          <w:szCs w:val="22"/>
        </w:rPr>
      </w:pPr>
    </w:p>
    <w:p w14:paraId="0166E4AF" w14:textId="2B8E1CA3" w:rsidR="008A4D09" w:rsidRDefault="00CA4705">
      <w:pPr>
        <w:pStyle w:val="BodyText"/>
      </w:pPr>
      <w:r>
        <w:tab/>
      </w:r>
      <w:r>
        <w:tab/>
      </w:r>
      <w:r>
        <w:tab/>
        <w:t>At no additional cost, for a Type SP mix the following Traffic Level substitutions are allowed:</w:t>
      </w:r>
    </w:p>
    <w:p w14:paraId="0A82A2D0" w14:textId="77777777" w:rsidR="008A4D09" w:rsidRDefault="00CA4705">
      <w:pPr>
        <w:pStyle w:val="BodyText"/>
      </w:pPr>
      <w:r>
        <w:tab/>
      </w:r>
      <w:r>
        <w:tab/>
      </w:r>
      <w:r>
        <w:tab/>
      </w:r>
      <w:r>
        <w:tab/>
        <w:t>Traffic Level C can be substituted for Traffic Level B.</w:t>
      </w:r>
    </w:p>
    <w:p w14:paraId="0DE47F11" w14:textId="579719EA" w:rsidR="008A4D09" w:rsidRDefault="00CA4705">
      <w:pPr>
        <w:pStyle w:val="BodyText"/>
        <w:rPr>
          <w:szCs w:val="24"/>
        </w:rPr>
      </w:pPr>
      <w:r>
        <w:rPr>
          <w:b/>
          <w:bCs/>
          <w:szCs w:val="24"/>
        </w:rPr>
        <w:tab/>
        <w:t>334-1.4 Gradation Classification:</w:t>
      </w:r>
      <w:r>
        <w:rPr>
          <w:szCs w:val="24"/>
        </w:rPr>
        <w:t xml:space="preserve"> Asphalt concrete mixtures are classified as fine and are defined in Standard Specification 334-3.2.2. </w:t>
      </w:r>
    </w:p>
    <w:p w14:paraId="11EB619B" w14:textId="77777777" w:rsidR="008A4D09" w:rsidRDefault="00CA4705">
      <w:pPr>
        <w:pStyle w:val="BodyText"/>
        <w:rPr>
          <w:szCs w:val="24"/>
        </w:rPr>
      </w:pPr>
      <w:r>
        <w:rPr>
          <w:szCs w:val="24"/>
        </w:rPr>
        <w:tab/>
      </w:r>
      <w:r>
        <w:rPr>
          <w:szCs w:val="24"/>
        </w:rPr>
        <w:tab/>
        <w:t>The equivalent AASHTO nominal maximum aggregate size Superpave mixes are as follows:</w:t>
      </w:r>
    </w:p>
    <w:p w14:paraId="0E0C3427" w14:textId="77777777" w:rsidR="008A4D09" w:rsidRDefault="00CA4705">
      <w:pPr>
        <w:pStyle w:val="BodyText"/>
        <w:tabs>
          <w:tab w:val="clear" w:pos="720"/>
          <w:tab w:val="right" w:leader="dot" w:pos="7920"/>
        </w:tabs>
        <w:ind w:firstLine="1440"/>
        <w:rPr>
          <w:szCs w:val="24"/>
        </w:rPr>
      </w:pPr>
      <w:r>
        <w:rPr>
          <w:szCs w:val="24"/>
        </w:rPr>
        <w:t>Type SP-9.5, FC-9.5</w:t>
      </w:r>
      <w:r>
        <w:rPr>
          <w:szCs w:val="24"/>
        </w:rPr>
        <w:tab/>
        <w:t>9.5 mm</w:t>
      </w:r>
    </w:p>
    <w:p w14:paraId="05398288" w14:textId="77777777" w:rsidR="008A4D09" w:rsidRDefault="00CA4705">
      <w:pPr>
        <w:pStyle w:val="BodyText"/>
        <w:tabs>
          <w:tab w:val="clear" w:pos="720"/>
          <w:tab w:val="right" w:leader="dot" w:pos="7920"/>
        </w:tabs>
        <w:ind w:firstLine="1440"/>
        <w:rPr>
          <w:szCs w:val="24"/>
        </w:rPr>
      </w:pPr>
      <w:r>
        <w:rPr>
          <w:szCs w:val="24"/>
        </w:rPr>
        <w:t>Type SP-12.5, FC-12.5</w:t>
      </w:r>
      <w:r>
        <w:rPr>
          <w:szCs w:val="24"/>
        </w:rPr>
        <w:tab/>
        <w:t>12.5 mm</w:t>
      </w:r>
    </w:p>
    <w:p w14:paraId="0A513E07" w14:textId="77777777" w:rsidR="008A4D09" w:rsidRDefault="00CA4705">
      <w:pPr>
        <w:pStyle w:val="BodyText"/>
        <w:rPr>
          <w:szCs w:val="24"/>
        </w:rPr>
      </w:pPr>
      <w:r>
        <w:rPr>
          <w:b/>
          <w:bCs/>
          <w:szCs w:val="24"/>
        </w:rPr>
        <w:tab/>
        <w:t>334-1.5 Thickness:</w:t>
      </w:r>
      <w:r>
        <w:rPr>
          <w:szCs w:val="24"/>
        </w:rPr>
        <w:t xml:space="preserve"> The total </w:t>
      </w:r>
      <w:r>
        <w:rPr>
          <w:color w:val="000000"/>
          <w:szCs w:val="24"/>
        </w:rPr>
        <w:t>pavement</w:t>
      </w:r>
      <w:r>
        <w:rPr>
          <w:i/>
          <w:color w:val="FF0000"/>
          <w:szCs w:val="24"/>
        </w:rPr>
        <w:t xml:space="preserve"> </w:t>
      </w:r>
      <w:r>
        <w:rPr>
          <w:szCs w:val="24"/>
        </w:rPr>
        <w:t xml:space="preserve">thickness of the asphalt concrete </w:t>
      </w:r>
      <w:r>
        <w:rPr>
          <w:color w:val="000000"/>
          <w:szCs w:val="24"/>
        </w:rPr>
        <w:t>pavement</w:t>
      </w:r>
      <w:r>
        <w:rPr>
          <w:i/>
          <w:szCs w:val="24"/>
        </w:rPr>
        <w:t xml:space="preserve"> </w:t>
      </w:r>
      <w:r>
        <w:rPr>
          <w:iCs/>
          <w:szCs w:val="24"/>
        </w:rPr>
        <w:t>layers will</w:t>
      </w:r>
      <w:r>
        <w:rPr>
          <w:szCs w:val="24"/>
        </w:rPr>
        <w:t xml:space="preserve"> be the plan thickness as shown in the Contract </w:t>
      </w:r>
      <w:r>
        <w:rPr>
          <w:color w:val="000000"/>
          <w:szCs w:val="24"/>
        </w:rPr>
        <w:t>D</w:t>
      </w:r>
      <w:r>
        <w:rPr>
          <w:szCs w:val="24"/>
        </w:rPr>
        <w:t xml:space="preserve">ocuments. Before paving, propose a </w:t>
      </w:r>
      <w:r>
        <w:rPr>
          <w:szCs w:val="24"/>
        </w:rPr>
        <w:lastRenderedPageBreak/>
        <w:t>thickness for each individual layer meeting the requirements of this specification, which when combined with other layers (as applicable) will equal the plan thickness. For construction purposes, the plan thickness and individual layer thickness will be converted to spread rate using the following equation:</w:t>
      </w:r>
    </w:p>
    <w:p w14:paraId="69C542DF" w14:textId="77777777" w:rsidR="008A4D09" w:rsidRDefault="008A4D09">
      <w:pPr>
        <w:pStyle w:val="BodyText"/>
        <w:rPr>
          <w:szCs w:val="24"/>
        </w:rPr>
      </w:pPr>
    </w:p>
    <w:p w14:paraId="4FA344EB" w14:textId="77777777" w:rsidR="008A4D09" w:rsidRDefault="00CA4705">
      <w:pPr>
        <w:pStyle w:val="BodyText"/>
        <w:rPr>
          <w:szCs w:val="24"/>
        </w:rPr>
      </w:pPr>
      <w:r>
        <w:rPr>
          <w:szCs w:val="24"/>
        </w:rPr>
        <w:tab/>
      </w:r>
      <w:r>
        <w:rPr>
          <w:szCs w:val="24"/>
        </w:rPr>
        <w:tab/>
        <w:t>Spread rate (</w:t>
      </w:r>
      <w:proofErr w:type="spellStart"/>
      <w:r>
        <w:rPr>
          <w:szCs w:val="24"/>
        </w:rPr>
        <w:t>lbs</w:t>
      </w:r>
      <w:proofErr w:type="spellEnd"/>
      <w:r>
        <w:rPr>
          <w:szCs w:val="24"/>
        </w:rPr>
        <w:t>/yd</w:t>
      </w:r>
      <w:r>
        <w:rPr>
          <w:szCs w:val="24"/>
          <w:vertAlign w:val="superscript"/>
        </w:rPr>
        <w:t>2</w:t>
      </w:r>
      <w:proofErr w:type="gramStart"/>
      <w:r>
        <w:rPr>
          <w:szCs w:val="24"/>
        </w:rPr>
        <w:t xml:space="preserve">) </w:t>
      </w:r>
      <w:r>
        <w:rPr>
          <w:szCs w:val="24"/>
        </w:rPr>
        <w:tab/>
        <w:t>=</w:t>
      </w:r>
      <w:proofErr w:type="gramEnd"/>
      <w:r>
        <w:rPr>
          <w:szCs w:val="24"/>
        </w:rPr>
        <w:t xml:space="preserve"> t x </w:t>
      </w:r>
      <w:proofErr w:type="spellStart"/>
      <w:r>
        <w:rPr>
          <w:szCs w:val="24"/>
        </w:rPr>
        <w:t>G</w:t>
      </w:r>
      <w:r>
        <w:rPr>
          <w:szCs w:val="24"/>
          <w:vertAlign w:val="subscript"/>
        </w:rPr>
        <w:t>mm</w:t>
      </w:r>
      <w:proofErr w:type="spellEnd"/>
      <w:r>
        <w:rPr>
          <w:szCs w:val="24"/>
        </w:rPr>
        <w:t xml:space="preserve"> x 43.3</w:t>
      </w:r>
    </w:p>
    <w:p w14:paraId="4597D864" w14:textId="77777777" w:rsidR="008A4D09" w:rsidRDefault="008A4D09">
      <w:pPr>
        <w:pStyle w:val="BodyText"/>
        <w:rPr>
          <w:szCs w:val="24"/>
        </w:rPr>
      </w:pPr>
    </w:p>
    <w:p w14:paraId="6D55592E" w14:textId="77777777" w:rsidR="008A4D09" w:rsidRDefault="00CA4705">
      <w:pPr>
        <w:pStyle w:val="BodyText"/>
        <w:rPr>
          <w:szCs w:val="24"/>
        </w:rPr>
      </w:pPr>
      <w:r>
        <w:rPr>
          <w:szCs w:val="24"/>
        </w:rPr>
        <w:tab/>
        <w:t>where</w:t>
      </w:r>
      <w:proofErr w:type="gramStart"/>
      <w:r>
        <w:rPr>
          <w:szCs w:val="24"/>
        </w:rPr>
        <w:t>:</w:t>
      </w:r>
      <w:r>
        <w:rPr>
          <w:szCs w:val="24"/>
        </w:rPr>
        <w:tab/>
      </w:r>
      <w:r>
        <w:rPr>
          <w:szCs w:val="24"/>
        </w:rPr>
        <w:tab/>
        <w:t xml:space="preserve">t </w:t>
      </w:r>
      <w:r>
        <w:rPr>
          <w:szCs w:val="24"/>
        </w:rPr>
        <w:tab/>
      </w:r>
      <w:proofErr w:type="gramEnd"/>
      <w:r>
        <w:rPr>
          <w:szCs w:val="24"/>
        </w:rPr>
        <w:t>= Thickness (in.) (Plan thickness or individual layer thickness)</w:t>
      </w:r>
    </w:p>
    <w:p w14:paraId="7E4B2647" w14:textId="77777777" w:rsidR="008A4D09" w:rsidRDefault="00CA4705">
      <w:pPr>
        <w:pStyle w:val="BodyText"/>
        <w:rPr>
          <w:szCs w:val="24"/>
        </w:rPr>
      </w:pPr>
      <w:r>
        <w:rPr>
          <w:szCs w:val="24"/>
        </w:rPr>
        <w:tab/>
      </w:r>
      <w:r>
        <w:rPr>
          <w:szCs w:val="24"/>
        </w:rPr>
        <w:tab/>
      </w:r>
      <w:r>
        <w:rPr>
          <w:szCs w:val="24"/>
        </w:rPr>
        <w:tab/>
      </w:r>
      <w:proofErr w:type="spellStart"/>
      <w:r>
        <w:rPr>
          <w:szCs w:val="24"/>
        </w:rPr>
        <w:t>G</w:t>
      </w:r>
      <w:r>
        <w:rPr>
          <w:szCs w:val="24"/>
          <w:vertAlign w:val="subscript"/>
        </w:rPr>
        <w:t>mm</w:t>
      </w:r>
      <w:proofErr w:type="spellEnd"/>
      <w:r>
        <w:rPr>
          <w:szCs w:val="24"/>
          <w:vertAlign w:val="subscript"/>
        </w:rPr>
        <w:t xml:space="preserve"> </w:t>
      </w:r>
      <w:r>
        <w:rPr>
          <w:szCs w:val="24"/>
          <w:vertAlign w:val="subscript"/>
        </w:rPr>
        <w:tab/>
      </w:r>
      <w:r>
        <w:rPr>
          <w:szCs w:val="24"/>
        </w:rPr>
        <w:t>= Maximum specific gravity from the mix design</w:t>
      </w:r>
    </w:p>
    <w:p w14:paraId="240879A4" w14:textId="77777777" w:rsidR="008A4D09" w:rsidRDefault="008A4D09">
      <w:pPr>
        <w:pStyle w:val="BodyText"/>
        <w:rPr>
          <w:szCs w:val="24"/>
        </w:rPr>
      </w:pPr>
    </w:p>
    <w:p w14:paraId="742F4830" w14:textId="77777777" w:rsidR="008A4D09" w:rsidRDefault="00CA4705">
      <w:pPr>
        <w:pStyle w:val="BodyText"/>
        <w:rPr>
          <w:szCs w:val="24"/>
        </w:rPr>
      </w:pPr>
      <w:r>
        <w:rPr>
          <w:szCs w:val="24"/>
        </w:rPr>
        <w:tab/>
      </w:r>
      <w:r>
        <w:rPr>
          <w:szCs w:val="24"/>
        </w:rPr>
        <w:tab/>
        <w:t>For target purposes only, spread rate calculations shall be rounded to the nearest whole number.</w:t>
      </w:r>
    </w:p>
    <w:p w14:paraId="54F161CE" w14:textId="77777777" w:rsidR="008A4D09" w:rsidRDefault="00CA4705">
      <w:pPr>
        <w:pStyle w:val="BodyText"/>
        <w:rPr>
          <w:szCs w:val="24"/>
        </w:rPr>
      </w:pPr>
      <w:r>
        <w:rPr>
          <w:szCs w:val="24"/>
        </w:rPr>
        <w:tab/>
      </w:r>
      <w:r>
        <w:rPr>
          <w:szCs w:val="24"/>
        </w:rPr>
        <w:tab/>
      </w:r>
      <w:r>
        <w:rPr>
          <w:b/>
          <w:bCs/>
          <w:szCs w:val="24"/>
        </w:rPr>
        <w:t>334-1.5.1 Layer Thicknesses:</w:t>
      </w:r>
      <w:r>
        <w:rPr>
          <w:szCs w:val="24"/>
        </w:rPr>
        <w:t xml:space="preserve"> Unless otherwise called for in the Contract Documents, the allowable layer thicknesses for asphalt concrete mixtures are as follows:</w:t>
      </w:r>
    </w:p>
    <w:p w14:paraId="4B420C27" w14:textId="5B594DCD" w:rsidR="008A4D09" w:rsidRDefault="00CA4705">
      <w:pPr>
        <w:pStyle w:val="BodyText"/>
        <w:tabs>
          <w:tab w:val="clear" w:pos="720"/>
          <w:tab w:val="right" w:leader="dot" w:pos="7920"/>
        </w:tabs>
        <w:ind w:firstLine="1440"/>
        <w:rPr>
          <w:szCs w:val="24"/>
        </w:rPr>
      </w:pPr>
      <w:r>
        <w:rPr>
          <w:szCs w:val="24"/>
        </w:rPr>
        <w:t>Type SP-9.5, FC-9.5</w:t>
      </w:r>
      <w:r>
        <w:rPr>
          <w:szCs w:val="24"/>
        </w:rPr>
        <w:tab/>
        <w:t>1 to 1-1/2 inches</w:t>
      </w:r>
    </w:p>
    <w:p w14:paraId="3FD918B9" w14:textId="3B061024" w:rsidR="008A4D09" w:rsidRDefault="00CA4705">
      <w:pPr>
        <w:pStyle w:val="BodyText"/>
        <w:tabs>
          <w:tab w:val="clear" w:pos="720"/>
          <w:tab w:val="right" w:leader="dot" w:pos="7920"/>
        </w:tabs>
        <w:ind w:firstLine="1440"/>
        <w:rPr>
          <w:szCs w:val="24"/>
        </w:rPr>
      </w:pPr>
      <w:r>
        <w:rPr>
          <w:szCs w:val="24"/>
        </w:rPr>
        <w:t>Type SP-12.5</w:t>
      </w:r>
      <w:r>
        <w:rPr>
          <w:szCs w:val="24"/>
        </w:rPr>
        <w:tab/>
        <w:t>1-1/2 to 3 inches</w:t>
      </w:r>
    </w:p>
    <w:p w14:paraId="069641E9" w14:textId="2BCCFC9A" w:rsidR="008A4D09" w:rsidRDefault="00CA4705">
      <w:pPr>
        <w:pStyle w:val="BodyText"/>
        <w:tabs>
          <w:tab w:val="clear" w:pos="720"/>
          <w:tab w:val="right" w:leader="dot" w:pos="7920"/>
        </w:tabs>
        <w:ind w:firstLine="1440"/>
        <w:rPr>
          <w:szCs w:val="24"/>
        </w:rPr>
      </w:pPr>
      <w:r>
        <w:rPr>
          <w:szCs w:val="24"/>
        </w:rPr>
        <w:t>Type FC-12.5</w:t>
      </w:r>
      <w:r>
        <w:rPr>
          <w:szCs w:val="24"/>
        </w:rPr>
        <w:tab/>
        <w:t>1-1/2 to 2-1/2 inches</w:t>
      </w:r>
    </w:p>
    <w:p w14:paraId="4D6B2CCF" w14:textId="77777777" w:rsidR="008A4D09" w:rsidRDefault="00CA4705">
      <w:pPr>
        <w:pStyle w:val="BodyText"/>
        <w:rPr>
          <w:szCs w:val="24"/>
        </w:rPr>
      </w:pPr>
      <w:r>
        <w:rPr>
          <w:szCs w:val="24"/>
        </w:rPr>
        <w:tab/>
      </w:r>
      <w:r>
        <w:rPr>
          <w:szCs w:val="24"/>
        </w:rPr>
        <w:tab/>
      </w:r>
      <w:r>
        <w:rPr>
          <w:b/>
          <w:bCs/>
          <w:szCs w:val="24"/>
        </w:rPr>
        <w:t>334-1.5.2 Additional Requirements:</w:t>
      </w:r>
      <w:r>
        <w:rPr>
          <w:szCs w:val="24"/>
        </w:rPr>
        <w:t xml:space="preserve"> The following requirements also apply to asphalt Concrete mixtures:</w:t>
      </w:r>
    </w:p>
    <w:p w14:paraId="23A2DEA3" w14:textId="5AC9FFBC" w:rsidR="008A4D09" w:rsidRDefault="00CA4705">
      <w:pPr>
        <w:pStyle w:val="BodyText"/>
        <w:rPr>
          <w:szCs w:val="24"/>
        </w:rPr>
      </w:pPr>
      <w:r>
        <w:rPr>
          <w:szCs w:val="24"/>
        </w:rPr>
        <w:tab/>
      </w:r>
      <w:r>
        <w:rPr>
          <w:szCs w:val="24"/>
        </w:rPr>
        <w:tab/>
      </w:r>
      <w:r>
        <w:rPr>
          <w:szCs w:val="24"/>
        </w:rPr>
        <w:tab/>
        <w:t xml:space="preserve">1. When construction includes the paving of adjacent shoulders (less than or equal to 5 feet wide), the layer thickness for the upper pavement layer and shoulder </w:t>
      </w:r>
      <w:r w:rsidR="00EA15CD">
        <w:rPr>
          <w:szCs w:val="24"/>
        </w:rPr>
        <w:t>must</w:t>
      </w:r>
      <w:r>
        <w:rPr>
          <w:szCs w:val="24"/>
        </w:rPr>
        <w:t xml:space="preserve"> be the same and paved in a single pass, unless otherwise called for in the Contract Documents.</w:t>
      </w:r>
    </w:p>
    <w:p w14:paraId="3A43DA19" w14:textId="77777777" w:rsidR="008A4D09" w:rsidRDefault="00CA4705">
      <w:pPr>
        <w:pStyle w:val="BodyText"/>
        <w:rPr>
          <w:szCs w:val="24"/>
        </w:rPr>
      </w:pPr>
      <w:r>
        <w:rPr>
          <w:szCs w:val="24"/>
        </w:rPr>
        <w:tab/>
      </w:r>
      <w:r>
        <w:rPr>
          <w:szCs w:val="24"/>
        </w:rPr>
        <w:tab/>
      </w:r>
      <w:r>
        <w:rPr>
          <w:szCs w:val="24"/>
        </w:rPr>
        <w:tab/>
        <w:t xml:space="preserve">2. For overbuild layers, use the minimum and maximum layer thicknesses as specified above unless called for differently in the Contract Documents. On variable thickness </w:t>
      </w:r>
      <w:proofErr w:type="gramStart"/>
      <w:r>
        <w:rPr>
          <w:szCs w:val="24"/>
        </w:rPr>
        <w:t>overbuild</w:t>
      </w:r>
      <w:proofErr w:type="gramEnd"/>
      <w:r>
        <w:rPr>
          <w:szCs w:val="24"/>
        </w:rPr>
        <w:t xml:space="preserve"> layers, the minimum and maximum allowable thicknesses will be as specified below, unless called for differently in the Contract Documents.</w:t>
      </w:r>
    </w:p>
    <w:p w14:paraId="092BBE83" w14:textId="6BCF5FD0" w:rsidR="006B1F33" w:rsidRDefault="006B1F33" w:rsidP="00DA37E3">
      <w:pPr>
        <w:pStyle w:val="BodyText"/>
        <w:tabs>
          <w:tab w:val="clear" w:pos="720"/>
          <w:tab w:val="right" w:leader="dot" w:pos="7920"/>
        </w:tabs>
        <w:ind w:firstLine="2160"/>
        <w:rPr>
          <w:rFonts w:eastAsia="Calibri"/>
        </w:rPr>
      </w:pPr>
      <w:r>
        <w:rPr>
          <w:szCs w:val="24"/>
        </w:rPr>
        <w:t>Type SP-9.5</w:t>
      </w:r>
      <w:r>
        <w:rPr>
          <w:szCs w:val="24"/>
        </w:rPr>
        <w:tab/>
      </w:r>
      <w:r>
        <w:rPr>
          <w:rFonts w:eastAsia="Calibri"/>
        </w:rPr>
        <w:t>3/8 to 2 inches</w:t>
      </w:r>
    </w:p>
    <w:p w14:paraId="6459F6F3" w14:textId="25604B96" w:rsidR="006B1F33" w:rsidRDefault="006B1F33" w:rsidP="00DA37E3">
      <w:pPr>
        <w:pStyle w:val="BodyText"/>
        <w:tabs>
          <w:tab w:val="clear" w:pos="720"/>
          <w:tab w:val="right" w:leader="dot" w:pos="7920"/>
        </w:tabs>
        <w:ind w:firstLine="2160"/>
        <w:rPr>
          <w:szCs w:val="24"/>
        </w:rPr>
      </w:pPr>
      <w:r>
        <w:rPr>
          <w:szCs w:val="24"/>
        </w:rPr>
        <w:t>Type SP-12.5</w:t>
      </w:r>
      <w:r>
        <w:rPr>
          <w:szCs w:val="24"/>
        </w:rPr>
        <w:tab/>
        <w:t>1/2 to 3 inches</w:t>
      </w:r>
    </w:p>
    <w:p w14:paraId="71F4A0C5" w14:textId="77777777" w:rsidR="008A4D09" w:rsidRDefault="00CA4705" w:rsidP="00EA15CD">
      <w:pPr>
        <w:pStyle w:val="BodyText"/>
        <w:jc w:val="center"/>
        <w:rPr>
          <w:szCs w:val="24"/>
        </w:rPr>
      </w:pPr>
      <w:r>
        <w:rPr>
          <w:rFonts w:eastAsia="Calibri"/>
          <w:color w:val="000000"/>
          <w:szCs w:val="24"/>
        </w:rPr>
        <w:tab/>
      </w:r>
      <w:r>
        <w:rPr>
          <w:rFonts w:eastAsia="Calibri"/>
          <w:color w:val="000000"/>
          <w:szCs w:val="24"/>
        </w:rPr>
        <w:tab/>
      </w:r>
      <w:r>
        <w:rPr>
          <w:rFonts w:eastAsia="Calibri"/>
          <w:color w:val="000000"/>
          <w:szCs w:val="24"/>
        </w:rPr>
        <w:tab/>
        <w:t>3. Variable thickness overbuild layers constructed using a Type SP-9.5 or SP-12.5 mixtures may be tapered to zero thickness provided the contract documents require a minimum of 1-1/2 inches of dense-graded mix placed over the variable thickness overbuild layer.</w:t>
      </w:r>
    </w:p>
    <w:p w14:paraId="50C893A3" w14:textId="77777777" w:rsidR="008A4D09" w:rsidRDefault="00CA4705">
      <w:pPr>
        <w:pStyle w:val="BodyText"/>
        <w:rPr>
          <w:szCs w:val="24"/>
        </w:rPr>
      </w:pPr>
      <w:r>
        <w:rPr>
          <w:b/>
          <w:szCs w:val="24"/>
        </w:rPr>
        <w:tab/>
        <w:t>334-1.6 Weight of Mixture:</w:t>
      </w:r>
      <w:r>
        <w:rPr>
          <w:szCs w:val="24"/>
        </w:rPr>
        <w:t xml:space="preserve"> The weight of the mixture shall be determined as provided in 320-3.2 </w:t>
      </w:r>
      <w:r>
        <w:rPr>
          <w:color w:val="000000"/>
          <w:szCs w:val="24"/>
        </w:rPr>
        <w:t>of the Florida Department of Transportation (FDOT) specifications.</w:t>
      </w:r>
    </w:p>
    <w:p w14:paraId="39D4A79C" w14:textId="77777777" w:rsidR="008A4D09" w:rsidRDefault="00CA4705">
      <w:pPr>
        <w:pStyle w:val="Article"/>
      </w:pPr>
      <w:r>
        <w:t>334-2 Materials.</w:t>
      </w:r>
    </w:p>
    <w:p w14:paraId="2E2EEBE2" w14:textId="77777777" w:rsidR="008A4D09" w:rsidRDefault="00CA4705">
      <w:pPr>
        <w:pStyle w:val="BodyText"/>
        <w:rPr>
          <w:szCs w:val="24"/>
        </w:rPr>
      </w:pPr>
      <w:r>
        <w:rPr>
          <w:b/>
          <w:szCs w:val="24"/>
        </w:rPr>
        <w:tab/>
        <w:t>334-2.1 Superpave Asphalt Binder:</w:t>
      </w:r>
      <w:r>
        <w:rPr>
          <w:szCs w:val="24"/>
        </w:rPr>
        <w:t xml:space="preserve"> Unless specified elsewhere in the Contract Documents, use an asphalt binder grade as determined from Table 334-2. If the Contract calls for an alternative binder, meet the requirements of FDOT Specification 916.</w:t>
      </w:r>
    </w:p>
    <w:p w14:paraId="591BF945" w14:textId="77777777" w:rsidR="008A4D09" w:rsidRDefault="00CA4705">
      <w:pPr>
        <w:pStyle w:val="BodyText"/>
        <w:rPr>
          <w:szCs w:val="24"/>
        </w:rPr>
      </w:pPr>
      <w:r>
        <w:rPr>
          <w:szCs w:val="24"/>
        </w:rPr>
        <w:tab/>
      </w:r>
      <w:r>
        <w:rPr>
          <w:b/>
          <w:szCs w:val="24"/>
        </w:rPr>
        <w:t>334-2.2 Aggregate:</w:t>
      </w:r>
      <w:r>
        <w:rPr>
          <w:szCs w:val="24"/>
        </w:rPr>
        <w:t xml:space="preserve"> Use aggregate capable of producing a quality pavement. </w:t>
      </w:r>
      <w:r>
        <w:rPr>
          <w:sz w:val="23"/>
          <w:szCs w:val="23"/>
        </w:rPr>
        <w:t>Size, grade and combine the aggregate fractions to meet the grading and physical properties of the mix design. Aggregates from various sources may be combined.</w:t>
      </w:r>
    </w:p>
    <w:p w14:paraId="2136A070" w14:textId="77777777" w:rsidR="008A4D09" w:rsidRDefault="00CA4705">
      <w:pPr>
        <w:pStyle w:val="BodyText"/>
        <w:rPr>
          <w:szCs w:val="24"/>
        </w:rPr>
      </w:pPr>
      <w:r>
        <w:rPr>
          <w:szCs w:val="24"/>
        </w:rPr>
        <w:tab/>
      </w:r>
      <w:r>
        <w:rPr>
          <w:szCs w:val="24"/>
        </w:rPr>
        <w:tab/>
        <w:t xml:space="preserve">For Type FC mixes, use an aggregate blend that consists of approved friction </w:t>
      </w:r>
      <w:proofErr w:type="gramStart"/>
      <w:r>
        <w:rPr>
          <w:szCs w:val="24"/>
        </w:rPr>
        <w:t>course</w:t>
      </w:r>
      <w:proofErr w:type="gramEnd"/>
      <w:r>
        <w:rPr>
          <w:szCs w:val="24"/>
        </w:rPr>
        <w:t xml:space="preserve"> aggregates that consists of crushed granite, crushed granitic gneiss, crushed limestone,</w:t>
      </w:r>
      <w:r>
        <w:rPr>
          <w:sz w:val="23"/>
          <w:szCs w:val="23"/>
        </w:rPr>
        <w:t xml:space="preserve"> crushed shell rock, </w:t>
      </w:r>
      <w:r>
        <w:rPr>
          <w:szCs w:val="24"/>
        </w:rPr>
        <w:t xml:space="preserve">or a combination of the above. As an exception, mixes that contain a minimum of 60% of approved friction </w:t>
      </w:r>
      <w:proofErr w:type="gramStart"/>
      <w:r>
        <w:rPr>
          <w:szCs w:val="24"/>
        </w:rPr>
        <w:t>course</w:t>
      </w:r>
      <w:proofErr w:type="gramEnd"/>
      <w:r>
        <w:rPr>
          <w:szCs w:val="24"/>
        </w:rPr>
        <w:t xml:space="preserve"> aggregates of crushed granite and/or crushed gneiss may either contain: up to 40% fine aggregate from other sources of aggregate not approved for friction courses or a combination of up to 20% RAP and the remaining fine </w:t>
      </w:r>
      <w:r>
        <w:rPr>
          <w:szCs w:val="24"/>
        </w:rPr>
        <w:lastRenderedPageBreak/>
        <w:t xml:space="preserve">aggregate from other sources of aggregate not approved for friction courses. Mixtures utilizing High Polymer (HP) binder are not allowed to contain RAP. </w:t>
      </w:r>
    </w:p>
    <w:p w14:paraId="47B5B065" w14:textId="77777777" w:rsidR="008A4D09" w:rsidRDefault="00CA4705">
      <w:pPr>
        <w:pStyle w:val="BodyText"/>
        <w:rPr>
          <w:szCs w:val="24"/>
        </w:rPr>
      </w:pPr>
      <w:r>
        <w:rPr>
          <w:szCs w:val="24"/>
        </w:rPr>
        <w:tab/>
      </w:r>
      <w:r>
        <w:rPr>
          <w:szCs w:val="24"/>
        </w:rPr>
        <w:tab/>
        <w:t>A list of aggregates approved for use in friction courses may be available on the FDOT’s State Materials Office website. The URL for obtaining this information, if available, is:</w:t>
      </w:r>
      <w:r>
        <w:t xml:space="preserve"> </w:t>
      </w:r>
      <w:hyperlink r:id="rId6" w:history="1">
        <w:r>
          <w:rPr>
            <w:rStyle w:val="Hyperlink"/>
            <w:rFonts w:eastAsia="Calibri"/>
          </w:rPr>
          <w:t>https://mac.fdot.gov/</w:t>
        </w:r>
      </w:hyperlink>
      <w:r>
        <w:rPr>
          <w:szCs w:val="24"/>
        </w:rPr>
        <w:t>.</w:t>
      </w:r>
    </w:p>
    <w:p w14:paraId="203CE604" w14:textId="77777777" w:rsidR="008A4D09" w:rsidRDefault="00CA4705">
      <w:pPr>
        <w:pStyle w:val="BodyText"/>
        <w:rPr>
          <w:b/>
          <w:szCs w:val="24"/>
        </w:rPr>
      </w:pPr>
      <w:r>
        <w:rPr>
          <w:b/>
          <w:szCs w:val="24"/>
        </w:rPr>
        <w:tab/>
        <w:t>334-2.3 Reclaimed Asphalt Pavement (RAP) Material:</w:t>
      </w:r>
    </w:p>
    <w:p w14:paraId="5B50DA54" w14:textId="77777777" w:rsidR="008A4D09" w:rsidRDefault="00CA4705">
      <w:pPr>
        <w:pStyle w:val="BodyText"/>
        <w:rPr>
          <w:szCs w:val="24"/>
        </w:rPr>
      </w:pPr>
      <w:r>
        <w:rPr>
          <w:szCs w:val="24"/>
        </w:rPr>
        <w:tab/>
      </w:r>
      <w:r>
        <w:rPr>
          <w:szCs w:val="24"/>
        </w:rPr>
        <w:tab/>
      </w:r>
      <w:r>
        <w:rPr>
          <w:b/>
          <w:szCs w:val="24"/>
        </w:rPr>
        <w:t>334-2.3.1 General requirements:</w:t>
      </w:r>
      <w:r>
        <w:rPr>
          <w:szCs w:val="24"/>
        </w:rPr>
        <w:t xml:space="preserve"> RAP may be used as a component of the asphalt mixture subject to the following requirements:</w:t>
      </w:r>
    </w:p>
    <w:p w14:paraId="47D4AF2B" w14:textId="245AF2B3" w:rsidR="008A4D09" w:rsidRDefault="00CA4705">
      <w:pPr>
        <w:pStyle w:val="BodyText"/>
        <w:rPr>
          <w:szCs w:val="24"/>
        </w:rPr>
      </w:pPr>
      <w:r>
        <w:rPr>
          <w:szCs w:val="24"/>
        </w:rPr>
        <w:tab/>
      </w:r>
      <w:r>
        <w:rPr>
          <w:szCs w:val="24"/>
        </w:rPr>
        <w:tab/>
      </w:r>
      <w:r>
        <w:rPr>
          <w:szCs w:val="24"/>
        </w:rPr>
        <w:tab/>
        <w:t xml:space="preserve">1. </w:t>
      </w:r>
      <w:r w:rsidR="00EA15CD">
        <w:rPr>
          <w:szCs w:val="24"/>
        </w:rPr>
        <w:t>When using a PG 76-22 asphalt binder in friction course mixtures, limit the amount of RAP material used in the mix to a maximum of 20% by weight of total aggregate. As an exception, amounts greater than 20% RAP by weight of total aggregate can be used if no more than 20% by weight of the total asphalt binder comes from the RAP material. When using a PG 76-22 asphalt binder in structural course mixtures, refer to 334-3.</w:t>
      </w:r>
    </w:p>
    <w:p w14:paraId="4550D89E" w14:textId="77777777" w:rsidR="008A4D09" w:rsidRDefault="00CA4705">
      <w:pPr>
        <w:pStyle w:val="BodyText"/>
        <w:rPr>
          <w:szCs w:val="24"/>
        </w:rPr>
      </w:pPr>
      <w:r>
        <w:rPr>
          <w:szCs w:val="24"/>
        </w:rPr>
        <w:tab/>
      </w:r>
      <w:r>
        <w:rPr>
          <w:szCs w:val="24"/>
        </w:rPr>
        <w:tab/>
      </w:r>
      <w:r>
        <w:rPr>
          <w:szCs w:val="24"/>
        </w:rPr>
        <w:tab/>
        <w:t>2. Assume full responsibility for the design, production and construction of asphalt mixes which incorporate RAP as a component material.</w:t>
      </w:r>
    </w:p>
    <w:p w14:paraId="4992F0A0" w14:textId="77777777" w:rsidR="008A4D09" w:rsidRDefault="00CA4705">
      <w:pPr>
        <w:pStyle w:val="BodyText"/>
        <w:rPr>
          <w:szCs w:val="24"/>
        </w:rPr>
      </w:pPr>
      <w:r>
        <w:rPr>
          <w:szCs w:val="24"/>
        </w:rPr>
        <w:tab/>
      </w:r>
      <w:r>
        <w:rPr>
          <w:szCs w:val="24"/>
        </w:rPr>
        <w:tab/>
      </w:r>
      <w:r>
        <w:rPr>
          <w:szCs w:val="24"/>
        </w:rPr>
        <w:tab/>
        <w:t>3. Provide stockpiled RAP material that is reasonably consistent in characteristics and contains no aggregate particles which are soft or conglomerates of fines.</w:t>
      </w:r>
    </w:p>
    <w:p w14:paraId="2526120D" w14:textId="77777777" w:rsidR="008A4D09" w:rsidRDefault="00CA4705">
      <w:pPr>
        <w:pStyle w:val="BodyText"/>
        <w:rPr>
          <w:szCs w:val="24"/>
        </w:rPr>
      </w:pPr>
      <w:r>
        <w:rPr>
          <w:szCs w:val="24"/>
        </w:rPr>
        <w:tab/>
      </w:r>
      <w:r>
        <w:rPr>
          <w:szCs w:val="24"/>
        </w:rPr>
        <w:tab/>
      </w:r>
      <w:r>
        <w:rPr>
          <w:szCs w:val="24"/>
        </w:rPr>
        <w:tab/>
        <w:t>4. Provide RAP material having a minimum average asphalt content of 4.0% by weight of total mix. As an exception, when using fractionated RAP, the minimum average asphalt binder content for the coarse portion of the RAP shall be 2.5% by weight of the coarse portion of the RAP. The coarse portion of the RAP shall be the portion of the RAP retained on the No. 4 sieve. The Engineer may sample the stockpile to verify that this requirement is met.</w:t>
      </w:r>
    </w:p>
    <w:p w14:paraId="75EE64F2" w14:textId="501D8781" w:rsidR="00437382" w:rsidRDefault="00CA4705">
      <w:pPr>
        <w:pStyle w:val="BodyText"/>
        <w:rPr>
          <w:szCs w:val="24"/>
        </w:rPr>
      </w:pPr>
      <w:r>
        <w:rPr>
          <w:szCs w:val="24"/>
        </w:rPr>
        <w:tab/>
      </w:r>
      <w:r>
        <w:rPr>
          <w:szCs w:val="24"/>
        </w:rPr>
        <w:tab/>
      </w:r>
      <w:r>
        <w:rPr>
          <w:szCs w:val="24"/>
        </w:rPr>
        <w:tab/>
      </w:r>
      <w:r w:rsidR="00EA15CD">
        <w:rPr>
          <w:szCs w:val="24"/>
        </w:rPr>
        <w:t>5</w:t>
      </w:r>
      <w:r>
        <w:rPr>
          <w:szCs w:val="24"/>
        </w:rPr>
        <w:t xml:space="preserve">. </w:t>
      </w:r>
      <w:r>
        <w:rPr>
          <w:sz w:val="23"/>
          <w:szCs w:val="23"/>
        </w:rPr>
        <w:t xml:space="preserve">When using RAP as a component material, prevent any oversized RAP from being incorporated into the completed mixture </w:t>
      </w:r>
      <w:proofErr w:type="gramStart"/>
      <w:r>
        <w:rPr>
          <w:sz w:val="23"/>
          <w:szCs w:val="23"/>
        </w:rPr>
        <w:t xml:space="preserve">by the </w:t>
      </w:r>
      <w:r>
        <w:rPr>
          <w:szCs w:val="24"/>
        </w:rPr>
        <w:t>use of</w:t>
      </w:r>
      <w:proofErr w:type="gramEnd"/>
      <w:r w:rsidR="00437382" w:rsidRPr="00D314E8">
        <w:rPr>
          <w:szCs w:val="24"/>
        </w:rPr>
        <w:t>:</w:t>
      </w:r>
    </w:p>
    <w:p w14:paraId="3CE2C8BE" w14:textId="77777777" w:rsidR="00437382" w:rsidRDefault="00437382">
      <w:pPr>
        <w:pStyle w:val="BodyText"/>
        <w:rPr>
          <w:szCs w:val="24"/>
        </w:rPr>
      </w:pPr>
      <w:r>
        <w:rPr>
          <w:szCs w:val="24"/>
        </w:rPr>
        <w:tab/>
      </w:r>
      <w:r>
        <w:rPr>
          <w:szCs w:val="24"/>
        </w:rPr>
        <w:tab/>
      </w:r>
      <w:r>
        <w:rPr>
          <w:szCs w:val="24"/>
        </w:rPr>
        <w:tab/>
      </w:r>
      <w:r>
        <w:rPr>
          <w:szCs w:val="24"/>
        </w:rPr>
        <w:tab/>
        <w:t>a.</w:t>
      </w:r>
      <w:r w:rsidR="00CA4705">
        <w:rPr>
          <w:szCs w:val="24"/>
        </w:rPr>
        <w:t xml:space="preserve"> a grizzly or grid over the RAP bin;</w:t>
      </w:r>
    </w:p>
    <w:p w14:paraId="1A3CD4B2" w14:textId="4752E7E7" w:rsidR="00437382" w:rsidRDefault="00437382">
      <w:pPr>
        <w:pStyle w:val="BodyText"/>
        <w:rPr>
          <w:szCs w:val="24"/>
        </w:rPr>
      </w:pPr>
      <w:r>
        <w:rPr>
          <w:szCs w:val="24"/>
        </w:rPr>
        <w:tab/>
      </w:r>
      <w:r>
        <w:rPr>
          <w:szCs w:val="24"/>
        </w:rPr>
        <w:tab/>
      </w:r>
      <w:r>
        <w:rPr>
          <w:szCs w:val="24"/>
        </w:rPr>
        <w:tab/>
      </w:r>
      <w:r>
        <w:rPr>
          <w:szCs w:val="24"/>
        </w:rPr>
        <w:tab/>
        <w:t>b.</w:t>
      </w:r>
      <w:r w:rsidR="00CA4705">
        <w:rPr>
          <w:szCs w:val="24"/>
        </w:rPr>
        <w:t xml:space="preserve"> in-line roller or impact crusher;</w:t>
      </w:r>
    </w:p>
    <w:p w14:paraId="1793A836" w14:textId="77777777" w:rsidR="005243DF" w:rsidRDefault="00437382">
      <w:pPr>
        <w:pStyle w:val="BodyText"/>
        <w:rPr>
          <w:szCs w:val="24"/>
        </w:rPr>
      </w:pPr>
      <w:r>
        <w:rPr>
          <w:szCs w:val="24"/>
        </w:rPr>
        <w:tab/>
      </w:r>
      <w:r>
        <w:rPr>
          <w:szCs w:val="24"/>
        </w:rPr>
        <w:tab/>
      </w:r>
      <w:r>
        <w:rPr>
          <w:szCs w:val="24"/>
        </w:rPr>
        <w:tab/>
      </w:r>
      <w:r>
        <w:rPr>
          <w:szCs w:val="24"/>
        </w:rPr>
        <w:tab/>
      </w:r>
      <w:r w:rsidR="005243DF">
        <w:rPr>
          <w:szCs w:val="24"/>
        </w:rPr>
        <w:t>c</w:t>
      </w:r>
      <w:r>
        <w:rPr>
          <w:szCs w:val="24"/>
        </w:rPr>
        <w:t>.</w:t>
      </w:r>
      <w:r w:rsidR="00CA4705">
        <w:rPr>
          <w:szCs w:val="24"/>
        </w:rPr>
        <w:t xml:space="preserve"> screen; or other suitable means.</w:t>
      </w:r>
    </w:p>
    <w:p w14:paraId="408F5417" w14:textId="0AD3325D" w:rsidR="008A4D09" w:rsidRDefault="005243DF">
      <w:pPr>
        <w:pStyle w:val="BodyText"/>
        <w:rPr>
          <w:szCs w:val="24"/>
        </w:rPr>
      </w:pPr>
      <w:r>
        <w:rPr>
          <w:szCs w:val="24"/>
        </w:rPr>
        <w:tab/>
      </w:r>
      <w:r>
        <w:rPr>
          <w:szCs w:val="24"/>
        </w:rPr>
        <w:tab/>
      </w:r>
      <w:r>
        <w:rPr>
          <w:szCs w:val="24"/>
        </w:rPr>
        <w:tab/>
      </w:r>
      <w:r w:rsidR="00CA4705">
        <w:rPr>
          <w:szCs w:val="24"/>
        </w:rPr>
        <w:t xml:space="preserve"> If oversized RAP material appears in the completed recycled mix, take the appropriate corrective action immediately. If the appropriate corrective actions are not immediately taken, stop plant operations.</w:t>
      </w:r>
    </w:p>
    <w:p w14:paraId="5599C840" w14:textId="17E44ED6" w:rsidR="008A4D09" w:rsidRDefault="00CA4705">
      <w:pPr>
        <w:pStyle w:val="BodyText"/>
        <w:rPr>
          <w:szCs w:val="24"/>
        </w:rPr>
      </w:pPr>
      <w:r>
        <w:rPr>
          <w:szCs w:val="24"/>
        </w:rPr>
        <w:tab/>
      </w:r>
      <w:r>
        <w:rPr>
          <w:szCs w:val="24"/>
        </w:rPr>
        <w:tab/>
      </w:r>
      <w:r>
        <w:rPr>
          <w:b/>
          <w:szCs w:val="24"/>
        </w:rPr>
        <w:t xml:space="preserve">334-2.3.2 Material Characterization: </w:t>
      </w:r>
      <w:r>
        <w:rPr>
          <w:szCs w:val="24"/>
        </w:rPr>
        <w:t xml:space="preserve">Assume responsibility for establishing the asphalt binder content, </w:t>
      </w:r>
      <w:proofErr w:type="gramStart"/>
      <w:r>
        <w:rPr>
          <w:szCs w:val="24"/>
        </w:rPr>
        <w:t>gradation,</w:t>
      </w:r>
      <w:r w:rsidR="000F715E" w:rsidRPr="000F715E" w:rsidDel="00747C04">
        <w:rPr>
          <w:szCs w:val="24"/>
        </w:rPr>
        <w:t xml:space="preserve"> </w:t>
      </w:r>
      <w:r>
        <w:rPr>
          <w:szCs w:val="24"/>
        </w:rPr>
        <w:t xml:space="preserve"> and</w:t>
      </w:r>
      <w:proofErr w:type="gramEnd"/>
      <w:r>
        <w:rPr>
          <w:szCs w:val="24"/>
        </w:rPr>
        <w:t xml:space="preserve"> bulk specific gravity (</w:t>
      </w:r>
      <w:proofErr w:type="spellStart"/>
      <w:r>
        <w:rPr>
          <w:szCs w:val="24"/>
        </w:rPr>
        <w:t>G</w:t>
      </w:r>
      <w:r>
        <w:rPr>
          <w:szCs w:val="24"/>
          <w:vertAlign w:val="subscript"/>
        </w:rPr>
        <w:t>sb</w:t>
      </w:r>
      <w:proofErr w:type="spellEnd"/>
      <w:r>
        <w:rPr>
          <w:szCs w:val="24"/>
        </w:rPr>
        <w:t>) of the RAP material based on a representative sampling of the material</w:t>
      </w:r>
      <w:r w:rsidR="000F715E">
        <w:rPr>
          <w:szCs w:val="24"/>
        </w:rPr>
        <w:t xml:space="preserve"> by roadway cores or stockpile samples. For roadway core samples, assume responsibility for the degradation that will occur during the milling </w:t>
      </w:r>
      <w:proofErr w:type="gramStart"/>
      <w:r w:rsidR="000F715E">
        <w:rPr>
          <w:szCs w:val="24"/>
        </w:rPr>
        <w:t>operation.</w:t>
      </w:r>
      <w:r>
        <w:rPr>
          <w:szCs w:val="24"/>
        </w:rPr>
        <w:t>.</w:t>
      </w:r>
      <w:proofErr w:type="gramEnd"/>
    </w:p>
    <w:p w14:paraId="07A42D8C" w14:textId="77777777" w:rsidR="008A4D09" w:rsidRDefault="00CA4705">
      <w:pPr>
        <w:pStyle w:val="BodyText"/>
        <w:rPr>
          <w:szCs w:val="24"/>
        </w:rPr>
      </w:pPr>
      <w:r>
        <w:rPr>
          <w:szCs w:val="24"/>
        </w:rPr>
        <w:tab/>
      </w:r>
      <w:r>
        <w:rPr>
          <w:szCs w:val="24"/>
        </w:rPr>
        <w:tab/>
      </w:r>
      <w:r>
        <w:rPr>
          <w:b/>
          <w:bCs/>
          <w:szCs w:val="24"/>
        </w:rPr>
        <w:t>334-2.3.3 Asphalt Binder for Mixes with RAP:</w:t>
      </w:r>
      <w:r>
        <w:rPr>
          <w:szCs w:val="24"/>
        </w:rPr>
        <w:t xml:space="preserve"> Select the appropriate asphalt binder grade based on Table 334-2</w:t>
      </w:r>
    </w:p>
    <w:p w14:paraId="407415B9" w14:textId="77777777" w:rsidR="008A4D09" w:rsidRDefault="008A4D09">
      <w:pPr>
        <w:pStyle w:val="BodyText"/>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5"/>
        <w:gridCol w:w="4675"/>
      </w:tblGrid>
      <w:tr w:rsidR="008A4D09" w14:paraId="4B4AB736" w14:textId="77777777">
        <w:trPr>
          <w:trHeight w:val="240"/>
          <w:tblHeader/>
          <w:jc w:val="center"/>
        </w:trPr>
        <w:tc>
          <w:tcPr>
            <w:tcW w:w="5000" w:type="pct"/>
            <w:gridSpan w:val="2"/>
          </w:tcPr>
          <w:p w14:paraId="40722715" w14:textId="77777777" w:rsidR="008A4D09" w:rsidRDefault="00CA4705">
            <w:pPr>
              <w:pStyle w:val="BodyText"/>
              <w:keepLines/>
              <w:jc w:val="center"/>
              <w:rPr>
                <w:szCs w:val="24"/>
              </w:rPr>
            </w:pPr>
            <w:r>
              <w:rPr>
                <w:szCs w:val="24"/>
              </w:rPr>
              <w:t>Table 334-2</w:t>
            </w:r>
          </w:p>
          <w:p w14:paraId="76523867" w14:textId="77777777" w:rsidR="008A4D09" w:rsidRDefault="00CA4705">
            <w:pPr>
              <w:pStyle w:val="BodyText"/>
              <w:keepLines/>
              <w:jc w:val="center"/>
              <w:rPr>
                <w:szCs w:val="24"/>
              </w:rPr>
            </w:pPr>
            <w:r>
              <w:rPr>
                <w:szCs w:val="24"/>
              </w:rPr>
              <w:t>Asphalt Binder Grade for Mixes Containing RAP</w:t>
            </w:r>
          </w:p>
        </w:tc>
      </w:tr>
      <w:tr w:rsidR="008A4D09" w14:paraId="645BBD4C" w14:textId="77777777">
        <w:trPr>
          <w:trHeight w:val="240"/>
          <w:tblHeader/>
          <w:jc w:val="center"/>
        </w:trPr>
        <w:tc>
          <w:tcPr>
            <w:tcW w:w="2500" w:type="pct"/>
          </w:tcPr>
          <w:p w14:paraId="0C636CC2" w14:textId="77777777" w:rsidR="008A4D09" w:rsidRDefault="00CA4705">
            <w:pPr>
              <w:pStyle w:val="BodyText"/>
              <w:keepLines/>
              <w:jc w:val="center"/>
              <w:rPr>
                <w:szCs w:val="24"/>
              </w:rPr>
            </w:pPr>
            <w:r>
              <w:rPr>
                <w:szCs w:val="24"/>
              </w:rPr>
              <w:t>Percent RAP</w:t>
            </w:r>
          </w:p>
        </w:tc>
        <w:tc>
          <w:tcPr>
            <w:tcW w:w="2500" w:type="pct"/>
          </w:tcPr>
          <w:p w14:paraId="5D5015A8" w14:textId="77777777" w:rsidR="008A4D09" w:rsidRDefault="00CA4705">
            <w:pPr>
              <w:pStyle w:val="BodyText"/>
              <w:keepLines/>
              <w:jc w:val="center"/>
              <w:rPr>
                <w:szCs w:val="24"/>
              </w:rPr>
            </w:pPr>
            <w:r>
              <w:rPr>
                <w:szCs w:val="24"/>
              </w:rPr>
              <w:t>Asphalt Binder Grade</w:t>
            </w:r>
          </w:p>
        </w:tc>
      </w:tr>
      <w:tr w:rsidR="008A4D09" w14:paraId="672C54F2" w14:textId="77777777">
        <w:trPr>
          <w:jc w:val="center"/>
        </w:trPr>
        <w:tc>
          <w:tcPr>
            <w:tcW w:w="2500" w:type="pct"/>
          </w:tcPr>
          <w:p w14:paraId="2E7A02B3" w14:textId="77777777" w:rsidR="008A4D09" w:rsidRDefault="00CA4705">
            <w:pPr>
              <w:pStyle w:val="BodyText"/>
              <w:keepLines/>
              <w:jc w:val="center"/>
              <w:rPr>
                <w:szCs w:val="24"/>
              </w:rPr>
            </w:pPr>
            <w:r>
              <w:rPr>
                <w:szCs w:val="24"/>
              </w:rPr>
              <w:t xml:space="preserve"> 0 - 15</w:t>
            </w:r>
          </w:p>
        </w:tc>
        <w:tc>
          <w:tcPr>
            <w:tcW w:w="2500" w:type="pct"/>
          </w:tcPr>
          <w:p w14:paraId="19C64AB2" w14:textId="77777777" w:rsidR="008A4D09" w:rsidRDefault="00CA4705">
            <w:pPr>
              <w:pStyle w:val="BodyText"/>
              <w:keepLines/>
              <w:jc w:val="center"/>
              <w:rPr>
                <w:szCs w:val="24"/>
              </w:rPr>
            </w:pPr>
            <w:r>
              <w:rPr>
                <w:szCs w:val="24"/>
              </w:rPr>
              <w:t>PG 67-22</w:t>
            </w:r>
          </w:p>
        </w:tc>
      </w:tr>
      <w:tr w:rsidR="008A4D09" w14:paraId="5D354932" w14:textId="77777777">
        <w:trPr>
          <w:jc w:val="center"/>
        </w:trPr>
        <w:tc>
          <w:tcPr>
            <w:tcW w:w="2500" w:type="pct"/>
          </w:tcPr>
          <w:p w14:paraId="2AC3B04A" w14:textId="77777777" w:rsidR="008A4D09" w:rsidRDefault="00CA4705">
            <w:pPr>
              <w:pStyle w:val="BodyText"/>
              <w:keepLines/>
              <w:jc w:val="center"/>
              <w:rPr>
                <w:szCs w:val="24"/>
              </w:rPr>
            </w:pPr>
            <w:r>
              <w:rPr>
                <w:szCs w:val="24"/>
              </w:rPr>
              <w:t>16 - 30</w:t>
            </w:r>
          </w:p>
        </w:tc>
        <w:tc>
          <w:tcPr>
            <w:tcW w:w="2500" w:type="pct"/>
          </w:tcPr>
          <w:p w14:paraId="304EE1B2" w14:textId="77777777" w:rsidR="008A4D09" w:rsidRDefault="00CA4705">
            <w:pPr>
              <w:pStyle w:val="BodyText"/>
              <w:keepLines/>
              <w:jc w:val="center"/>
              <w:rPr>
                <w:szCs w:val="24"/>
              </w:rPr>
            </w:pPr>
            <w:r>
              <w:rPr>
                <w:szCs w:val="24"/>
              </w:rPr>
              <w:t>PG 58-22</w:t>
            </w:r>
          </w:p>
        </w:tc>
      </w:tr>
      <w:tr w:rsidR="008A4D09" w14:paraId="6EEF2487" w14:textId="77777777">
        <w:trPr>
          <w:jc w:val="center"/>
        </w:trPr>
        <w:tc>
          <w:tcPr>
            <w:tcW w:w="2500" w:type="pct"/>
          </w:tcPr>
          <w:p w14:paraId="6045F3B4" w14:textId="77777777" w:rsidR="008A4D09" w:rsidRDefault="00CA4705">
            <w:pPr>
              <w:pStyle w:val="BodyText"/>
              <w:keepLines/>
              <w:jc w:val="center"/>
              <w:rPr>
                <w:szCs w:val="24"/>
              </w:rPr>
            </w:pPr>
            <w:r>
              <w:rPr>
                <w:szCs w:val="24"/>
              </w:rPr>
              <w:sym w:font="Symbol" w:char="F0B3"/>
            </w:r>
            <w:r>
              <w:rPr>
                <w:szCs w:val="24"/>
              </w:rPr>
              <w:t xml:space="preserve"> 30</w:t>
            </w:r>
          </w:p>
        </w:tc>
        <w:tc>
          <w:tcPr>
            <w:tcW w:w="2500" w:type="pct"/>
          </w:tcPr>
          <w:p w14:paraId="76A339D9" w14:textId="77777777" w:rsidR="008A4D09" w:rsidRDefault="00CA4705">
            <w:pPr>
              <w:pStyle w:val="BodyText"/>
              <w:keepLines/>
              <w:jc w:val="center"/>
              <w:rPr>
                <w:szCs w:val="24"/>
              </w:rPr>
            </w:pPr>
            <w:r>
              <w:rPr>
                <w:szCs w:val="24"/>
              </w:rPr>
              <w:t>PG 52-28</w:t>
            </w:r>
          </w:p>
        </w:tc>
      </w:tr>
    </w:tbl>
    <w:p w14:paraId="4432F27F" w14:textId="2CB11B98" w:rsidR="00D17B08" w:rsidRDefault="00F20AD4" w:rsidP="00D17B08">
      <w:pPr>
        <w:pStyle w:val="BodyText"/>
      </w:pPr>
      <w:r>
        <w:rPr>
          <w:b/>
        </w:rPr>
        <w:lastRenderedPageBreak/>
        <w:tab/>
      </w:r>
      <w:r>
        <w:rPr>
          <w:b/>
        </w:rPr>
        <w:tab/>
        <w:t>334-2.3.</w:t>
      </w:r>
      <w:r w:rsidR="00D17B08">
        <w:rPr>
          <w:b/>
        </w:rPr>
        <w:t>4</w:t>
      </w:r>
      <w:r>
        <w:rPr>
          <w:b/>
        </w:rPr>
        <w:t xml:space="preserve"> Allowable RAP Percentages for Type SP Structural Mixtures with PG 76-22 Asphalt Binder: </w:t>
      </w:r>
      <w:r>
        <w:t>For Type SP structural mixtures using PG 76-22 asphalt binder, select the percentage of RAP material based on Table 334-3.</w:t>
      </w:r>
    </w:p>
    <w:p w14:paraId="718DBA24" w14:textId="77777777" w:rsidR="00D17B08" w:rsidRDefault="00D17B08" w:rsidP="00D17B08">
      <w:pPr>
        <w:pStyle w:val="BodyText"/>
      </w:pPr>
    </w:p>
    <w:tbl>
      <w:tblPr>
        <w:tblW w:w="9451" w:type="dxa"/>
        <w:tblInd w:w="36" w:type="dxa"/>
        <w:tblLayout w:type="fixed"/>
        <w:tblCellMar>
          <w:left w:w="0" w:type="dxa"/>
          <w:right w:w="0" w:type="dxa"/>
        </w:tblCellMar>
        <w:tblLook w:val="04A0" w:firstRow="1" w:lastRow="0" w:firstColumn="1" w:lastColumn="0" w:noHBand="0" w:noVBand="1"/>
      </w:tblPr>
      <w:tblGrid>
        <w:gridCol w:w="1978"/>
        <w:gridCol w:w="1440"/>
        <w:gridCol w:w="1891"/>
        <w:gridCol w:w="2429"/>
        <w:gridCol w:w="1713"/>
      </w:tblGrid>
      <w:tr w:rsidR="00D17B08" w:rsidRPr="00D314E8" w14:paraId="4B6232AB" w14:textId="77777777" w:rsidTr="00D17B08">
        <w:trPr>
          <w:trHeight w:hRule="exact" w:val="643"/>
        </w:trPr>
        <w:tc>
          <w:tcPr>
            <w:tcW w:w="9451" w:type="dxa"/>
            <w:gridSpan w:val="5"/>
            <w:tcBorders>
              <w:top w:val="single" w:sz="5" w:space="0" w:color="000000"/>
              <w:left w:val="single" w:sz="5" w:space="0" w:color="000000"/>
              <w:bottom w:val="single" w:sz="5" w:space="0" w:color="000000"/>
              <w:right w:val="single" w:sz="5" w:space="0" w:color="000000"/>
            </w:tcBorders>
          </w:tcPr>
          <w:p w14:paraId="20460DA5" w14:textId="77777777" w:rsidR="00D17B08" w:rsidRPr="00D314E8" w:rsidRDefault="00D17B08" w:rsidP="00D17B08">
            <w:pPr>
              <w:pStyle w:val="BodyText"/>
              <w:jc w:val="center"/>
            </w:pPr>
            <w:r w:rsidRPr="00D314E8">
              <w:t>Table 334-3</w:t>
            </w:r>
          </w:p>
          <w:p w14:paraId="3A86406C" w14:textId="77777777" w:rsidR="00D17B08" w:rsidRPr="00D314E8" w:rsidRDefault="00D17B08" w:rsidP="00D17B08">
            <w:pPr>
              <w:pStyle w:val="BodyText"/>
              <w:jc w:val="center"/>
            </w:pPr>
            <w:r w:rsidRPr="00D314E8">
              <w:t>Allowable RAP Percentages</w:t>
            </w:r>
            <w:r w:rsidRPr="00D314E8">
              <w:rPr>
                <w:vertAlign w:val="superscript"/>
              </w:rPr>
              <w:t>1</w:t>
            </w:r>
            <w:r w:rsidRPr="00D314E8">
              <w:t xml:space="preserve"> in Type SP Structural Mixtures with PG 76-22 Asphalt Binder</w:t>
            </w:r>
          </w:p>
        </w:tc>
      </w:tr>
      <w:tr w:rsidR="00D17B08" w:rsidRPr="00D314E8" w14:paraId="437D6A92" w14:textId="77777777" w:rsidTr="00BE6BB6">
        <w:trPr>
          <w:trHeight w:hRule="exact" w:val="417"/>
        </w:trPr>
        <w:tc>
          <w:tcPr>
            <w:tcW w:w="3418" w:type="dxa"/>
            <w:gridSpan w:val="2"/>
            <w:tcBorders>
              <w:top w:val="single" w:sz="5" w:space="0" w:color="000000"/>
              <w:left w:val="single" w:sz="5" w:space="0" w:color="000000"/>
              <w:bottom w:val="single" w:sz="5" w:space="0" w:color="000000"/>
              <w:right w:val="single" w:sz="5" w:space="0" w:color="000000"/>
            </w:tcBorders>
          </w:tcPr>
          <w:p w14:paraId="113EB63F" w14:textId="77777777" w:rsidR="00D17B08" w:rsidRPr="00D314E8" w:rsidRDefault="00D17B08" w:rsidP="00D17B08">
            <w:pPr>
              <w:pStyle w:val="BodyText"/>
            </w:pPr>
            <w:r w:rsidRPr="00D314E8">
              <w:t xml:space="preserve"> </w:t>
            </w:r>
          </w:p>
        </w:tc>
        <w:tc>
          <w:tcPr>
            <w:tcW w:w="1891" w:type="dxa"/>
            <w:tcBorders>
              <w:top w:val="single" w:sz="5" w:space="0" w:color="000000"/>
              <w:left w:val="single" w:sz="5" w:space="0" w:color="000000"/>
              <w:bottom w:val="single" w:sz="5" w:space="0" w:color="000000"/>
              <w:right w:val="single" w:sz="5" w:space="0" w:color="000000"/>
            </w:tcBorders>
            <w:vAlign w:val="center"/>
          </w:tcPr>
          <w:p w14:paraId="2DE2467C" w14:textId="77777777" w:rsidR="00D17B08" w:rsidRPr="00D314E8" w:rsidRDefault="00D17B08" w:rsidP="00D17B08">
            <w:pPr>
              <w:pStyle w:val="BodyText"/>
              <w:jc w:val="center"/>
            </w:pPr>
            <w:r w:rsidRPr="00D314E8">
              <w:t>Coarse RAP</w:t>
            </w:r>
          </w:p>
        </w:tc>
        <w:tc>
          <w:tcPr>
            <w:tcW w:w="2429" w:type="dxa"/>
            <w:tcBorders>
              <w:top w:val="single" w:sz="5" w:space="0" w:color="000000"/>
              <w:left w:val="single" w:sz="5" w:space="0" w:color="000000"/>
              <w:bottom w:val="single" w:sz="5" w:space="0" w:color="000000"/>
              <w:right w:val="single" w:sz="5" w:space="0" w:color="000000"/>
            </w:tcBorders>
            <w:vAlign w:val="center"/>
          </w:tcPr>
          <w:p w14:paraId="5CB6D458" w14:textId="77777777" w:rsidR="00D17B08" w:rsidRPr="00D314E8" w:rsidRDefault="00D17B08" w:rsidP="00D17B08">
            <w:pPr>
              <w:pStyle w:val="BodyText"/>
              <w:jc w:val="center"/>
            </w:pPr>
            <w:r w:rsidRPr="00D314E8">
              <w:t>Intermediate RAP</w:t>
            </w:r>
          </w:p>
        </w:tc>
        <w:tc>
          <w:tcPr>
            <w:tcW w:w="1713" w:type="dxa"/>
            <w:tcBorders>
              <w:top w:val="single" w:sz="5" w:space="0" w:color="000000"/>
              <w:left w:val="single" w:sz="5" w:space="0" w:color="000000"/>
              <w:bottom w:val="single" w:sz="5" w:space="0" w:color="000000"/>
              <w:right w:val="single" w:sz="5" w:space="0" w:color="000000"/>
            </w:tcBorders>
            <w:vAlign w:val="center"/>
          </w:tcPr>
          <w:p w14:paraId="6CFD10E1" w14:textId="77777777" w:rsidR="00D17B08" w:rsidRPr="00D314E8" w:rsidRDefault="00D17B08" w:rsidP="00D17B08">
            <w:pPr>
              <w:pStyle w:val="BodyText"/>
              <w:jc w:val="center"/>
            </w:pPr>
            <w:r w:rsidRPr="00D314E8">
              <w:t>Fine RAP</w:t>
            </w:r>
          </w:p>
        </w:tc>
      </w:tr>
      <w:tr w:rsidR="00D17B08" w:rsidRPr="00D314E8" w14:paraId="49402F29" w14:textId="77777777" w:rsidTr="00BE6BB6">
        <w:trPr>
          <w:trHeight w:hRule="exact" w:val="354"/>
        </w:trPr>
        <w:tc>
          <w:tcPr>
            <w:tcW w:w="3418" w:type="dxa"/>
            <w:gridSpan w:val="2"/>
            <w:tcBorders>
              <w:top w:val="single" w:sz="5" w:space="0" w:color="000000"/>
              <w:left w:val="single" w:sz="5" w:space="0" w:color="000000"/>
              <w:bottom w:val="single" w:sz="5" w:space="0" w:color="000000"/>
              <w:right w:val="single" w:sz="5" w:space="0" w:color="000000"/>
            </w:tcBorders>
            <w:vAlign w:val="center"/>
          </w:tcPr>
          <w:p w14:paraId="3D6E2CFE" w14:textId="77777777" w:rsidR="00D17B08" w:rsidRPr="00D314E8" w:rsidRDefault="00D17B08" w:rsidP="00D17B08">
            <w:pPr>
              <w:pStyle w:val="BodyText"/>
            </w:pPr>
            <w:r w:rsidRPr="00D314E8">
              <w:t>Gradation % Passing #16 Sieve</w:t>
            </w:r>
            <w:r w:rsidRPr="00D314E8">
              <w:rPr>
                <w:vertAlign w:val="superscript"/>
              </w:rPr>
              <w:t>2</w:t>
            </w:r>
            <w:r w:rsidRPr="00D314E8">
              <w:rPr>
                <w:sz w:val="16"/>
              </w:rPr>
              <w:t xml:space="preserve"> </w:t>
            </w:r>
          </w:p>
        </w:tc>
        <w:tc>
          <w:tcPr>
            <w:tcW w:w="1891" w:type="dxa"/>
            <w:tcBorders>
              <w:top w:val="single" w:sz="5" w:space="0" w:color="000000"/>
              <w:left w:val="single" w:sz="5" w:space="0" w:color="000000"/>
              <w:bottom w:val="single" w:sz="5" w:space="0" w:color="000000"/>
              <w:right w:val="single" w:sz="5" w:space="0" w:color="000000"/>
            </w:tcBorders>
            <w:vAlign w:val="center"/>
          </w:tcPr>
          <w:p w14:paraId="46C0F0D4" w14:textId="77777777" w:rsidR="00D17B08" w:rsidRPr="00D314E8" w:rsidRDefault="00D17B08" w:rsidP="00D17B08">
            <w:pPr>
              <w:pStyle w:val="BodyText"/>
              <w:jc w:val="center"/>
            </w:pPr>
            <w:r w:rsidRPr="00D314E8">
              <w:t>≤ 40%</w:t>
            </w:r>
          </w:p>
        </w:tc>
        <w:tc>
          <w:tcPr>
            <w:tcW w:w="2429" w:type="dxa"/>
            <w:tcBorders>
              <w:top w:val="single" w:sz="5" w:space="0" w:color="000000"/>
              <w:left w:val="single" w:sz="5" w:space="0" w:color="000000"/>
              <w:bottom w:val="single" w:sz="5" w:space="0" w:color="000000"/>
              <w:right w:val="single" w:sz="5" w:space="0" w:color="000000"/>
            </w:tcBorders>
            <w:vAlign w:val="center"/>
          </w:tcPr>
          <w:p w14:paraId="72E3C5B6" w14:textId="77777777" w:rsidR="00D17B08" w:rsidRPr="00D314E8" w:rsidRDefault="00D17B08" w:rsidP="00D17B08">
            <w:pPr>
              <w:pStyle w:val="BodyText"/>
              <w:jc w:val="center"/>
            </w:pPr>
            <w:r w:rsidRPr="00D314E8">
              <w:t>&gt; 40% to ≤ 50%</w:t>
            </w:r>
          </w:p>
        </w:tc>
        <w:tc>
          <w:tcPr>
            <w:tcW w:w="1713" w:type="dxa"/>
            <w:tcBorders>
              <w:top w:val="single" w:sz="5" w:space="0" w:color="000000"/>
              <w:left w:val="single" w:sz="5" w:space="0" w:color="000000"/>
              <w:bottom w:val="single" w:sz="5" w:space="0" w:color="000000"/>
              <w:right w:val="single" w:sz="5" w:space="0" w:color="000000"/>
            </w:tcBorders>
            <w:vAlign w:val="center"/>
          </w:tcPr>
          <w:p w14:paraId="2724C903" w14:textId="77777777" w:rsidR="00D17B08" w:rsidRPr="00D314E8" w:rsidRDefault="00D17B08" w:rsidP="00D17B08">
            <w:pPr>
              <w:pStyle w:val="BodyText"/>
              <w:jc w:val="center"/>
            </w:pPr>
            <w:r w:rsidRPr="00D314E8">
              <w:t>&gt; 50%</w:t>
            </w:r>
          </w:p>
        </w:tc>
      </w:tr>
      <w:tr w:rsidR="00D17B08" w:rsidRPr="00D314E8" w14:paraId="38B620D2" w14:textId="77777777" w:rsidTr="00D17B08">
        <w:trPr>
          <w:trHeight w:val="535"/>
        </w:trPr>
        <w:tc>
          <w:tcPr>
            <w:tcW w:w="1978" w:type="dxa"/>
            <w:tcBorders>
              <w:top w:val="single" w:sz="5" w:space="0" w:color="000000"/>
              <w:left w:val="single" w:sz="5" w:space="0" w:color="000000"/>
              <w:bottom w:val="single" w:sz="5" w:space="0" w:color="000000"/>
              <w:right w:val="single" w:sz="5" w:space="0" w:color="000000"/>
            </w:tcBorders>
            <w:vAlign w:val="center"/>
          </w:tcPr>
          <w:p w14:paraId="3E5E2524" w14:textId="66343672" w:rsidR="00D17B08" w:rsidRPr="00D314E8" w:rsidRDefault="00D17B08" w:rsidP="00D17B08">
            <w:pPr>
              <w:pStyle w:val="BodyText"/>
              <w:jc w:val="center"/>
            </w:pPr>
            <w:r w:rsidRPr="00D314E8">
              <w:t>PG</w:t>
            </w:r>
            <w:r w:rsidRPr="00D314E8">
              <w:rPr>
                <w:sz w:val="16"/>
              </w:rPr>
              <w:t>HT</w:t>
            </w:r>
            <w:r w:rsidRPr="00D314E8">
              <w:rPr>
                <w:sz w:val="16"/>
                <w:vertAlign w:val="superscript"/>
              </w:rPr>
              <w:t>3</w:t>
            </w:r>
            <w:r w:rsidRPr="00D314E8">
              <w:t xml:space="preserve"> &gt; 100.0° C </w:t>
            </w:r>
          </w:p>
        </w:tc>
        <w:tc>
          <w:tcPr>
            <w:tcW w:w="1440" w:type="dxa"/>
            <w:vMerge w:val="restart"/>
            <w:tcBorders>
              <w:top w:val="single" w:sz="5" w:space="0" w:color="000000"/>
              <w:left w:val="single" w:sz="5" w:space="0" w:color="000000"/>
              <w:bottom w:val="nil"/>
              <w:right w:val="single" w:sz="5" w:space="0" w:color="000000"/>
            </w:tcBorders>
            <w:vAlign w:val="center"/>
          </w:tcPr>
          <w:p w14:paraId="4F337BAF" w14:textId="77777777" w:rsidR="00D17B08" w:rsidRPr="00D314E8" w:rsidRDefault="00D17B08" w:rsidP="00D17B08">
            <w:pPr>
              <w:pStyle w:val="BodyText"/>
              <w:jc w:val="center"/>
            </w:pPr>
            <w:r w:rsidRPr="00D314E8">
              <w:t>Allowable</w:t>
            </w:r>
          </w:p>
          <w:p w14:paraId="051CB8FA" w14:textId="77777777" w:rsidR="00D17B08" w:rsidRPr="00D314E8" w:rsidRDefault="00D17B08" w:rsidP="00D17B08">
            <w:pPr>
              <w:pStyle w:val="BodyText"/>
              <w:jc w:val="center"/>
            </w:pPr>
            <w:r w:rsidRPr="00D314E8">
              <w:t>RAP</w:t>
            </w:r>
          </w:p>
          <w:p w14:paraId="3CC3A979" w14:textId="39F0FE7A" w:rsidR="00D17B08" w:rsidRPr="00D314E8" w:rsidRDefault="00D17B08" w:rsidP="00D17B08">
            <w:pPr>
              <w:pStyle w:val="BodyText"/>
              <w:jc w:val="center"/>
            </w:pPr>
            <w:r w:rsidRPr="00D314E8">
              <w:t>Percentage</w:t>
            </w:r>
          </w:p>
        </w:tc>
        <w:tc>
          <w:tcPr>
            <w:tcW w:w="1891" w:type="dxa"/>
            <w:tcBorders>
              <w:top w:val="single" w:sz="5" w:space="0" w:color="000000"/>
              <w:left w:val="single" w:sz="5" w:space="0" w:color="000000"/>
              <w:bottom w:val="single" w:sz="5" w:space="0" w:color="000000"/>
              <w:right w:val="single" w:sz="5" w:space="0" w:color="000000"/>
            </w:tcBorders>
            <w:vAlign w:val="center"/>
          </w:tcPr>
          <w:p w14:paraId="3949672A" w14:textId="77777777" w:rsidR="00D17B08" w:rsidRPr="00D314E8" w:rsidRDefault="00D17B08" w:rsidP="00D17B08">
            <w:pPr>
              <w:pStyle w:val="BodyText"/>
              <w:jc w:val="center"/>
            </w:pPr>
            <w:r w:rsidRPr="00D314E8">
              <w:t>≤ 25%</w:t>
            </w:r>
          </w:p>
        </w:tc>
        <w:tc>
          <w:tcPr>
            <w:tcW w:w="2429" w:type="dxa"/>
            <w:tcBorders>
              <w:top w:val="single" w:sz="5" w:space="0" w:color="000000"/>
              <w:left w:val="single" w:sz="5" w:space="0" w:color="000000"/>
              <w:bottom w:val="single" w:sz="5" w:space="0" w:color="000000"/>
              <w:right w:val="single" w:sz="5" w:space="0" w:color="000000"/>
            </w:tcBorders>
            <w:vAlign w:val="center"/>
          </w:tcPr>
          <w:p w14:paraId="500798CA" w14:textId="017A109B" w:rsidR="00D17B08" w:rsidRPr="00D314E8" w:rsidRDefault="00D17B08" w:rsidP="00D17B08">
            <w:pPr>
              <w:pStyle w:val="BodyText"/>
              <w:jc w:val="center"/>
            </w:pPr>
            <w:r w:rsidRPr="00D314E8">
              <w:t xml:space="preserve">≤ 20% </w:t>
            </w:r>
          </w:p>
        </w:tc>
        <w:tc>
          <w:tcPr>
            <w:tcW w:w="1713" w:type="dxa"/>
            <w:vMerge w:val="restart"/>
            <w:tcBorders>
              <w:top w:val="single" w:sz="5" w:space="0" w:color="000000"/>
              <w:left w:val="single" w:sz="5" w:space="0" w:color="000000"/>
              <w:bottom w:val="nil"/>
              <w:right w:val="single" w:sz="5" w:space="0" w:color="000000"/>
            </w:tcBorders>
            <w:vAlign w:val="center"/>
          </w:tcPr>
          <w:p w14:paraId="4E7D51C0" w14:textId="32D4C3E2" w:rsidR="00D17B08" w:rsidRPr="00D314E8" w:rsidRDefault="00D17B08" w:rsidP="00D17B08">
            <w:pPr>
              <w:pStyle w:val="BodyText"/>
              <w:jc w:val="center"/>
            </w:pPr>
            <w:r w:rsidRPr="00D314E8">
              <w:t>≤ 20%</w:t>
            </w:r>
          </w:p>
        </w:tc>
      </w:tr>
      <w:tr w:rsidR="00D17B08" w:rsidRPr="00D314E8" w14:paraId="2C22D285" w14:textId="77777777" w:rsidTr="00D17B08">
        <w:trPr>
          <w:trHeight w:hRule="exact" w:val="87"/>
        </w:trPr>
        <w:tc>
          <w:tcPr>
            <w:tcW w:w="1978" w:type="dxa"/>
            <w:tcBorders>
              <w:top w:val="single" w:sz="5" w:space="0" w:color="000000"/>
              <w:left w:val="single" w:sz="5" w:space="0" w:color="000000"/>
              <w:right w:val="single" w:sz="5" w:space="0" w:color="000000"/>
            </w:tcBorders>
          </w:tcPr>
          <w:p w14:paraId="53CA3008" w14:textId="77777777" w:rsidR="00D17B08" w:rsidRPr="00D314E8" w:rsidRDefault="00D17B08" w:rsidP="00D17B08">
            <w:pPr>
              <w:pStyle w:val="BodyText"/>
            </w:pPr>
            <w:r w:rsidRPr="00D314E8">
              <w:t xml:space="preserve"> </w:t>
            </w:r>
          </w:p>
        </w:tc>
        <w:tc>
          <w:tcPr>
            <w:tcW w:w="1440" w:type="dxa"/>
            <w:vMerge/>
            <w:tcBorders>
              <w:left w:val="single" w:sz="5" w:space="0" w:color="000000"/>
              <w:right w:val="single" w:sz="5" w:space="0" w:color="000000"/>
            </w:tcBorders>
            <w:vAlign w:val="center"/>
          </w:tcPr>
          <w:p w14:paraId="0EA174CE" w14:textId="644B464A" w:rsidR="00D17B08" w:rsidRPr="00D314E8" w:rsidRDefault="00D17B08" w:rsidP="00D17B08">
            <w:pPr>
              <w:pStyle w:val="BodyText"/>
              <w:rPr>
                <w:rFonts w:eastAsia="PMingLiU"/>
              </w:rPr>
            </w:pPr>
          </w:p>
        </w:tc>
        <w:tc>
          <w:tcPr>
            <w:tcW w:w="1891" w:type="dxa"/>
            <w:tcBorders>
              <w:top w:val="single" w:sz="5" w:space="0" w:color="000000"/>
              <w:left w:val="single" w:sz="5" w:space="0" w:color="000000"/>
              <w:right w:val="single" w:sz="5" w:space="0" w:color="000000"/>
            </w:tcBorders>
          </w:tcPr>
          <w:p w14:paraId="630ACAC4" w14:textId="77777777" w:rsidR="00D17B08" w:rsidRPr="00D314E8" w:rsidRDefault="00D17B08" w:rsidP="00D17B08">
            <w:pPr>
              <w:pStyle w:val="BodyText"/>
            </w:pPr>
            <w:r w:rsidRPr="00D314E8">
              <w:t xml:space="preserve"> </w:t>
            </w:r>
          </w:p>
        </w:tc>
        <w:tc>
          <w:tcPr>
            <w:tcW w:w="2429" w:type="dxa"/>
            <w:tcBorders>
              <w:top w:val="single" w:sz="5" w:space="0" w:color="000000"/>
              <w:left w:val="single" w:sz="5" w:space="0" w:color="000000"/>
              <w:right w:val="single" w:sz="5" w:space="0" w:color="000000"/>
            </w:tcBorders>
          </w:tcPr>
          <w:p w14:paraId="3011A96E" w14:textId="77777777" w:rsidR="00D17B08" w:rsidRPr="00D314E8" w:rsidRDefault="00D17B08" w:rsidP="00D17B08">
            <w:pPr>
              <w:pStyle w:val="BodyText"/>
            </w:pPr>
            <w:r w:rsidRPr="00D314E8">
              <w:t xml:space="preserve"> </w:t>
            </w:r>
          </w:p>
        </w:tc>
        <w:tc>
          <w:tcPr>
            <w:tcW w:w="1713" w:type="dxa"/>
            <w:vMerge/>
            <w:tcBorders>
              <w:left w:val="single" w:sz="5" w:space="0" w:color="000000"/>
              <w:right w:val="single" w:sz="5" w:space="0" w:color="000000"/>
            </w:tcBorders>
            <w:vAlign w:val="center"/>
          </w:tcPr>
          <w:p w14:paraId="309DADD7" w14:textId="40769EFA" w:rsidR="00D17B08" w:rsidRPr="00D314E8" w:rsidRDefault="00D17B08" w:rsidP="00D17B08">
            <w:pPr>
              <w:pStyle w:val="BodyText"/>
              <w:rPr>
                <w:rFonts w:eastAsia="PMingLiU"/>
              </w:rPr>
            </w:pPr>
          </w:p>
        </w:tc>
      </w:tr>
      <w:tr w:rsidR="00D17B08" w:rsidRPr="00D314E8" w14:paraId="056DE787" w14:textId="77777777" w:rsidTr="00D17B08">
        <w:trPr>
          <w:trHeight w:hRule="exact" w:val="360"/>
        </w:trPr>
        <w:tc>
          <w:tcPr>
            <w:tcW w:w="1978" w:type="dxa"/>
            <w:tcBorders>
              <w:left w:val="single" w:sz="5" w:space="0" w:color="000000"/>
              <w:bottom w:val="single" w:sz="5" w:space="0" w:color="000000"/>
              <w:right w:val="single" w:sz="5" w:space="0" w:color="000000"/>
            </w:tcBorders>
            <w:vAlign w:val="center"/>
          </w:tcPr>
          <w:p w14:paraId="4EF301BF" w14:textId="77777777" w:rsidR="00D17B08" w:rsidRPr="00D314E8" w:rsidRDefault="00D17B08" w:rsidP="00D17B08">
            <w:pPr>
              <w:pStyle w:val="BodyText"/>
              <w:jc w:val="center"/>
            </w:pPr>
            <w:r w:rsidRPr="00D314E8">
              <w:t>PG</w:t>
            </w:r>
            <w:r w:rsidRPr="00D314E8">
              <w:rPr>
                <w:sz w:val="16"/>
              </w:rPr>
              <w:t>HT</w:t>
            </w:r>
            <w:r w:rsidRPr="00D314E8">
              <w:rPr>
                <w:sz w:val="16"/>
                <w:vertAlign w:val="superscript"/>
              </w:rPr>
              <w:t>3</w:t>
            </w:r>
            <w:r w:rsidRPr="00D314E8">
              <w:t xml:space="preserve"> ≤ 100.0° C</w:t>
            </w:r>
          </w:p>
        </w:tc>
        <w:tc>
          <w:tcPr>
            <w:tcW w:w="1440" w:type="dxa"/>
            <w:vMerge/>
            <w:tcBorders>
              <w:left w:val="single" w:sz="5" w:space="0" w:color="000000"/>
              <w:bottom w:val="single" w:sz="5" w:space="0" w:color="000000"/>
              <w:right w:val="single" w:sz="5" w:space="0" w:color="000000"/>
            </w:tcBorders>
            <w:vAlign w:val="center"/>
          </w:tcPr>
          <w:p w14:paraId="5B96D686" w14:textId="1C32D98E" w:rsidR="00D17B08" w:rsidRPr="00D314E8" w:rsidRDefault="00D17B08" w:rsidP="00D17B08">
            <w:pPr>
              <w:pStyle w:val="BodyText"/>
            </w:pPr>
          </w:p>
        </w:tc>
        <w:tc>
          <w:tcPr>
            <w:tcW w:w="1891" w:type="dxa"/>
            <w:tcBorders>
              <w:left w:val="single" w:sz="5" w:space="0" w:color="000000"/>
              <w:bottom w:val="single" w:sz="5" w:space="0" w:color="000000"/>
              <w:right w:val="single" w:sz="5" w:space="0" w:color="000000"/>
            </w:tcBorders>
            <w:vAlign w:val="center"/>
          </w:tcPr>
          <w:p w14:paraId="44B0C03A" w14:textId="77777777" w:rsidR="00D17B08" w:rsidRPr="00D314E8" w:rsidRDefault="00D17B08" w:rsidP="00D17B08">
            <w:pPr>
              <w:pStyle w:val="BodyText"/>
              <w:jc w:val="center"/>
            </w:pPr>
            <w:r w:rsidRPr="00D314E8">
              <w:t>≤ 30%</w:t>
            </w:r>
          </w:p>
        </w:tc>
        <w:tc>
          <w:tcPr>
            <w:tcW w:w="2429" w:type="dxa"/>
            <w:tcBorders>
              <w:left w:val="single" w:sz="5" w:space="0" w:color="000000"/>
              <w:bottom w:val="single" w:sz="5" w:space="0" w:color="000000"/>
              <w:right w:val="single" w:sz="5" w:space="0" w:color="000000"/>
            </w:tcBorders>
            <w:vAlign w:val="center"/>
          </w:tcPr>
          <w:p w14:paraId="4BCB39FA" w14:textId="77777777" w:rsidR="00D17B08" w:rsidRPr="00D314E8" w:rsidRDefault="00D17B08" w:rsidP="00D17B08">
            <w:pPr>
              <w:pStyle w:val="BodyText"/>
              <w:jc w:val="center"/>
            </w:pPr>
            <w:r w:rsidRPr="00D314E8">
              <w:t>≤ 25%</w:t>
            </w:r>
          </w:p>
        </w:tc>
        <w:tc>
          <w:tcPr>
            <w:tcW w:w="1713" w:type="dxa"/>
            <w:vMerge/>
            <w:tcBorders>
              <w:left w:val="single" w:sz="5" w:space="0" w:color="000000"/>
              <w:bottom w:val="single" w:sz="5" w:space="0" w:color="000000"/>
              <w:right w:val="single" w:sz="5" w:space="0" w:color="000000"/>
            </w:tcBorders>
          </w:tcPr>
          <w:p w14:paraId="4E7BFB8B" w14:textId="6E6BC799" w:rsidR="00D17B08" w:rsidRPr="00D314E8" w:rsidRDefault="00D17B08" w:rsidP="00D17B08">
            <w:pPr>
              <w:pStyle w:val="BodyText"/>
            </w:pPr>
          </w:p>
        </w:tc>
      </w:tr>
      <w:tr w:rsidR="008878D5" w:rsidRPr="00D314E8" w14:paraId="1805FFE9" w14:textId="77777777" w:rsidTr="008878D5">
        <w:trPr>
          <w:trHeight w:hRule="exact" w:val="1092"/>
        </w:trPr>
        <w:tc>
          <w:tcPr>
            <w:tcW w:w="9451" w:type="dxa"/>
            <w:gridSpan w:val="5"/>
            <w:tcBorders>
              <w:left w:val="single" w:sz="5" w:space="0" w:color="000000"/>
              <w:bottom w:val="single" w:sz="5" w:space="0" w:color="000000"/>
              <w:right w:val="single" w:sz="5" w:space="0" w:color="000000"/>
            </w:tcBorders>
            <w:vAlign w:val="center"/>
          </w:tcPr>
          <w:p w14:paraId="733B8901" w14:textId="77777777" w:rsidR="008878D5" w:rsidRPr="008878D5" w:rsidRDefault="008878D5" w:rsidP="008878D5">
            <w:pPr>
              <w:pStyle w:val="BodyText"/>
              <w:rPr>
                <w:sz w:val="20"/>
              </w:rPr>
            </w:pPr>
            <w:r w:rsidRPr="008878D5">
              <w:rPr>
                <w:sz w:val="20"/>
              </w:rPr>
              <w:t>Notes:</w:t>
            </w:r>
          </w:p>
          <w:p w14:paraId="4E03D948" w14:textId="77777777" w:rsidR="008878D5" w:rsidRPr="008878D5" w:rsidRDefault="008878D5" w:rsidP="008878D5">
            <w:pPr>
              <w:pStyle w:val="BodyText"/>
              <w:rPr>
                <w:sz w:val="20"/>
              </w:rPr>
            </w:pPr>
            <w:r w:rsidRPr="008878D5">
              <w:rPr>
                <w:sz w:val="20"/>
              </w:rPr>
              <w:t>1. RAP aggregate by weight of total aggregate or RAP binder by weight of total binder.</w:t>
            </w:r>
          </w:p>
          <w:p w14:paraId="04B38AFB" w14:textId="77777777" w:rsidR="008878D5" w:rsidRPr="008878D5" w:rsidRDefault="008878D5" w:rsidP="008878D5">
            <w:pPr>
              <w:pStyle w:val="BodyText"/>
              <w:rPr>
                <w:sz w:val="20"/>
              </w:rPr>
            </w:pPr>
            <w:r w:rsidRPr="008878D5">
              <w:rPr>
                <w:sz w:val="20"/>
              </w:rPr>
              <w:t>2. RAP gradations based on ignition oven extraction of RAP material in accordance with FM 5-563.</w:t>
            </w:r>
          </w:p>
          <w:p w14:paraId="1C94EAF2" w14:textId="76E78144" w:rsidR="008878D5" w:rsidRPr="00D314E8" w:rsidRDefault="008878D5" w:rsidP="008878D5">
            <w:pPr>
              <w:pStyle w:val="BodyText"/>
            </w:pPr>
            <w:r w:rsidRPr="008878D5">
              <w:rPr>
                <w:sz w:val="20"/>
              </w:rPr>
              <w:t>3. PGHT: asphalt binder high temperature continuous performance grade of RAP in accordance with Section 916.</w:t>
            </w:r>
          </w:p>
        </w:tc>
      </w:tr>
    </w:tbl>
    <w:p w14:paraId="6759420E" w14:textId="159875B7" w:rsidR="008A4D09" w:rsidRDefault="00CA4705">
      <w:pPr>
        <w:pStyle w:val="Article"/>
      </w:pPr>
      <w:r>
        <w:t>334-3 Composition of Mixture.</w:t>
      </w:r>
    </w:p>
    <w:p w14:paraId="66480C65" w14:textId="77777777" w:rsidR="008A4D09" w:rsidRDefault="00CA4705">
      <w:pPr>
        <w:pStyle w:val="BodyText"/>
        <w:rPr>
          <w:bCs/>
          <w:szCs w:val="24"/>
        </w:rPr>
      </w:pPr>
      <w:r>
        <w:rPr>
          <w:szCs w:val="24"/>
        </w:rPr>
        <w:tab/>
      </w:r>
      <w:r>
        <w:rPr>
          <w:b/>
          <w:bCs/>
          <w:szCs w:val="24"/>
        </w:rPr>
        <w:t xml:space="preserve">334-3.1 General: </w:t>
      </w:r>
      <w:r>
        <w:rPr>
          <w:szCs w:val="24"/>
        </w:rPr>
        <w:t>Compose the asphalt mixture using a combination of aggregate (coarse, fine or mixtures thereof), mineral filler, if required, and asphalt binder material. Size, grade and combine the aggregate fractions to meet the grading and physical properties of the mix design. Aggregates from various sources may be combined.</w:t>
      </w:r>
    </w:p>
    <w:p w14:paraId="75105B73" w14:textId="77777777" w:rsidR="008A4D09" w:rsidRDefault="00CA4705">
      <w:pPr>
        <w:pStyle w:val="BodyText"/>
        <w:rPr>
          <w:b/>
          <w:szCs w:val="24"/>
        </w:rPr>
      </w:pPr>
      <w:r>
        <w:rPr>
          <w:b/>
          <w:szCs w:val="24"/>
        </w:rPr>
        <w:tab/>
        <w:t>334-3.2 Mix Design:</w:t>
      </w:r>
    </w:p>
    <w:p w14:paraId="0F91460A" w14:textId="121673D0" w:rsidR="008A4D09" w:rsidRDefault="00CA4705">
      <w:pPr>
        <w:pStyle w:val="BodyText"/>
        <w:rPr>
          <w:szCs w:val="24"/>
        </w:rPr>
      </w:pPr>
      <w:r>
        <w:rPr>
          <w:bCs/>
          <w:szCs w:val="24"/>
        </w:rPr>
        <w:tab/>
      </w:r>
      <w:r>
        <w:rPr>
          <w:bCs/>
          <w:szCs w:val="24"/>
        </w:rPr>
        <w:tab/>
      </w:r>
      <w:r>
        <w:rPr>
          <w:b/>
          <w:bCs/>
          <w:szCs w:val="24"/>
        </w:rPr>
        <w:t>334-3.2.1 General:</w:t>
      </w:r>
      <w:r>
        <w:rPr>
          <w:bCs/>
          <w:szCs w:val="24"/>
        </w:rPr>
        <w:t xml:space="preserve"> </w:t>
      </w:r>
      <w:r>
        <w:rPr>
          <w:szCs w:val="24"/>
        </w:rPr>
        <w:t>Design the asphalt mixture in accordance with AASHTO R 35, except as noted herein. Submit the proposed mix design with supporting test data indicating compliance with all mix design criteria to the Engineer. Prior to the production of any asphalt mixture, obtain the Engineer’s conditional approval of the mix design. If required by the Engineer, send representative samples of all component materials, including asphalt binder to a laboratory designated by the Engineer for verification. As an exception to these requirements, use a currently approved FDOT Mix Design.</w:t>
      </w:r>
    </w:p>
    <w:p w14:paraId="53389977" w14:textId="77777777" w:rsidR="008A4D09" w:rsidRDefault="00CA4705">
      <w:pPr>
        <w:pStyle w:val="BodyText"/>
        <w:rPr>
          <w:szCs w:val="24"/>
        </w:rPr>
      </w:pPr>
      <w:r>
        <w:rPr>
          <w:szCs w:val="24"/>
        </w:rPr>
        <w:tab/>
      </w:r>
      <w:r>
        <w:rPr>
          <w:szCs w:val="24"/>
        </w:rPr>
        <w:tab/>
      </w:r>
      <w:r>
        <w:rPr>
          <w:szCs w:val="24"/>
        </w:rPr>
        <w:tab/>
        <w:t>The Engineer will consider any marked variations from original test data for a mix design or any evidence of inadequate field performance of a mix design as sufficient evidence that the properties of the mix design have changed, and at his/her discretion, the Engineer may no longer allow the use of the mix design.</w:t>
      </w:r>
    </w:p>
    <w:p w14:paraId="3D644E09" w14:textId="77777777" w:rsidR="008A4D09" w:rsidRDefault="00CA4705">
      <w:pPr>
        <w:pStyle w:val="BodyText"/>
        <w:rPr>
          <w:szCs w:val="24"/>
        </w:rPr>
      </w:pPr>
      <w:r>
        <w:rPr>
          <w:bCs/>
          <w:szCs w:val="24"/>
        </w:rPr>
        <w:tab/>
      </w:r>
      <w:r>
        <w:rPr>
          <w:bCs/>
          <w:szCs w:val="24"/>
        </w:rPr>
        <w:tab/>
      </w:r>
      <w:r>
        <w:rPr>
          <w:b/>
          <w:bCs/>
          <w:szCs w:val="24"/>
        </w:rPr>
        <w:t>334-3.2.2 Mixture Gradation Requirements:</w:t>
      </w:r>
      <w:r>
        <w:rPr>
          <w:bCs/>
          <w:szCs w:val="24"/>
        </w:rPr>
        <w:t xml:space="preserve"> </w:t>
      </w:r>
      <w:r>
        <w:rPr>
          <w:szCs w:val="24"/>
        </w:rPr>
        <w:t xml:space="preserve">Combine the </w:t>
      </w:r>
      <w:proofErr w:type="gramStart"/>
      <w:r>
        <w:rPr>
          <w:szCs w:val="24"/>
        </w:rPr>
        <w:t>coarse</w:t>
      </w:r>
      <w:proofErr w:type="gramEnd"/>
      <w:r>
        <w:rPr>
          <w:szCs w:val="24"/>
        </w:rPr>
        <w:t xml:space="preserve"> and fine aggregate in proportions that will produce an asphalt mixture meeting </w:t>
      </w:r>
      <w:proofErr w:type="gramStart"/>
      <w:r>
        <w:rPr>
          <w:szCs w:val="24"/>
        </w:rPr>
        <w:t>all of</w:t>
      </w:r>
      <w:proofErr w:type="gramEnd"/>
      <w:r>
        <w:rPr>
          <w:szCs w:val="24"/>
        </w:rPr>
        <w:t xml:space="preserve"> the requirements defined in this specification and conform to the </w:t>
      </w:r>
      <w:proofErr w:type="spellStart"/>
      <w:r>
        <w:rPr>
          <w:szCs w:val="24"/>
        </w:rPr>
        <w:t>gradation</w:t>
      </w:r>
      <w:proofErr w:type="spellEnd"/>
      <w:r>
        <w:rPr>
          <w:szCs w:val="24"/>
        </w:rPr>
        <w:t xml:space="preserve"> requirements at design as defined in AASHTO M 323. Aggregates from various sources may be combined.</w:t>
      </w:r>
    </w:p>
    <w:p w14:paraId="4C128703" w14:textId="532B419C" w:rsidR="008A4D09" w:rsidRDefault="00CA4705">
      <w:pPr>
        <w:pStyle w:val="BodyText"/>
        <w:rPr>
          <w:b/>
          <w:bCs/>
          <w:szCs w:val="24"/>
        </w:rPr>
      </w:pPr>
      <w:r>
        <w:rPr>
          <w:bCs/>
          <w:szCs w:val="24"/>
        </w:rPr>
        <w:tab/>
      </w:r>
      <w:r>
        <w:rPr>
          <w:bCs/>
          <w:szCs w:val="24"/>
        </w:rPr>
        <w:tab/>
      </w:r>
      <w:r>
        <w:rPr>
          <w:bCs/>
          <w:szCs w:val="24"/>
        </w:rPr>
        <w:tab/>
      </w:r>
      <w:r>
        <w:rPr>
          <w:b/>
          <w:bCs/>
          <w:szCs w:val="24"/>
        </w:rPr>
        <w:t>334-3.2.2.1 Mixture Gradation Classification:</w:t>
      </w:r>
      <w:r>
        <w:rPr>
          <w:szCs w:val="24"/>
        </w:rPr>
        <w:t xml:space="preserve"> Plot the combined mixture gradation on an FHWA 0.45 Power Gradation Chart. Include the Control Points from AASHTO M</w:t>
      </w:r>
      <w:r w:rsidR="00441950">
        <w:rPr>
          <w:szCs w:val="24"/>
        </w:rPr>
        <w:t> </w:t>
      </w:r>
      <w:r w:rsidR="008878D5">
        <w:rPr>
          <w:szCs w:val="24"/>
        </w:rPr>
        <w:t>323</w:t>
      </w:r>
      <w:r>
        <w:rPr>
          <w:szCs w:val="24"/>
        </w:rPr>
        <w:t>, as well as the Primary Control Sieve (PCS) Control Point from AASHTO M</w:t>
      </w:r>
      <w:r w:rsidR="00441950">
        <w:rPr>
          <w:szCs w:val="24"/>
        </w:rPr>
        <w:t> 323</w:t>
      </w:r>
      <w:r>
        <w:rPr>
          <w:szCs w:val="24"/>
        </w:rPr>
        <w:t>. Fine mixes are defined as having a gradation that passes above the primary control sieve control point and above the maximum density line for all sieve sizes smaller than the primary control sieve and larger than the No. 30 sieve. Use only fine mixes.</w:t>
      </w:r>
    </w:p>
    <w:p w14:paraId="6D39F82C" w14:textId="3C23554C" w:rsidR="00441950" w:rsidRDefault="00CA4705" w:rsidP="00441950">
      <w:pPr>
        <w:pStyle w:val="BodyText"/>
        <w:rPr>
          <w:szCs w:val="24"/>
        </w:rPr>
      </w:pPr>
      <w:r>
        <w:rPr>
          <w:b/>
          <w:bCs/>
          <w:szCs w:val="24"/>
        </w:rPr>
        <w:tab/>
      </w:r>
      <w:r>
        <w:rPr>
          <w:b/>
          <w:bCs/>
          <w:szCs w:val="24"/>
        </w:rPr>
        <w:tab/>
        <w:t>334-3.2.3 Gyratory Compaction:</w:t>
      </w:r>
      <w:r>
        <w:rPr>
          <w:szCs w:val="24"/>
        </w:rPr>
        <w:t xml:space="preserve"> Compact the design mixture in accordance with AASHTO T</w:t>
      </w:r>
      <w:r w:rsidR="00441950">
        <w:rPr>
          <w:szCs w:val="24"/>
        </w:rPr>
        <w:t> </w:t>
      </w:r>
      <w:r>
        <w:rPr>
          <w:szCs w:val="24"/>
        </w:rPr>
        <w:t xml:space="preserve">312, with the following exception: use the number of gyrations at </w:t>
      </w:r>
      <w:proofErr w:type="spellStart"/>
      <w:r>
        <w:rPr>
          <w:szCs w:val="24"/>
        </w:rPr>
        <w:t>N</w:t>
      </w:r>
      <w:r>
        <w:rPr>
          <w:szCs w:val="24"/>
          <w:vertAlign w:val="subscript"/>
        </w:rPr>
        <w:t>design</w:t>
      </w:r>
      <w:proofErr w:type="spellEnd"/>
      <w:r>
        <w:rPr>
          <w:szCs w:val="24"/>
        </w:rPr>
        <w:t xml:space="preserve"> as </w:t>
      </w:r>
      <w:r>
        <w:rPr>
          <w:szCs w:val="24"/>
        </w:rPr>
        <w:lastRenderedPageBreak/>
        <w:t xml:space="preserve">defined </w:t>
      </w:r>
      <w:proofErr w:type="gramStart"/>
      <w:r>
        <w:rPr>
          <w:szCs w:val="24"/>
        </w:rPr>
        <w:t>in  Table</w:t>
      </w:r>
      <w:proofErr w:type="gramEnd"/>
      <w:r>
        <w:rPr>
          <w:szCs w:val="24"/>
        </w:rPr>
        <w:t> 334-4. Measure the inside diameter of gyratory molds in accordance with AASHTO T 312.</w:t>
      </w:r>
    </w:p>
    <w:p w14:paraId="0960061A" w14:textId="77777777" w:rsidR="004351D4" w:rsidRDefault="004351D4" w:rsidP="00441950">
      <w:pPr>
        <w:pStyle w:val="BodyText"/>
        <w:rPr>
          <w:szCs w:val="24"/>
        </w:rPr>
      </w:pPr>
    </w:p>
    <w:tbl>
      <w:tblPr>
        <w:tblW w:w="9365" w:type="dxa"/>
        <w:tblInd w:w="38" w:type="dxa"/>
        <w:tblLayout w:type="fixed"/>
        <w:tblCellMar>
          <w:left w:w="0" w:type="dxa"/>
          <w:right w:w="0" w:type="dxa"/>
        </w:tblCellMar>
        <w:tblLook w:val="04A0" w:firstRow="1" w:lastRow="0" w:firstColumn="1" w:lastColumn="0" w:noHBand="0" w:noVBand="1"/>
      </w:tblPr>
      <w:tblGrid>
        <w:gridCol w:w="4680"/>
        <w:gridCol w:w="4685"/>
      </w:tblGrid>
      <w:tr w:rsidR="00441950" w:rsidRPr="00900098" w14:paraId="4A5B65BB" w14:textId="77777777" w:rsidTr="00DF2052">
        <w:trPr>
          <w:trHeight w:hRule="exact" w:val="566"/>
        </w:trPr>
        <w:tc>
          <w:tcPr>
            <w:tcW w:w="9365" w:type="dxa"/>
            <w:gridSpan w:val="2"/>
            <w:tcBorders>
              <w:top w:val="single" w:sz="5" w:space="0" w:color="000000"/>
              <w:left w:val="single" w:sz="5" w:space="0" w:color="000000"/>
              <w:bottom w:val="single" w:sz="5" w:space="0" w:color="000000"/>
              <w:right w:val="single" w:sz="5" w:space="0" w:color="000000"/>
            </w:tcBorders>
          </w:tcPr>
          <w:p w14:paraId="63F29283" w14:textId="77777777" w:rsidR="00441950" w:rsidRPr="00900098" w:rsidRDefault="00441950" w:rsidP="00441950">
            <w:pPr>
              <w:pStyle w:val="BodyText"/>
              <w:jc w:val="center"/>
            </w:pPr>
            <w:r w:rsidRPr="00900098">
              <w:t>Table 334-4</w:t>
            </w:r>
          </w:p>
          <w:p w14:paraId="6BEBA665" w14:textId="77777777" w:rsidR="00441950" w:rsidRPr="00900098" w:rsidRDefault="00441950" w:rsidP="00441950">
            <w:pPr>
              <w:pStyle w:val="BodyText"/>
              <w:jc w:val="center"/>
            </w:pPr>
            <w:r w:rsidRPr="00900098">
              <w:t>Gyratory Compaction Requirements</w:t>
            </w:r>
          </w:p>
        </w:tc>
      </w:tr>
      <w:tr w:rsidR="00441950" w:rsidRPr="00900098" w14:paraId="740A7DA4" w14:textId="77777777" w:rsidTr="00DF2052">
        <w:trPr>
          <w:trHeight w:hRule="exact" w:val="288"/>
        </w:trPr>
        <w:tc>
          <w:tcPr>
            <w:tcW w:w="4680" w:type="dxa"/>
            <w:tcBorders>
              <w:top w:val="single" w:sz="5" w:space="0" w:color="000000"/>
              <w:left w:val="single" w:sz="5" w:space="0" w:color="000000"/>
              <w:bottom w:val="single" w:sz="5" w:space="0" w:color="000000"/>
              <w:right w:val="single" w:sz="5" w:space="0" w:color="000000"/>
            </w:tcBorders>
            <w:vAlign w:val="center"/>
          </w:tcPr>
          <w:p w14:paraId="2F5A8649" w14:textId="77777777" w:rsidR="00441950" w:rsidRPr="00900098" w:rsidRDefault="00441950" w:rsidP="00441950">
            <w:pPr>
              <w:pStyle w:val="BodyText"/>
              <w:jc w:val="center"/>
            </w:pPr>
            <w:r w:rsidRPr="00900098">
              <w:t>Traffic Level</w:t>
            </w:r>
          </w:p>
        </w:tc>
        <w:tc>
          <w:tcPr>
            <w:tcW w:w="4685" w:type="dxa"/>
            <w:tcBorders>
              <w:top w:val="single" w:sz="5" w:space="0" w:color="000000"/>
              <w:left w:val="single" w:sz="5" w:space="0" w:color="000000"/>
              <w:bottom w:val="single" w:sz="5" w:space="0" w:color="000000"/>
              <w:right w:val="single" w:sz="5" w:space="0" w:color="000000"/>
            </w:tcBorders>
            <w:vAlign w:val="center"/>
          </w:tcPr>
          <w:p w14:paraId="3EDE5FB5" w14:textId="77777777" w:rsidR="00441950" w:rsidRPr="00900098" w:rsidRDefault="00441950" w:rsidP="00441950">
            <w:pPr>
              <w:pStyle w:val="BodyText"/>
              <w:jc w:val="center"/>
            </w:pPr>
            <w:proofErr w:type="spellStart"/>
            <w:r w:rsidRPr="00900098">
              <w:t>N</w:t>
            </w:r>
            <w:r w:rsidRPr="00900098">
              <w:rPr>
                <w:sz w:val="16"/>
              </w:rPr>
              <w:t>design</w:t>
            </w:r>
            <w:proofErr w:type="spellEnd"/>
            <w:r w:rsidRPr="00900098">
              <w:rPr>
                <w:sz w:val="16"/>
              </w:rPr>
              <w:t xml:space="preserve"> </w:t>
            </w:r>
            <w:r w:rsidRPr="00900098">
              <w:t>Number of Gyrations</w:t>
            </w:r>
          </w:p>
        </w:tc>
      </w:tr>
      <w:tr w:rsidR="00441950" w:rsidRPr="00900098" w14:paraId="4B2CCD68" w14:textId="77777777" w:rsidTr="00DF2052">
        <w:trPr>
          <w:trHeight w:hRule="exact" w:val="284"/>
        </w:trPr>
        <w:tc>
          <w:tcPr>
            <w:tcW w:w="4680" w:type="dxa"/>
            <w:tcBorders>
              <w:top w:val="single" w:sz="5" w:space="0" w:color="000000"/>
              <w:left w:val="single" w:sz="5" w:space="0" w:color="000000"/>
              <w:bottom w:val="single" w:sz="5" w:space="0" w:color="000000"/>
              <w:right w:val="single" w:sz="5" w:space="0" w:color="000000"/>
            </w:tcBorders>
            <w:vAlign w:val="center"/>
          </w:tcPr>
          <w:p w14:paraId="5182E314" w14:textId="77777777" w:rsidR="00441950" w:rsidRPr="00900098" w:rsidRDefault="00441950" w:rsidP="00441950">
            <w:pPr>
              <w:pStyle w:val="BodyText"/>
              <w:jc w:val="center"/>
            </w:pPr>
            <w:r w:rsidRPr="00900098">
              <w:t>B</w:t>
            </w:r>
          </w:p>
        </w:tc>
        <w:tc>
          <w:tcPr>
            <w:tcW w:w="4685" w:type="dxa"/>
            <w:tcBorders>
              <w:top w:val="single" w:sz="5" w:space="0" w:color="000000"/>
              <w:left w:val="single" w:sz="5" w:space="0" w:color="000000"/>
              <w:bottom w:val="single" w:sz="5" w:space="0" w:color="000000"/>
              <w:right w:val="single" w:sz="5" w:space="0" w:color="000000"/>
            </w:tcBorders>
            <w:vAlign w:val="center"/>
          </w:tcPr>
          <w:p w14:paraId="254E62B0" w14:textId="77777777" w:rsidR="00441950" w:rsidRPr="00900098" w:rsidRDefault="00441950" w:rsidP="00441950">
            <w:pPr>
              <w:pStyle w:val="BodyText"/>
              <w:jc w:val="center"/>
            </w:pPr>
            <w:r w:rsidRPr="00900098">
              <w:t>65</w:t>
            </w:r>
          </w:p>
        </w:tc>
      </w:tr>
      <w:tr w:rsidR="00441950" w:rsidRPr="00900098" w14:paraId="1C2F3541" w14:textId="77777777" w:rsidTr="00DF2052">
        <w:trPr>
          <w:trHeight w:hRule="exact" w:val="288"/>
        </w:trPr>
        <w:tc>
          <w:tcPr>
            <w:tcW w:w="4680" w:type="dxa"/>
            <w:tcBorders>
              <w:top w:val="single" w:sz="5" w:space="0" w:color="000000"/>
              <w:left w:val="single" w:sz="5" w:space="0" w:color="000000"/>
              <w:bottom w:val="single" w:sz="5" w:space="0" w:color="000000"/>
              <w:right w:val="single" w:sz="5" w:space="0" w:color="000000"/>
            </w:tcBorders>
            <w:vAlign w:val="center"/>
          </w:tcPr>
          <w:p w14:paraId="10D0F5F6" w14:textId="77777777" w:rsidR="00441950" w:rsidRPr="00900098" w:rsidRDefault="00441950" w:rsidP="00441950">
            <w:pPr>
              <w:pStyle w:val="BodyText"/>
              <w:jc w:val="center"/>
            </w:pPr>
            <w:r w:rsidRPr="00900098">
              <w:t>C</w:t>
            </w:r>
          </w:p>
        </w:tc>
        <w:tc>
          <w:tcPr>
            <w:tcW w:w="4685" w:type="dxa"/>
            <w:tcBorders>
              <w:top w:val="single" w:sz="5" w:space="0" w:color="000000"/>
              <w:left w:val="single" w:sz="5" w:space="0" w:color="000000"/>
              <w:bottom w:val="single" w:sz="5" w:space="0" w:color="000000"/>
              <w:right w:val="single" w:sz="5" w:space="0" w:color="000000"/>
            </w:tcBorders>
            <w:vAlign w:val="center"/>
          </w:tcPr>
          <w:p w14:paraId="3B78966A" w14:textId="77777777" w:rsidR="00441950" w:rsidRPr="00900098" w:rsidRDefault="00441950" w:rsidP="00441950">
            <w:pPr>
              <w:pStyle w:val="BodyText"/>
              <w:jc w:val="center"/>
            </w:pPr>
            <w:r w:rsidRPr="00900098">
              <w:t>75</w:t>
            </w:r>
          </w:p>
        </w:tc>
      </w:tr>
    </w:tbl>
    <w:p w14:paraId="7DD24C76" w14:textId="5A1AC2CC" w:rsidR="008A4D09" w:rsidRDefault="008A4D09">
      <w:pPr>
        <w:pStyle w:val="BodyText"/>
        <w:rPr>
          <w:szCs w:val="24"/>
        </w:rPr>
      </w:pPr>
    </w:p>
    <w:p w14:paraId="07CC4AEC" w14:textId="399EFA1D" w:rsidR="008A4D09" w:rsidRDefault="00CA4705">
      <w:pPr>
        <w:pStyle w:val="BodyText"/>
        <w:rPr>
          <w:b/>
          <w:bCs/>
          <w:szCs w:val="24"/>
        </w:rPr>
      </w:pPr>
      <w:r>
        <w:rPr>
          <w:b/>
          <w:bCs/>
          <w:szCs w:val="24"/>
        </w:rPr>
        <w:tab/>
      </w:r>
      <w:r>
        <w:rPr>
          <w:b/>
          <w:bCs/>
          <w:szCs w:val="24"/>
        </w:rPr>
        <w:tab/>
        <w:t>334-3.2.4 Design Criteria:</w:t>
      </w:r>
      <w:r>
        <w:rPr>
          <w:szCs w:val="24"/>
        </w:rPr>
        <w:t xml:space="preserve"> Meet the requirements for nominal maximum </w:t>
      </w:r>
      <w:r w:rsidRPr="00441950">
        <w:t>aggregate size as defined in AASHTO M</w:t>
      </w:r>
      <w:r w:rsidR="00441950" w:rsidRPr="00441950">
        <w:t> 323</w:t>
      </w:r>
      <w:r w:rsidRPr="00441950">
        <w:t xml:space="preserve">, as well as for relative density, VMA, VFA, and dust-to-binder ratio as specified in AASHTO M 323. </w:t>
      </w:r>
      <w:proofErr w:type="spellStart"/>
      <w:r w:rsidRPr="00441950">
        <w:t>N</w:t>
      </w:r>
      <w:r w:rsidRPr="0098154D">
        <w:rPr>
          <w:vertAlign w:val="subscript"/>
        </w:rPr>
        <w:t>initia</w:t>
      </w:r>
      <w:r w:rsidRPr="00441950">
        <w:t>l</w:t>
      </w:r>
      <w:proofErr w:type="spellEnd"/>
      <w:r w:rsidRPr="00441950">
        <w:t xml:space="preserve"> and </w:t>
      </w:r>
      <w:proofErr w:type="spellStart"/>
      <w:r w:rsidRPr="00441950">
        <w:t>N</w:t>
      </w:r>
      <w:r w:rsidRPr="0098154D">
        <w:rPr>
          <w:vertAlign w:val="subscript"/>
        </w:rPr>
        <w:t>maximum</w:t>
      </w:r>
      <w:proofErr w:type="spellEnd"/>
      <w:r w:rsidRPr="00441950">
        <w:t xml:space="preserve"> requirements are not applicable.</w:t>
      </w:r>
    </w:p>
    <w:p w14:paraId="4363038B" w14:textId="77777777" w:rsidR="008A4D09" w:rsidRDefault="00CA4705">
      <w:pPr>
        <w:pStyle w:val="BodyText"/>
        <w:rPr>
          <w:szCs w:val="24"/>
        </w:rPr>
      </w:pPr>
      <w:r>
        <w:rPr>
          <w:b/>
          <w:bCs/>
          <w:szCs w:val="24"/>
        </w:rPr>
        <w:tab/>
      </w:r>
      <w:r>
        <w:rPr>
          <w:b/>
          <w:bCs/>
          <w:szCs w:val="24"/>
        </w:rPr>
        <w:tab/>
        <w:t>334-3.2.5 Moisture Susceptibility:</w:t>
      </w:r>
    </w:p>
    <w:p w14:paraId="488BD419" w14:textId="1B73E15F" w:rsidR="008A4D09" w:rsidRDefault="00CA4705">
      <w:pPr>
        <w:pStyle w:val="BodyText"/>
        <w:rPr>
          <w:szCs w:val="24"/>
        </w:rPr>
      </w:pPr>
      <w:r>
        <w:rPr>
          <w:szCs w:val="24"/>
        </w:rPr>
        <w:tab/>
      </w:r>
      <w:r>
        <w:rPr>
          <w:szCs w:val="24"/>
        </w:rPr>
        <w:tab/>
      </w:r>
      <w:r>
        <w:rPr>
          <w:szCs w:val="24"/>
        </w:rPr>
        <w:tab/>
        <w:t>1. For all traffic levels, use a liquid anti-strip agent listed on the APL at the specified dosage rate. Hydrated lime may be used instead of the liquid anti-strip agent.</w:t>
      </w:r>
    </w:p>
    <w:p w14:paraId="37548C70" w14:textId="4799B3E1" w:rsidR="008A4D09" w:rsidRDefault="00CA4705">
      <w:pPr>
        <w:pStyle w:val="BodyText"/>
        <w:rPr>
          <w:szCs w:val="24"/>
        </w:rPr>
      </w:pPr>
      <w:r>
        <w:rPr>
          <w:sz w:val="23"/>
          <w:szCs w:val="23"/>
        </w:rPr>
        <w:tab/>
      </w:r>
      <w:r>
        <w:rPr>
          <w:sz w:val="23"/>
          <w:szCs w:val="23"/>
        </w:rPr>
        <w:tab/>
      </w:r>
      <w:r>
        <w:rPr>
          <w:sz w:val="23"/>
          <w:szCs w:val="23"/>
        </w:rPr>
        <w:tab/>
        <w:t xml:space="preserve">2. </w:t>
      </w:r>
      <w:r>
        <w:rPr>
          <w:szCs w:val="24"/>
        </w:rPr>
        <w:t>Provide a mixture having a retained tensile strength ratio of at least 0.80 and a minimum tensile strength (unconditioned) of 100 psi in accordance with FM 1-T 283.</w:t>
      </w:r>
    </w:p>
    <w:p w14:paraId="419C77DC" w14:textId="2EF4DF40" w:rsidR="008A4D09" w:rsidRDefault="00CA4705">
      <w:pPr>
        <w:pStyle w:val="BodyText"/>
        <w:rPr>
          <w:szCs w:val="24"/>
        </w:rPr>
      </w:pPr>
      <w:r>
        <w:rPr>
          <w:b/>
          <w:bCs/>
          <w:szCs w:val="24"/>
        </w:rPr>
        <w:tab/>
      </w:r>
      <w:r>
        <w:rPr>
          <w:b/>
          <w:bCs/>
          <w:szCs w:val="24"/>
        </w:rPr>
        <w:tab/>
        <w:t>334-3.2.6 Additional Information:</w:t>
      </w:r>
      <w:r>
        <w:rPr>
          <w:szCs w:val="24"/>
        </w:rPr>
        <w:t xml:space="preserve"> In addition to the requirements listed above, provide the following information on each </w:t>
      </w:r>
      <w:r w:rsidR="0098154D">
        <w:rPr>
          <w:szCs w:val="24"/>
        </w:rPr>
        <w:t>proposed mix design submitted for verification:</w:t>
      </w:r>
    </w:p>
    <w:p w14:paraId="2AAEFE3A" w14:textId="77777777" w:rsidR="008A4D09" w:rsidRDefault="00CA4705">
      <w:pPr>
        <w:pStyle w:val="BodyText"/>
        <w:rPr>
          <w:szCs w:val="24"/>
        </w:rPr>
      </w:pPr>
      <w:r>
        <w:rPr>
          <w:szCs w:val="24"/>
        </w:rPr>
        <w:tab/>
      </w:r>
      <w:r>
        <w:rPr>
          <w:szCs w:val="24"/>
        </w:rPr>
        <w:tab/>
      </w:r>
      <w:r>
        <w:rPr>
          <w:szCs w:val="24"/>
        </w:rPr>
        <w:tab/>
        <w:t>1. The design traffic level and the design number of gyrations (</w:t>
      </w:r>
      <w:proofErr w:type="spellStart"/>
      <w:r>
        <w:rPr>
          <w:szCs w:val="24"/>
        </w:rPr>
        <w:t>N</w:t>
      </w:r>
      <w:r>
        <w:rPr>
          <w:szCs w:val="24"/>
          <w:vertAlign w:val="subscript"/>
        </w:rPr>
        <w:t>design</w:t>
      </w:r>
      <w:proofErr w:type="spellEnd"/>
      <w:r>
        <w:rPr>
          <w:szCs w:val="24"/>
        </w:rPr>
        <w:t>).</w:t>
      </w:r>
    </w:p>
    <w:p w14:paraId="165BBF9B" w14:textId="77777777" w:rsidR="008A4D09" w:rsidRDefault="00CA4705">
      <w:pPr>
        <w:pStyle w:val="BodyText"/>
        <w:rPr>
          <w:szCs w:val="24"/>
        </w:rPr>
      </w:pPr>
      <w:r>
        <w:rPr>
          <w:szCs w:val="24"/>
        </w:rPr>
        <w:tab/>
      </w:r>
      <w:r>
        <w:rPr>
          <w:szCs w:val="24"/>
        </w:rPr>
        <w:tab/>
      </w:r>
      <w:r>
        <w:rPr>
          <w:szCs w:val="24"/>
        </w:rPr>
        <w:tab/>
        <w:t>2. The source and description of the materials to be used.</w:t>
      </w:r>
    </w:p>
    <w:p w14:paraId="58D24A31" w14:textId="590C94A2" w:rsidR="008A4D09" w:rsidRDefault="00CA4705">
      <w:pPr>
        <w:pStyle w:val="BodyText"/>
        <w:rPr>
          <w:szCs w:val="24"/>
        </w:rPr>
      </w:pPr>
      <w:r>
        <w:rPr>
          <w:szCs w:val="24"/>
        </w:rPr>
        <w:tab/>
      </w:r>
      <w:r>
        <w:rPr>
          <w:szCs w:val="24"/>
        </w:rPr>
        <w:tab/>
      </w:r>
      <w:r>
        <w:rPr>
          <w:szCs w:val="24"/>
        </w:rPr>
        <w:tab/>
        <w:t>3. The</w:t>
      </w:r>
      <w:r w:rsidR="004351D4">
        <w:rPr>
          <w:szCs w:val="24"/>
        </w:rPr>
        <w:t xml:space="preserve"> FDOT</w:t>
      </w:r>
      <w:r>
        <w:rPr>
          <w:szCs w:val="24"/>
        </w:rPr>
        <w:t xml:space="preserve"> source number and the FDOT product code of the aggregate components furnished from an FDOT approved source (if required).</w:t>
      </w:r>
    </w:p>
    <w:p w14:paraId="16750C13" w14:textId="77777777" w:rsidR="008A4D09" w:rsidRDefault="00CA4705">
      <w:pPr>
        <w:pStyle w:val="BodyText"/>
        <w:rPr>
          <w:szCs w:val="24"/>
        </w:rPr>
      </w:pPr>
      <w:r>
        <w:rPr>
          <w:szCs w:val="24"/>
        </w:rPr>
        <w:tab/>
      </w:r>
      <w:r>
        <w:rPr>
          <w:szCs w:val="24"/>
        </w:rPr>
        <w:tab/>
      </w:r>
      <w:r>
        <w:rPr>
          <w:szCs w:val="24"/>
        </w:rPr>
        <w:tab/>
        <w:t>4. The gradation and proportions of the raw materials as intended to be combined in the paving mixture. The gradation of the component materials shall be representative of the material at the time of use. Compensate for any change in aggregate gradation caused by handling and processing as necessary.</w:t>
      </w:r>
    </w:p>
    <w:p w14:paraId="235CF950" w14:textId="77777777" w:rsidR="008A4D09" w:rsidRDefault="00CA4705">
      <w:pPr>
        <w:pStyle w:val="BodyText"/>
        <w:rPr>
          <w:szCs w:val="24"/>
        </w:rPr>
      </w:pPr>
      <w:r>
        <w:rPr>
          <w:szCs w:val="24"/>
        </w:rPr>
        <w:tab/>
      </w:r>
      <w:r>
        <w:rPr>
          <w:szCs w:val="24"/>
        </w:rPr>
        <w:tab/>
      </w:r>
      <w:r>
        <w:rPr>
          <w:szCs w:val="24"/>
        </w:rPr>
        <w:tab/>
        <w:t>5. A single percentage of the combined mineral aggregate passing each specified sieve. Degradation of the aggregate due to processing (particularly material passing the No. 200 sieve) should be accounted for and identified.</w:t>
      </w:r>
    </w:p>
    <w:p w14:paraId="40D545AF" w14:textId="52AEEAD5" w:rsidR="008A4D09" w:rsidRDefault="00CA4705">
      <w:pPr>
        <w:pStyle w:val="BodyText"/>
        <w:rPr>
          <w:szCs w:val="24"/>
        </w:rPr>
      </w:pPr>
      <w:r>
        <w:rPr>
          <w:szCs w:val="24"/>
        </w:rPr>
        <w:tab/>
      </w:r>
      <w:r>
        <w:rPr>
          <w:szCs w:val="24"/>
        </w:rPr>
        <w:tab/>
      </w:r>
      <w:r>
        <w:rPr>
          <w:szCs w:val="24"/>
        </w:rPr>
        <w:tab/>
        <w:t>6. The bulk specific gravity (</w:t>
      </w:r>
      <w:proofErr w:type="spellStart"/>
      <w:r>
        <w:rPr>
          <w:szCs w:val="24"/>
        </w:rPr>
        <w:t>G</w:t>
      </w:r>
      <w:r>
        <w:rPr>
          <w:szCs w:val="24"/>
          <w:vertAlign w:val="subscript"/>
        </w:rPr>
        <w:t>sb</w:t>
      </w:r>
      <w:proofErr w:type="spellEnd"/>
      <w:r>
        <w:rPr>
          <w:szCs w:val="24"/>
        </w:rPr>
        <w:t xml:space="preserve">) value for each individual aggregate and RAP component, as identified in the </w:t>
      </w:r>
      <w:r w:rsidR="004351D4">
        <w:rPr>
          <w:szCs w:val="24"/>
        </w:rPr>
        <w:t>FDOT</w:t>
      </w:r>
      <w:r>
        <w:rPr>
          <w:szCs w:val="24"/>
        </w:rPr>
        <w:t xml:space="preserve"> aggregate control program.</w:t>
      </w:r>
    </w:p>
    <w:p w14:paraId="50DF1953" w14:textId="77777777" w:rsidR="008A4D09" w:rsidRDefault="00CA4705">
      <w:pPr>
        <w:pStyle w:val="BodyText"/>
        <w:rPr>
          <w:szCs w:val="24"/>
        </w:rPr>
      </w:pPr>
      <w:r>
        <w:rPr>
          <w:szCs w:val="24"/>
        </w:rPr>
        <w:tab/>
      </w:r>
      <w:r>
        <w:rPr>
          <w:szCs w:val="24"/>
        </w:rPr>
        <w:tab/>
      </w:r>
      <w:r>
        <w:rPr>
          <w:szCs w:val="24"/>
        </w:rPr>
        <w:tab/>
        <w:t>7. A single percentage of asphalt binder by weight of total mix intended to be incorporated in the completed mixture, shown to the nearest 0.1%.</w:t>
      </w:r>
    </w:p>
    <w:p w14:paraId="19DB5B53" w14:textId="1ABBF17D" w:rsidR="008A4D09" w:rsidRDefault="00CA4705">
      <w:pPr>
        <w:pStyle w:val="BodyText"/>
        <w:rPr>
          <w:szCs w:val="24"/>
        </w:rPr>
      </w:pPr>
      <w:r>
        <w:rPr>
          <w:szCs w:val="24"/>
        </w:rPr>
        <w:tab/>
      </w:r>
      <w:r>
        <w:rPr>
          <w:szCs w:val="24"/>
        </w:rPr>
        <w:tab/>
      </w:r>
      <w:r>
        <w:rPr>
          <w:szCs w:val="24"/>
        </w:rPr>
        <w:tab/>
        <w:t>8. A target temperature for the mixture at the plant (mixing temperature) and a target temperature for the mixture at the roadway (compaction temperature). Do not exceed a target temperature of 330°F for PG 76-22 asphalt binders, and 315°F for unmodified asphalt binders.</w:t>
      </w:r>
    </w:p>
    <w:p w14:paraId="0F4B2E49" w14:textId="77777777" w:rsidR="008A4D09" w:rsidRDefault="00CA4705">
      <w:pPr>
        <w:pStyle w:val="BodyText"/>
        <w:rPr>
          <w:szCs w:val="24"/>
        </w:rPr>
      </w:pPr>
      <w:r>
        <w:rPr>
          <w:szCs w:val="24"/>
        </w:rPr>
        <w:tab/>
      </w:r>
      <w:r>
        <w:rPr>
          <w:szCs w:val="24"/>
        </w:rPr>
        <w:tab/>
      </w:r>
      <w:r>
        <w:rPr>
          <w:szCs w:val="24"/>
        </w:rPr>
        <w:tab/>
        <w:t>9. Provide the physical properties at the optimum asphalt content, which must conform to all specified requirements.</w:t>
      </w:r>
    </w:p>
    <w:p w14:paraId="523B63A9" w14:textId="30B25F60" w:rsidR="008A4D09" w:rsidRDefault="00CA4705">
      <w:pPr>
        <w:pStyle w:val="BodyText"/>
        <w:rPr>
          <w:szCs w:val="24"/>
        </w:rPr>
      </w:pPr>
      <w:r>
        <w:rPr>
          <w:szCs w:val="24"/>
        </w:rPr>
        <w:tab/>
      </w:r>
      <w:r>
        <w:rPr>
          <w:szCs w:val="24"/>
        </w:rPr>
        <w:tab/>
      </w:r>
      <w:r>
        <w:rPr>
          <w:szCs w:val="24"/>
        </w:rPr>
        <w:tab/>
        <w:t xml:space="preserve">10. The name of the Construction Training Qualification Program (CTQP) </w:t>
      </w:r>
      <w:r w:rsidR="00CD5445">
        <w:rPr>
          <w:szCs w:val="24"/>
        </w:rPr>
        <w:t>Qualified Mix Designer</w:t>
      </w:r>
      <w:r>
        <w:rPr>
          <w:szCs w:val="24"/>
        </w:rPr>
        <w:t>.</w:t>
      </w:r>
    </w:p>
    <w:p w14:paraId="4B6B2CA0" w14:textId="77777777" w:rsidR="008A4D09" w:rsidRDefault="00CA4705">
      <w:pPr>
        <w:pStyle w:val="BodyText"/>
        <w:rPr>
          <w:szCs w:val="24"/>
        </w:rPr>
      </w:pPr>
      <w:r>
        <w:rPr>
          <w:szCs w:val="24"/>
        </w:rPr>
        <w:tab/>
      </w:r>
      <w:r>
        <w:rPr>
          <w:szCs w:val="24"/>
        </w:rPr>
        <w:tab/>
      </w:r>
      <w:r>
        <w:rPr>
          <w:szCs w:val="24"/>
        </w:rPr>
        <w:tab/>
        <w:t>11. The ignition oven and maximum specific gravity (</w:t>
      </w:r>
      <w:proofErr w:type="spellStart"/>
      <w:r>
        <w:rPr>
          <w:szCs w:val="24"/>
        </w:rPr>
        <w:t>G</w:t>
      </w:r>
      <w:r w:rsidRPr="003D3EF7">
        <w:rPr>
          <w:szCs w:val="24"/>
          <w:vertAlign w:val="subscript"/>
        </w:rPr>
        <w:t>mm</w:t>
      </w:r>
      <w:proofErr w:type="spellEnd"/>
      <w:r>
        <w:rPr>
          <w:szCs w:val="24"/>
        </w:rPr>
        <w:t>) calibration factors.</w:t>
      </w:r>
    </w:p>
    <w:p w14:paraId="699BD4FB" w14:textId="77777777" w:rsidR="008A4D09" w:rsidRDefault="00CA4705">
      <w:pPr>
        <w:pStyle w:val="BodyText"/>
        <w:rPr>
          <w:szCs w:val="24"/>
        </w:rPr>
      </w:pPr>
      <w:r>
        <w:rPr>
          <w:szCs w:val="24"/>
        </w:rPr>
        <w:tab/>
      </w:r>
      <w:r>
        <w:rPr>
          <w:szCs w:val="24"/>
        </w:rPr>
        <w:tab/>
      </w:r>
      <w:r>
        <w:rPr>
          <w:szCs w:val="24"/>
        </w:rPr>
        <w:tab/>
        <w:t xml:space="preserve">12. The warm mix technology, if used. </w:t>
      </w:r>
    </w:p>
    <w:p w14:paraId="1A469FBD" w14:textId="77777777" w:rsidR="008A4D09" w:rsidRDefault="00CA4705">
      <w:pPr>
        <w:pStyle w:val="Article"/>
      </w:pPr>
      <w:r>
        <w:lastRenderedPageBreak/>
        <w:t>334-4 Producer Process Control (PC).</w:t>
      </w:r>
    </w:p>
    <w:p w14:paraId="226AE77C" w14:textId="77777777" w:rsidR="008A4D09" w:rsidRDefault="00CA4705">
      <w:pPr>
        <w:pStyle w:val="BodyText"/>
        <w:rPr>
          <w:szCs w:val="24"/>
        </w:rPr>
      </w:pPr>
      <w:r>
        <w:rPr>
          <w:szCs w:val="24"/>
        </w:rPr>
        <w:tab/>
        <w:t xml:space="preserve">Assume full responsibility for controlling all operations and processes such that the requirements of these Specifications are </w:t>
      </w:r>
      <w:proofErr w:type="gramStart"/>
      <w:r>
        <w:rPr>
          <w:szCs w:val="24"/>
        </w:rPr>
        <w:t>met at all times</w:t>
      </w:r>
      <w:proofErr w:type="gramEnd"/>
      <w:r>
        <w:rPr>
          <w:szCs w:val="24"/>
        </w:rPr>
        <w:t>. Perform any tests necessary at the plant and roadway for process control purposes.</w:t>
      </w:r>
    </w:p>
    <w:p w14:paraId="7A3F4102" w14:textId="20213768" w:rsidR="008A4D09" w:rsidRDefault="00CA4705">
      <w:pPr>
        <w:pStyle w:val="Article"/>
      </w:pPr>
      <w:r>
        <w:t>334-5 General Construction Requirements.</w:t>
      </w:r>
    </w:p>
    <w:p w14:paraId="67ADD612" w14:textId="77777777" w:rsidR="008A4D09" w:rsidRDefault="00CA4705">
      <w:pPr>
        <w:pStyle w:val="BodyText"/>
        <w:rPr>
          <w:szCs w:val="24"/>
        </w:rPr>
      </w:pPr>
      <w:r>
        <w:rPr>
          <w:b/>
          <w:bCs/>
          <w:szCs w:val="24"/>
        </w:rPr>
        <w:tab/>
        <w:t>334-5.1 Weather Limitations:</w:t>
      </w:r>
      <w:r>
        <w:rPr>
          <w:szCs w:val="24"/>
        </w:rPr>
        <w:t xml:space="preserve"> Do not transport asphalt mix from the plant to the roadway unless all weather conditions are suitable for the laying operations.</w:t>
      </w:r>
    </w:p>
    <w:p w14:paraId="12FA638F" w14:textId="77777777" w:rsidR="008A4D09" w:rsidRDefault="00CA4705">
      <w:pPr>
        <w:pStyle w:val="BodyText"/>
        <w:ind w:firstLine="720"/>
        <w:rPr>
          <w:b/>
        </w:rPr>
      </w:pPr>
      <w:r>
        <w:rPr>
          <w:b/>
        </w:rPr>
        <w:t>334-5.2 Limitations of Paving Operations:</w:t>
      </w:r>
    </w:p>
    <w:p w14:paraId="2ACA1175" w14:textId="10EA66D0" w:rsidR="008A4D09" w:rsidRDefault="00CA4705">
      <w:pPr>
        <w:pStyle w:val="BodyText"/>
        <w:rPr>
          <w:szCs w:val="24"/>
        </w:rPr>
      </w:pPr>
      <w:r>
        <w:rPr>
          <w:szCs w:val="24"/>
        </w:rPr>
        <w:tab/>
      </w:r>
      <w:r>
        <w:rPr>
          <w:szCs w:val="24"/>
        </w:rPr>
        <w:tab/>
      </w:r>
      <w:r>
        <w:rPr>
          <w:b/>
          <w:bCs/>
          <w:szCs w:val="24"/>
        </w:rPr>
        <w:t>334-5.2.1 General:</w:t>
      </w:r>
      <w:r>
        <w:rPr>
          <w:szCs w:val="24"/>
        </w:rPr>
        <w:t xml:space="preserve"> Place the mixture only when the surface upon which it is to be placed has been previously prepared, is intact, firm, dry, clean, and the tack or prime coat, with acceptable spread rate, is properly broken or cured. Do not place friction course until the adjacent shoulder area has been dressed and grassed.</w:t>
      </w:r>
    </w:p>
    <w:p w14:paraId="250C8B4C" w14:textId="61660014" w:rsidR="008A4D09" w:rsidRDefault="00CA4705">
      <w:pPr>
        <w:pStyle w:val="BodyText"/>
        <w:rPr>
          <w:szCs w:val="24"/>
        </w:rPr>
      </w:pPr>
      <w:r>
        <w:rPr>
          <w:szCs w:val="24"/>
        </w:rPr>
        <w:tab/>
      </w:r>
      <w:r>
        <w:rPr>
          <w:szCs w:val="24"/>
        </w:rPr>
        <w:tab/>
      </w:r>
      <w:r>
        <w:rPr>
          <w:b/>
          <w:bCs/>
          <w:szCs w:val="24"/>
        </w:rPr>
        <w:t>334-5.2.2 Ambient Air Temperature:</w:t>
      </w:r>
      <w:r>
        <w:rPr>
          <w:szCs w:val="24"/>
        </w:rPr>
        <w:t xml:space="preserve"> Place the mixture only when the air temperature in the shade and away from artificial heat meets the requirements of Table 334-</w:t>
      </w:r>
      <w:r w:rsidR="003D3EF7">
        <w:rPr>
          <w:szCs w:val="24"/>
        </w:rPr>
        <w:t>5</w:t>
      </w:r>
      <w:r>
        <w:rPr>
          <w:szCs w:val="24"/>
        </w:rPr>
        <w:t>. The minimum ambient temperature requirement may be reduced by 5ºF when using warm mix technology, if mutually agreed to by both the Engineer and the Contractor.</w:t>
      </w:r>
    </w:p>
    <w:p w14:paraId="6D48BB9F" w14:textId="77777777" w:rsidR="008A4D09" w:rsidRDefault="008A4D09">
      <w:pPr>
        <w:pStyle w:val="BodyText"/>
        <w:rPr>
          <w:szCs w:val="24"/>
        </w:rPr>
      </w:pPr>
    </w:p>
    <w:tbl>
      <w:tblPr>
        <w:tblW w:w="9905" w:type="dxa"/>
        <w:tblBorders>
          <w:top w:val="nil"/>
          <w:left w:val="nil"/>
          <w:bottom w:val="nil"/>
          <w:right w:val="nil"/>
        </w:tblBorders>
        <w:tblLayout w:type="fixed"/>
        <w:tblLook w:val="0000" w:firstRow="0" w:lastRow="0" w:firstColumn="0" w:lastColumn="0" w:noHBand="0" w:noVBand="0"/>
      </w:tblPr>
      <w:tblGrid>
        <w:gridCol w:w="4952"/>
        <w:gridCol w:w="4953"/>
      </w:tblGrid>
      <w:tr w:rsidR="008A4D09" w14:paraId="72D7DD71" w14:textId="77777777">
        <w:trPr>
          <w:trHeight w:val="161"/>
          <w:tblHeader/>
        </w:trPr>
        <w:tc>
          <w:tcPr>
            <w:tcW w:w="9905" w:type="dxa"/>
            <w:gridSpan w:val="2"/>
            <w:tcBorders>
              <w:top w:val="single" w:sz="4" w:space="0" w:color="auto"/>
              <w:left w:val="single" w:sz="4" w:space="0" w:color="auto"/>
              <w:bottom w:val="nil"/>
              <w:right w:val="single" w:sz="4" w:space="0" w:color="auto"/>
            </w:tcBorders>
          </w:tcPr>
          <w:p w14:paraId="1A52BAE0" w14:textId="49F6FA3E" w:rsidR="008A4D09" w:rsidRDefault="00CA4705" w:rsidP="003D3EF7">
            <w:pPr>
              <w:pStyle w:val="BodyText"/>
              <w:jc w:val="center"/>
            </w:pPr>
            <w:r>
              <w:t>Table 334-</w:t>
            </w:r>
            <w:r w:rsidR="008401F9">
              <w:rPr>
                <w:color w:val="000000"/>
                <w:szCs w:val="24"/>
              </w:rPr>
              <w:t>5</w:t>
            </w:r>
          </w:p>
        </w:tc>
      </w:tr>
      <w:tr w:rsidR="008A4D09" w14:paraId="51C59691" w14:textId="77777777">
        <w:trPr>
          <w:trHeight w:val="161"/>
          <w:tblHeader/>
        </w:trPr>
        <w:tc>
          <w:tcPr>
            <w:tcW w:w="9905" w:type="dxa"/>
            <w:gridSpan w:val="2"/>
            <w:tcBorders>
              <w:top w:val="nil"/>
              <w:left w:val="single" w:sz="4" w:space="0" w:color="auto"/>
              <w:bottom w:val="single" w:sz="4" w:space="0" w:color="auto"/>
              <w:right w:val="single" w:sz="4" w:space="0" w:color="auto"/>
            </w:tcBorders>
          </w:tcPr>
          <w:p w14:paraId="5E572F7C" w14:textId="77777777" w:rsidR="008A4D09" w:rsidRDefault="00CA4705" w:rsidP="003D3EF7">
            <w:pPr>
              <w:pStyle w:val="BodyText"/>
              <w:jc w:val="center"/>
            </w:pPr>
            <w:r>
              <w:t>Ambient Air Temperature Requirements for Paving</w:t>
            </w:r>
          </w:p>
        </w:tc>
      </w:tr>
      <w:tr w:rsidR="008A4D09" w14:paraId="7CE194FE" w14:textId="77777777">
        <w:trPr>
          <w:trHeight w:val="161"/>
          <w:tblHeader/>
        </w:trPr>
        <w:tc>
          <w:tcPr>
            <w:tcW w:w="4952" w:type="dxa"/>
            <w:tcBorders>
              <w:top w:val="single" w:sz="4" w:space="0" w:color="auto"/>
              <w:left w:val="single" w:sz="4" w:space="0" w:color="auto"/>
              <w:bottom w:val="single" w:sz="4" w:space="0" w:color="auto"/>
              <w:right w:val="single" w:sz="4" w:space="0" w:color="auto"/>
            </w:tcBorders>
          </w:tcPr>
          <w:p w14:paraId="242E0F72" w14:textId="77777777" w:rsidR="008A4D09" w:rsidRDefault="00CA4705" w:rsidP="003D3EF7">
            <w:pPr>
              <w:pStyle w:val="BodyText"/>
              <w:jc w:val="center"/>
              <w:rPr>
                <w:sz w:val="23"/>
                <w:szCs w:val="23"/>
              </w:rPr>
            </w:pPr>
            <w:r>
              <w:rPr>
                <w:sz w:val="23"/>
                <w:szCs w:val="23"/>
              </w:rPr>
              <w:t>Layer Thickness or Asphalt Binder Type</w:t>
            </w:r>
          </w:p>
        </w:tc>
        <w:tc>
          <w:tcPr>
            <w:tcW w:w="4953" w:type="dxa"/>
            <w:tcBorders>
              <w:top w:val="single" w:sz="4" w:space="0" w:color="auto"/>
              <w:left w:val="single" w:sz="4" w:space="0" w:color="auto"/>
              <w:bottom w:val="single" w:sz="4" w:space="0" w:color="auto"/>
              <w:right w:val="single" w:sz="4" w:space="0" w:color="auto"/>
            </w:tcBorders>
          </w:tcPr>
          <w:p w14:paraId="161348EE" w14:textId="0F41D1D1" w:rsidR="008A4D09" w:rsidRDefault="00CA4705" w:rsidP="003D3EF7">
            <w:pPr>
              <w:pStyle w:val="BodyText"/>
              <w:jc w:val="center"/>
            </w:pPr>
            <w:r>
              <w:t>Minimum Temperature (°F)</w:t>
            </w:r>
          </w:p>
        </w:tc>
      </w:tr>
      <w:tr w:rsidR="008A4D09" w14:paraId="32F631FE" w14:textId="77777777">
        <w:trPr>
          <w:trHeight w:val="161"/>
          <w:tblHeader/>
        </w:trPr>
        <w:tc>
          <w:tcPr>
            <w:tcW w:w="4952" w:type="dxa"/>
            <w:tcBorders>
              <w:top w:val="single" w:sz="4" w:space="0" w:color="auto"/>
              <w:left w:val="single" w:sz="4" w:space="0" w:color="auto"/>
              <w:bottom w:val="single" w:sz="4" w:space="0" w:color="auto"/>
              <w:right w:val="single" w:sz="4" w:space="0" w:color="auto"/>
            </w:tcBorders>
          </w:tcPr>
          <w:p w14:paraId="751DDFDD" w14:textId="77777777" w:rsidR="008A4D09" w:rsidRDefault="00CA4705" w:rsidP="003D3EF7">
            <w:pPr>
              <w:pStyle w:val="BodyText"/>
              <w:jc w:val="center"/>
              <w:rPr>
                <w:sz w:val="23"/>
                <w:szCs w:val="23"/>
              </w:rPr>
            </w:pPr>
            <w:r>
              <w:rPr>
                <w:sz w:val="23"/>
                <w:szCs w:val="23"/>
              </w:rPr>
              <w:t>≤ 1 inch</w:t>
            </w:r>
          </w:p>
        </w:tc>
        <w:tc>
          <w:tcPr>
            <w:tcW w:w="4953" w:type="dxa"/>
            <w:tcBorders>
              <w:top w:val="single" w:sz="4" w:space="0" w:color="auto"/>
              <w:left w:val="single" w:sz="4" w:space="0" w:color="auto"/>
              <w:bottom w:val="single" w:sz="4" w:space="0" w:color="auto"/>
              <w:right w:val="single" w:sz="4" w:space="0" w:color="auto"/>
            </w:tcBorders>
          </w:tcPr>
          <w:p w14:paraId="16220A6A" w14:textId="6B1AE6B6" w:rsidR="008A4D09" w:rsidRDefault="00CA4705" w:rsidP="003D3EF7">
            <w:pPr>
              <w:pStyle w:val="BodyText"/>
              <w:jc w:val="center"/>
            </w:pPr>
            <w:r>
              <w:t>50</w:t>
            </w:r>
          </w:p>
        </w:tc>
      </w:tr>
      <w:tr w:rsidR="008A4D09" w14:paraId="1D94234E" w14:textId="77777777">
        <w:trPr>
          <w:trHeight w:val="299"/>
          <w:tblHeader/>
        </w:trPr>
        <w:tc>
          <w:tcPr>
            <w:tcW w:w="4952" w:type="dxa"/>
            <w:tcBorders>
              <w:top w:val="single" w:sz="4" w:space="0" w:color="auto"/>
              <w:left w:val="single" w:sz="4" w:space="0" w:color="auto"/>
              <w:bottom w:val="single" w:sz="4" w:space="0" w:color="auto"/>
              <w:right w:val="single" w:sz="4" w:space="0" w:color="auto"/>
            </w:tcBorders>
          </w:tcPr>
          <w:p w14:paraId="29E89A91" w14:textId="77777777" w:rsidR="008A4D09" w:rsidRDefault="00CA4705" w:rsidP="003D3EF7">
            <w:pPr>
              <w:pStyle w:val="BodyText"/>
              <w:jc w:val="center"/>
              <w:rPr>
                <w:sz w:val="23"/>
                <w:szCs w:val="23"/>
              </w:rPr>
            </w:pPr>
            <w:r>
              <w:rPr>
                <w:sz w:val="23"/>
                <w:szCs w:val="23"/>
              </w:rPr>
              <w:t>Any mixture &gt; 1 inch containing a PG asphalt binder with a high temperature designation ≥ 76°C</w:t>
            </w:r>
          </w:p>
        </w:tc>
        <w:tc>
          <w:tcPr>
            <w:tcW w:w="4953" w:type="dxa"/>
            <w:tcBorders>
              <w:top w:val="single" w:sz="4" w:space="0" w:color="auto"/>
              <w:left w:val="single" w:sz="4" w:space="0" w:color="auto"/>
              <w:bottom w:val="single" w:sz="4" w:space="0" w:color="auto"/>
              <w:right w:val="single" w:sz="4" w:space="0" w:color="auto"/>
            </w:tcBorders>
          </w:tcPr>
          <w:p w14:paraId="5B7E767B" w14:textId="0211BF45" w:rsidR="008A4D09" w:rsidRDefault="00CA4705" w:rsidP="003D3EF7">
            <w:pPr>
              <w:pStyle w:val="BodyText"/>
              <w:jc w:val="center"/>
            </w:pPr>
            <w:r>
              <w:t>45</w:t>
            </w:r>
          </w:p>
        </w:tc>
      </w:tr>
      <w:tr w:rsidR="008A4D09" w14:paraId="22CB3380" w14:textId="77777777">
        <w:trPr>
          <w:trHeight w:val="299"/>
          <w:tblHeader/>
        </w:trPr>
        <w:tc>
          <w:tcPr>
            <w:tcW w:w="4952" w:type="dxa"/>
            <w:tcBorders>
              <w:top w:val="single" w:sz="4" w:space="0" w:color="auto"/>
              <w:left w:val="single" w:sz="4" w:space="0" w:color="auto"/>
              <w:bottom w:val="single" w:sz="4" w:space="0" w:color="auto"/>
              <w:right w:val="single" w:sz="4" w:space="0" w:color="auto"/>
            </w:tcBorders>
          </w:tcPr>
          <w:p w14:paraId="571B19E9" w14:textId="77777777" w:rsidR="008A4D09" w:rsidRDefault="00CA4705" w:rsidP="003D3EF7">
            <w:pPr>
              <w:pStyle w:val="BodyText"/>
              <w:jc w:val="center"/>
              <w:rPr>
                <w:sz w:val="23"/>
                <w:szCs w:val="23"/>
              </w:rPr>
            </w:pPr>
            <w:r>
              <w:rPr>
                <w:sz w:val="23"/>
                <w:szCs w:val="23"/>
              </w:rPr>
              <w:t>Any mixture &gt; 1 inch containing a PG asphalt binder with a high temperature designation &lt; 76°C</w:t>
            </w:r>
          </w:p>
        </w:tc>
        <w:tc>
          <w:tcPr>
            <w:tcW w:w="4953" w:type="dxa"/>
            <w:tcBorders>
              <w:top w:val="single" w:sz="4" w:space="0" w:color="auto"/>
              <w:left w:val="single" w:sz="4" w:space="0" w:color="auto"/>
              <w:bottom w:val="single" w:sz="4" w:space="0" w:color="auto"/>
              <w:right w:val="single" w:sz="4" w:space="0" w:color="auto"/>
            </w:tcBorders>
          </w:tcPr>
          <w:p w14:paraId="45BDF0C9" w14:textId="7DE363F3" w:rsidR="008A4D09" w:rsidRDefault="00CA4705" w:rsidP="003D3EF7">
            <w:pPr>
              <w:pStyle w:val="BodyText"/>
              <w:jc w:val="center"/>
            </w:pPr>
            <w:r>
              <w:t>40</w:t>
            </w:r>
          </w:p>
        </w:tc>
      </w:tr>
      <w:tr w:rsidR="008A4D09" w14:paraId="0DB964B1" w14:textId="77777777">
        <w:trPr>
          <w:trHeight w:val="166"/>
          <w:tblHeader/>
        </w:trPr>
        <w:tc>
          <w:tcPr>
            <w:tcW w:w="4952" w:type="dxa"/>
            <w:tcBorders>
              <w:top w:val="single" w:sz="4" w:space="0" w:color="auto"/>
              <w:left w:val="single" w:sz="4" w:space="0" w:color="auto"/>
              <w:bottom w:val="single" w:sz="4" w:space="0" w:color="auto"/>
              <w:right w:val="single" w:sz="4" w:space="0" w:color="auto"/>
            </w:tcBorders>
          </w:tcPr>
          <w:p w14:paraId="68837F3A" w14:textId="77777777" w:rsidR="008A4D09" w:rsidRDefault="00CA4705" w:rsidP="003D3EF7">
            <w:pPr>
              <w:pStyle w:val="BodyText"/>
              <w:jc w:val="center"/>
              <w:rPr>
                <w:sz w:val="16"/>
                <w:szCs w:val="16"/>
              </w:rPr>
            </w:pPr>
            <w:r>
              <w:rPr>
                <w:sz w:val="23"/>
                <w:szCs w:val="23"/>
              </w:rPr>
              <w:t>FC-5</w:t>
            </w:r>
            <w:r>
              <w:rPr>
                <w:position w:val="8"/>
                <w:sz w:val="16"/>
                <w:szCs w:val="16"/>
                <w:vertAlign w:val="superscript"/>
              </w:rPr>
              <w:t>(1)</w:t>
            </w:r>
          </w:p>
        </w:tc>
        <w:tc>
          <w:tcPr>
            <w:tcW w:w="4953" w:type="dxa"/>
            <w:tcBorders>
              <w:top w:val="single" w:sz="4" w:space="0" w:color="auto"/>
              <w:left w:val="single" w:sz="4" w:space="0" w:color="auto"/>
              <w:bottom w:val="single" w:sz="4" w:space="0" w:color="auto"/>
              <w:right w:val="single" w:sz="4" w:space="0" w:color="auto"/>
            </w:tcBorders>
          </w:tcPr>
          <w:p w14:paraId="17B4CA16" w14:textId="177E4FBA" w:rsidR="008A4D09" w:rsidRDefault="00CA4705" w:rsidP="003D3EF7">
            <w:pPr>
              <w:pStyle w:val="BodyText"/>
              <w:jc w:val="center"/>
            </w:pPr>
            <w:r>
              <w:t>65</w:t>
            </w:r>
          </w:p>
        </w:tc>
      </w:tr>
      <w:tr w:rsidR="008A4D09" w14:paraId="0FB37565" w14:textId="77777777">
        <w:trPr>
          <w:trHeight w:val="432"/>
          <w:tblHeader/>
        </w:trPr>
        <w:tc>
          <w:tcPr>
            <w:tcW w:w="9905" w:type="dxa"/>
            <w:gridSpan w:val="2"/>
            <w:tcBorders>
              <w:top w:val="single" w:sz="4" w:space="0" w:color="auto"/>
              <w:left w:val="single" w:sz="4" w:space="0" w:color="auto"/>
              <w:bottom w:val="single" w:sz="4" w:space="0" w:color="auto"/>
              <w:right w:val="single" w:sz="4" w:space="0" w:color="auto"/>
            </w:tcBorders>
          </w:tcPr>
          <w:p w14:paraId="1C58A4B5" w14:textId="2E50D5D8" w:rsidR="008A4D09" w:rsidRPr="008401F9" w:rsidRDefault="008401F9" w:rsidP="00086DDE">
            <w:pPr>
              <w:pStyle w:val="BodyText"/>
              <w:spacing w:after="60"/>
            </w:pPr>
            <w:r w:rsidRPr="008401F9">
              <w:rPr>
                <w:sz w:val="20"/>
                <w:szCs w:val="16"/>
                <w:vertAlign w:val="superscript"/>
              </w:rPr>
              <w:t>(1)</w:t>
            </w:r>
            <w:r>
              <w:rPr>
                <w:sz w:val="20"/>
                <w:szCs w:val="16"/>
              </w:rPr>
              <w:t xml:space="preserve"> </w:t>
            </w:r>
            <w:r w:rsidR="00CA4705" w:rsidRPr="008401F9">
              <w:rPr>
                <w:sz w:val="20"/>
                <w:szCs w:val="16"/>
              </w:rPr>
              <w:t>As an exception, place the mixture at temperatures no lower than 60ºF, only when approved by the Engineer based on the Contractor’s demonstrated ability to achieve a satisfactory surface texture and appearance of the finished surface. For mixtures containing PG 76-22 binder, the minimum ambient temperature may be further reduced to 55ºF when using warm mix technology, if agreed to by both the Engineer and the Contractor.</w:t>
            </w:r>
          </w:p>
        </w:tc>
      </w:tr>
    </w:tbl>
    <w:p w14:paraId="72AB5BA9" w14:textId="77777777" w:rsidR="008A4D09" w:rsidRDefault="008A4D09">
      <w:pPr>
        <w:pStyle w:val="BodyText"/>
        <w:rPr>
          <w:szCs w:val="24"/>
        </w:rPr>
      </w:pPr>
    </w:p>
    <w:p w14:paraId="32E85689" w14:textId="22EAEFC5" w:rsidR="008A4D09" w:rsidRDefault="00CA4705">
      <w:pPr>
        <w:pStyle w:val="BodyText"/>
        <w:rPr>
          <w:szCs w:val="24"/>
        </w:rPr>
      </w:pPr>
      <w:r>
        <w:rPr>
          <w:b/>
          <w:bCs/>
          <w:szCs w:val="24"/>
        </w:rPr>
        <w:tab/>
        <w:t>334-5.3 Mix Temperature:</w:t>
      </w:r>
      <w:r>
        <w:rPr>
          <w:szCs w:val="24"/>
        </w:rPr>
        <w:t xml:space="preserve"> Heat and combine the ingredients of the mix in such a manner as to produce a mixture with a temperature at the plant and at the roadway, within a range of plus or minus 30ºF from the target temperature as shown on the mix design. Reject all loads outside of this range.</w:t>
      </w:r>
      <w:r>
        <w:rPr>
          <w:b/>
          <w:bCs/>
          <w:szCs w:val="24"/>
        </w:rPr>
        <w:t xml:space="preserve"> </w:t>
      </w:r>
      <w:r>
        <w:rPr>
          <w:szCs w:val="24"/>
        </w:rPr>
        <w:t>Reject any load or portion of a load of asphalt mix at the plant or at the roadway with a temperature outside of its respective master range shown in Table334-</w:t>
      </w:r>
      <w:r w:rsidR="00FB071E">
        <w:rPr>
          <w:szCs w:val="24"/>
        </w:rPr>
        <w:t>6</w:t>
      </w:r>
      <w:r>
        <w:rPr>
          <w:szCs w:val="24"/>
        </w:rPr>
        <w:t>. Notify the Engineer of the rejection immediately.</w:t>
      </w:r>
    </w:p>
    <w:p w14:paraId="164C8E3A" w14:textId="77777777" w:rsidR="008A4D09" w:rsidRDefault="008A4D09">
      <w:pPr>
        <w:pStyle w:val="BodyText"/>
        <w:rPr>
          <w:sz w:val="23"/>
          <w:szCs w:val="23"/>
        </w:rPr>
      </w:pPr>
    </w:p>
    <w:tbl>
      <w:tblPr>
        <w:tblW w:w="9586" w:type="dxa"/>
        <w:tblLayout w:type="fixed"/>
        <w:tblLook w:val="0000" w:firstRow="0" w:lastRow="0" w:firstColumn="0" w:lastColumn="0" w:noHBand="0" w:noVBand="0"/>
      </w:tblPr>
      <w:tblGrid>
        <w:gridCol w:w="4792"/>
        <w:gridCol w:w="4794"/>
      </w:tblGrid>
      <w:tr w:rsidR="008A4D09" w14:paraId="1B6813BA" w14:textId="77777777">
        <w:trPr>
          <w:trHeight w:val="155"/>
        </w:trPr>
        <w:tc>
          <w:tcPr>
            <w:tcW w:w="9586" w:type="dxa"/>
            <w:gridSpan w:val="2"/>
            <w:tcBorders>
              <w:top w:val="single" w:sz="4" w:space="0" w:color="auto"/>
              <w:left w:val="single" w:sz="4" w:space="0" w:color="auto"/>
              <w:bottom w:val="single" w:sz="4" w:space="0" w:color="auto"/>
              <w:right w:val="single" w:sz="4" w:space="0" w:color="auto"/>
            </w:tcBorders>
          </w:tcPr>
          <w:p w14:paraId="11F9135A" w14:textId="29FD2AD7" w:rsidR="008A4D09" w:rsidRDefault="00CA4705">
            <w:pPr>
              <w:spacing w:after="0" w:line="240" w:lineRule="auto"/>
              <w:jc w:val="center"/>
              <w:rPr>
                <w:color w:val="000000"/>
                <w:sz w:val="24"/>
                <w:szCs w:val="24"/>
              </w:rPr>
            </w:pPr>
            <w:r>
              <w:rPr>
                <w:color w:val="000000"/>
                <w:sz w:val="24"/>
                <w:szCs w:val="24"/>
              </w:rPr>
              <w:t>Table 334-</w:t>
            </w:r>
            <w:r w:rsidR="00FB071E">
              <w:rPr>
                <w:szCs w:val="24"/>
              </w:rPr>
              <w:t>6</w:t>
            </w:r>
          </w:p>
        </w:tc>
      </w:tr>
      <w:tr w:rsidR="008A4D09" w14:paraId="08D73374" w14:textId="77777777">
        <w:trPr>
          <w:trHeight w:val="155"/>
        </w:trPr>
        <w:tc>
          <w:tcPr>
            <w:tcW w:w="9586" w:type="dxa"/>
            <w:gridSpan w:val="2"/>
            <w:tcBorders>
              <w:top w:val="single" w:sz="4" w:space="0" w:color="auto"/>
              <w:left w:val="single" w:sz="4" w:space="0" w:color="auto"/>
              <w:bottom w:val="single" w:sz="4" w:space="0" w:color="auto"/>
              <w:right w:val="single" w:sz="4" w:space="0" w:color="auto"/>
            </w:tcBorders>
          </w:tcPr>
          <w:p w14:paraId="02C98A9C" w14:textId="77777777" w:rsidR="008A4D09" w:rsidRDefault="00CA4705">
            <w:pPr>
              <w:spacing w:after="0" w:line="240" w:lineRule="auto"/>
              <w:jc w:val="center"/>
              <w:rPr>
                <w:color w:val="000000"/>
                <w:sz w:val="24"/>
                <w:szCs w:val="24"/>
              </w:rPr>
            </w:pPr>
            <w:r>
              <w:rPr>
                <w:color w:val="000000"/>
                <w:sz w:val="24"/>
                <w:szCs w:val="24"/>
              </w:rPr>
              <w:t>Mix Temperature Master Range Tolerance</w:t>
            </w:r>
          </w:p>
        </w:tc>
      </w:tr>
      <w:tr w:rsidR="008A4D09" w14:paraId="1AB7CF55" w14:textId="77777777">
        <w:trPr>
          <w:trHeight w:val="155"/>
        </w:trPr>
        <w:tc>
          <w:tcPr>
            <w:tcW w:w="4792" w:type="dxa"/>
            <w:tcBorders>
              <w:top w:val="single" w:sz="4" w:space="0" w:color="auto"/>
              <w:left w:val="single" w:sz="4" w:space="0" w:color="auto"/>
              <w:bottom w:val="single" w:sz="4" w:space="0" w:color="auto"/>
              <w:right w:val="single" w:sz="4" w:space="0" w:color="auto"/>
            </w:tcBorders>
          </w:tcPr>
          <w:p w14:paraId="42DDA622" w14:textId="77777777" w:rsidR="008A4D09" w:rsidRDefault="00CA4705">
            <w:pPr>
              <w:spacing w:after="0" w:line="240" w:lineRule="auto"/>
              <w:jc w:val="center"/>
              <w:rPr>
                <w:color w:val="000000"/>
                <w:sz w:val="24"/>
                <w:szCs w:val="24"/>
              </w:rPr>
            </w:pPr>
            <w:r>
              <w:rPr>
                <w:color w:val="000000"/>
                <w:sz w:val="24"/>
                <w:szCs w:val="24"/>
              </w:rPr>
              <w:t>Location</w:t>
            </w:r>
          </w:p>
        </w:tc>
        <w:tc>
          <w:tcPr>
            <w:tcW w:w="4794" w:type="dxa"/>
            <w:tcBorders>
              <w:top w:val="single" w:sz="4" w:space="0" w:color="auto"/>
              <w:left w:val="single" w:sz="4" w:space="0" w:color="auto"/>
              <w:bottom w:val="single" w:sz="4" w:space="0" w:color="auto"/>
              <w:right w:val="single" w:sz="4" w:space="0" w:color="auto"/>
            </w:tcBorders>
          </w:tcPr>
          <w:p w14:paraId="4C3B51A4" w14:textId="77777777" w:rsidR="008A4D09" w:rsidRDefault="00CA4705">
            <w:pPr>
              <w:spacing w:after="0" w:line="240" w:lineRule="auto"/>
              <w:jc w:val="center"/>
              <w:rPr>
                <w:color w:val="000000"/>
                <w:sz w:val="24"/>
                <w:szCs w:val="24"/>
              </w:rPr>
            </w:pPr>
            <w:r>
              <w:rPr>
                <w:color w:val="000000"/>
                <w:sz w:val="24"/>
                <w:szCs w:val="24"/>
              </w:rPr>
              <w:t xml:space="preserve">Acceptable Temperature Tolerance </w:t>
            </w:r>
          </w:p>
        </w:tc>
      </w:tr>
      <w:tr w:rsidR="008A4D09" w14:paraId="207AB9AF" w14:textId="77777777">
        <w:trPr>
          <w:trHeight w:val="155"/>
        </w:trPr>
        <w:tc>
          <w:tcPr>
            <w:tcW w:w="4792" w:type="dxa"/>
            <w:tcBorders>
              <w:top w:val="single" w:sz="4" w:space="0" w:color="auto"/>
              <w:left w:val="single" w:sz="4" w:space="0" w:color="auto"/>
              <w:bottom w:val="single" w:sz="4" w:space="0" w:color="auto"/>
              <w:right w:val="single" w:sz="4" w:space="0" w:color="auto"/>
            </w:tcBorders>
          </w:tcPr>
          <w:p w14:paraId="18999FB0" w14:textId="77777777" w:rsidR="008A4D09" w:rsidRDefault="00CA4705">
            <w:pPr>
              <w:spacing w:after="0" w:line="240" w:lineRule="auto"/>
              <w:jc w:val="center"/>
              <w:rPr>
                <w:color w:val="000000"/>
                <w:sz w:val="24"/>
                <w:szCs w:val="24"/>
              </w:rPr>
            </w:pPr>
            <w:r>
              <w:rPr>
                <w:color w:val="000000"/>
                <w:sz w:val="24"/>
                <w:szCs w:val="24"/>
              </w:rPr>
              <w:t>Plant</w:t>
            </w:r>
          </w:p>
        </w:tc>
        <w:tc>
          <w:tcPr>
            <w:tcW w:w="4794" w:type="dxa"/>
            <w:tcBorders>
              <w:top w:val="single" w:sz="4" w:space="0" w:color="auto"/>
              <w:left w:val="single" w:sz="4" w:space="0" w:color="auto"/>
              <w:bottom w:val="single" w:sz="4" w:space="0" w:color="auto"/>
              <w:right w:val="single" w:sz="4" w:space="0" w:color="auto"/>
            </w:tcBorders>
          </w:tcPr>
          <w:p w14:paraId="588FD211" w14:textId="71F84220" w:rsidR="008A4D09" w:rsidRDefault="00CA4705">
            <w:pPr>
              <w:spacing w:after="0" w:line="240" w:lineRule="auto"/>
              <w:jc w:val="center"/>
              <w:rPr>
                <w:color w:val="000000"/>
                <w:sz w:val="24"/>
                <w:szCs w:val="24"/>
              </w:rPr>
            </w:pPr>
            <w:r>
              <w:rPr>
                <w:color w:val="000000"/>
                <w:sz w:val="24"/>
                <w:szCs w:val="24"/>
              </w:rPr>
              <w:t>Mixing Temperature ±30</w:t>
            </w:r>
            <w:r w:rsidR="00BE6BB6">
              <w:rPr>
                <w:color w:val="000000"/>
                <w:sz w:val="24"/>
                <w:szCs w:val="24"/>
              </w:rPr>
              <w:t>°</w:t>
            </w:r>
            <w:r>
              <w:rPr>
                <w:color w:val="000000"/>
                <w:sz w:val="24"/>
                <w:szCs w:val="24"/>
              </w:rPr>
              <w:t xml:space="preserve">F </w:t>
            </w:r>
          </w:p>
        </w:tc>
      </w:tr>
      <w:tr w:rsidR="008A4D09" w14:paraId="3ED635D6" w14:textId="77777777">
        <w:trPr>
          <w:trHeight w:val="155"/>
        </w:trPr>
        <w:tc>
          <w:tcPr>
            <w:tcW w:w="4792" w:type="dxa"/>
            <w:tcBorders>
              <w:top w:val="single" w:sz="4" w:space="0" w:color="auto"/>
              <w:left w:val="single" w:sz="4" w:space="0" w:color="auto"/>
              <w:bottom w:val="single" w:sz="4" w:space="0" w:color="auto"/>
              <w:right w:val="single" w:sz="4" w:space="0" w:color="auto"/>
            </w:tcBorders>
          </w:tcPr>
          <w:p w14:paraId="1F322A72" w14:textId="77777777" w:rsidR="008A4D09" w:rsidRDefault="00CA4705">
            <w:pPr>
              <w:spacing w:after="0" w:line="240" w:lineRule="auto"/>
              <w:jc w:val="center"/>
              <w:rPr>
                <w:color w:val="000000"/>
                <w:sz w:val="24"/>
                <w:szCs w:val="24"/>
              </w:rPr>
            </w:pPr>
            <w:r>
              <w:rPr>
                <w:color w:val="000000"/>
                <w:sz w:val="24"/>
                <w:szCs w:val="24"/>
              </w:rPr>
              <w:t>Roadway (mix in truck)</w:t>
            </w:r>
          </w:p>
        </w:tc>
        <w:tc>
          <w:tcPr>
            <w:tcW w:w="4794" w:type="dxa"/>
            <w:tcBorders>
              <w:top w:val="single" w:sz="4" w:space="0" w:color="auto"/>
              <w:left w:val="single" w:sz="4" w:space="0" w:color="auto"/>
              <w:bottom w:val="single" w:sz="4" w:space="0" w:color="auto"/>
              <w:right w:val="single" w:sz="4" w:space="0" w:color="auto"/>
            </w:tcBorders>
          </w:tcPr>
          <w:p w14:paraId="62930FE9" w14:textId="77777777" w:rsidR="008A4D09" w:rsidRDefault="00CA4705">
            <w:pPr>
              <w:spacing w:after="0" w:line="240" w:lineRule="auto"/>
              <w:jc w:val="center"/>
              <w:rPr>
                <w:color w:val="000000"/>
                <w:sz w:val="24"/>
                <w:szCs w:val="24"/>
              </w:rPr>
            </w:pPr>
            <w:r>
              <w:rPr>
                <w:color w:val="000000"/>
                <w:sz w:val="24"/>
                <w:szCs w:val="24"/>
              </w:rPr>
              <w:t xml:space="preserve">Compaction Temperature ±30°F </w:t>
            </w:r>
          </w:p>
        </w:tc>
      </w:tr>
    </w:tbl>
    <w:p w14:paraId="3ADC2491" w14:textId="77777777" w:rsidR="008A4D09" w:rsidRDefault="008A4D09">
      <w:pPr>
        <w:pStyle w:val="BodyText"/>
        <w:rPr>
          <w:szCs w:val="24"/>
        </w:rPr>
      </w:pPr>
    </w:p>
    <w:p w14:paraId="2A738FA4" w14:textId="211DEB2A" w:rsidR="008A4D09" w:rsidRDefault="00CA4705">
      <w:pPr>
        <w:pStyle w:val="BodyText"/>
        <w:rPr>
          <w:szCs w:val="24"/>
        </w:rPr>
      </w:pPr>
      <w:r>
        <w:rPr>
          <w:b/>
          <w:szCs w:val="24"/>
        </w:rPr>
        <w:tab/>
        <w:t>334-5.4 Transportation of the Mixture:</w:t>
      </w:r>
      <w:r>
        <w:rPr>
          <w:szCs w:val="24"/>
        </w:rPr>
        <w:t xml:space="preserve"> Transport the mixture in trucks of tight construction, which prevents the loss of material and the excessive loss of heat and previously </w:t>
      </w:r>
      <w:r>
        <w:rPr>
          <w:szCs w:val="24"/>
        </w:rPr>
        <w:lastRenderedPageBreak/>
        <w:t>cleaned of all foreign material. After cleaning, thinly coat the inside surface of the truck bodies with soapy water or an asphalt release agent as needed to prevent the mixture from adhering to the beds. Do not allow excess liquid to pond in the truck body. Do not use a release agent that will contaminate, degrade, or alter the characteristics of the asphalt mix or is hazardous or detrimental to the environment. Petroleum derivatives (such as diesel fuel), solvents, and any product that dissolves asphalt are prohibited. Provide each truck with a tarpaulin or other waterproof cover mounted in such a manner that it can cover the entire load when required. When in place, overlap the waterproof cover on all sides so that it can be tied down. Cover each load during cool and cloudy weather and at any time it appears rain is likely during transit with a tarpaulin or waterproof cover. Cover and tie down all loads of friction course mixtures.</w:t>
      </w:r>
    </w:p>
    <w:p w14:paraId="2E5A4C90" w14:textId="77777777" w:rsidR="008A4D09" w:rsidRDefault="00CA4705">
      <w:pPr>
        <w:pStyle w:val="BodyText"/>
        <w:rPr>
          <w:b/>
          <w:szCs w:val="24"/>
        </w:rPr>
      </w:pPr>
      <w:r>
        <w:rPr>
          <w:szCs w:val="24"/>
        </w:rPr>
        <w:tab/>
      </w:r>
      <w:r>
        <w:rPr>
          <w:b/>
          <w:szCs w:val="24"/>
        </w:rPr>
        <w:t>334-5.5 Surface Preparation:</w:t>
      </w:r>
    </w:p>
    <w:p w14:paraId="5937FCD0" w14:textId="13D37351" w:rsidR="008A4D09" w:rsidRDefault="00CA4705">
      <w:pPr>
        <w:pStyle w:val="BodyText"/>
        <w:rPr>
          <w:szCs w:val="24"/>
        </w:rPr>
      </w:pPr>
      <w:r>
        <w:rPr>
          <w:szCs w:val="24"/>
        </w:rPr>
        <w:tab/>
      </w:r>
      <w:r>
        <w:rPr>
          <w:szCs w:val="24"/>
        </w:rPr>
        <w:tab/>
      </w:r>
      <w:r>
        <w:rPr>
          <w:b/>
          <w:bCs/>
          <w:szCs w:val="24"/>
        </w:rPr>
        <w:t>334-5.5.1 Cleaning:</w:t>
      </w:r>
      <w:r>
        <w:rPr>
          <w:szCs w:val="24"/>
        </w:rPr>
        <w:t xml:space="preserve"> Before placing the mixture, clean the surface of the base or underlying pavement of all loose and deleterious material </w:t>
      </w:r>
      <w:proofErr w:type="gramStart"/>
      <w:r>
        <w:rPr>
          <w:szCs w:val="24"/>
        </w:rPr>
        <w:t>by the use of</w:t>
      </w:r>
      <w:proofErr w:type="gramEnd"/>
      <w:r>
        <w:rPr>
          <w:szCs w:val="24"/>
        </w:rPr>
        <w:t xml:space="preserve"> power brooms or blowers, supplemented by hand brooming where necessary.</w:t>
      </w:r>
    </w:p>
    <w:p w14:paraId="53EAA2DC" w14:textId="77777777" w:rsidR="008A4D09" w:rsidRDefault="00CA4705">
      <w:pPr>
        <w:pStyle w:val="BodyText"/>
        <w:rPr>
          <w:szCs w:val="24"/>
        </w:rPr>
      </w:pPr>
      <w:r>
        <w:rPr>
          <w:szCs w:val="24"/>
        </w:rPr>
        <w:tab/>
      </w:r>
      <w:r>
        <w:rPr>
          <w:szCs w:val="24"/>
        </w:rPr>
        <w:tab/>
      </w:r>
      <w:r>
        <w:rPr>
          <w:b/>
          <w:bCs/>
          <w:szCs w:val="24"/>
        </w:rPr>
        <w:t>334-5.5.2 Patching and Leveling Courses:</w:t>
      </w:r>
      <w:r>
        <w:rPr>
          <w:szCs w:val="24"/>
        </w:rPr>
        <w:t xml:space="preserve"> As shown in the plans, bring the existing surface to proper grade and cross-section by the application of patching or leveling courses.</w:t>
      </w:r>
    </w:p>
    <w:p w14:paraId="6B76AFF4" w14:textId="77777777" w:rsidR="008A4D09" w:rsidRDefault="00CA4705">
      <w:pPr>
        <w:pStyle w:val="BodyText"/>
        <w:rPr>
          <w:szCs w:val="24"/>
        </w:rPr>
      </w:pPr>
      <w:r>
        <w:rPr>
          <w:szCs w:val="24"/>
        </w:rPr>
        <w:tab/>
      </w:r>
      <w:r>
        <w:rPr>
          <w:szCs w:val="24"/>
        </w:rPr>
        <w:tab/>
      </w:r>
      <w:r>
        <w:rPr>
          <w:b/>
          <w:bCs/>
          <w:szCs w:val="24"/>
        </w:rPr>
        <w:t>334-5.5.3 Application over Surface Treatment:</w:t>
      </w:r>
      <w:r>
        <w:rPr>
          <w:szCs w:val="24"/>
        </w:rPr>
        <w:t xml:space="preserve"> Where an asphalt mix is to be placed over a surface treatment, sweep and dispose of all loose material from the paving area.</w:t>
      </w:r>
    </w:p>
    <w:p w14:paraId="43492245" w14:textId="5DA82192" w:rsidR="008A4D09" w:rsidRDefault="00CA4705">
      <w:pPr>
        <w:pStyle w:val="BodyText"/>
        <w:rPr>
          <w:szCs w:val="24"/>
        </w:rPr>
      </w:pPr>
      <w:r>
        <w:rPr>
          <w:szCs w:val="24"/>
        </w:rPr>
        <w:tab/>
      </w:r>
      <w:r>
        <w:rPr>
          <w:szCs w:val="24"/>
        </w:rPr>
        <w:tab/>
      </w:r>
      <w:r>
        <w:rPr>
          <w:b/>
          <w:szCs w:val="24"/>
        </w:rPr>
        <w:t xml:space="preserve">334-5.5.4 Tack Coat: </w:t>
      </w:r>
      <w:r>
        <w:rPr>
          <w:szCs w:val="24"/>
        </w:rPr>
        <w:t>Use a rate of application</w:t>
      </w:r>
      <w:r>
        <w:rPr>
          <w:szCs w:val="24"/>
          <w:vertAlign w:val="superscript"/>
        </w:rPr>
        <w:t xml:space="preserve"> </w:t>
      </w:r>
      <w:r>
        <w:rPr>
          <w:szCs w:val="24"/>
        </w:rPr>
        <w:t>as defined in Table</w:t>
      </w:r>
      <w:r w:rsidR="00BE6BB6">
        <w:rPr>
          <w:szCs w:val="24"/>
        </w:rPr>
        <w:t> 300-7</w:t>
      </w:r>
      <w:r>
        <w:rPr>
          <w:szCs w:val="24"/>
        </w:rPr>
        <w:t>. Control application rate within plus or minus 0.01 gallon per square yard of the target application rate. The target application rate may be adjusted by the Engineer to meet specific field conditions. Determine the rate of application as needed to control the operation. When using PG 52-28, multiply the target rate of application by 0.6.</w:t>
      </w:r>
    </w:p>
    <w:p w14:paraId="67B48A01" w14:textId="77777777" w:rsidR="008A4D09" w:rsidRDefault="008A4D09">
      <w:pPr>
        <w:pStyle w:val="BodyText"/>
      </w:pPr>
    </w:p>
    <w:tbl>
      <w:tblPr>
        <w:tblW w:w="4919"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788"/>
        <w:gridCol w:w="3553"/>
        <w:gridCol w:w="1858"/>
      </w:tblGrid>
      <w:tr w:rsidR="008A4D09" w14:paraId="1EDD6FB3" w14:textId="7777777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1F3982" w14:textId="161CD328" w:rsidR="008A4D09" w:rsidRDefault="00CA4705" w:rsidP="00BE6BB6">
            <w:pPr>
              <w:pStyle w:val="BodyText"/>
              <w:jc w:val="center"/>
            </w:pPr>
            <w:r>
              <w:t>Table 300-</w:t>
            </w:r>
            <w:r w:rsidR="00BE6BB6">
              <w:t>7</w:t>
            </w:r>
          </w:p>
          <w:p w14:paraId="0CEDEE58" w14:textId="77777777" w:rsidR="008A4D09" w:rsidRDefault="00CA4705" w:rsidP="00BE6BB6">
            <w:pPr>
              <w:pStyle w:val="BodyText"/>
              <w:jc w:val="center"/>
            </w:pPr>
            <w:r>
              <w:t>Tack Coat Application Rates</w:t>
            </w:r>
          </w:p>
        </w:tc>
      </w:tr>
      <w:tr w:rsidR="008A4D09" w14:paraId="3A171AC2" w14:textId="77777777" w:rsidTr="00C857F7">
        <w:trPr>
          <w:cantSplit/>
        </w:trPr>
        <w:tc>
          <w:tcPr>
            <w:tcW w:w="20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2F5AD" w14:textId="77777777" w:rsidR="008A4D09" w:rsidRDefault="00CA4705" w:rsidP="00BE6BB6">
            <w:pPr>
              <w:pStyle w:val="BodyText"/>
              <w:jc w:val="center"/>
            </w:pPr>
            <w:r>
              <w:t>Asphalt Mixture Type</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7CAE8" w14:textId="77777777" w:rsidR="008A4D09" w:rsidRDefault="00CA4705" w:rsidP="00BE6BB6">
            <w:pPr>
              <w:pStyle w:val="BodyText"/>
              <w:jc w:val="center"/>
            </w:pPr>
            <w:r>
              <w:t>Underlying Pavement Surface</w:t>
            </w:r>
          </w:p>
        </w:tc>
        <w:tc>
          <w:tcPr>
            <w:tcW w:w="1010" w:type="pct"/>
            <w:tcBorders>
              <w:top w:val="single" w:sz="4" w:space="0" w:color="auto"/>
              <w:left w:val="single" w:sz="4" w:space="0" w:color="auto"/>
              <w:bottom w:val="single" w:sz="4" w:space="0" w:color="auto"/>
              <w:right w:val="single" w:sz="4" w:space="0" w:color="auto"/>
            </w:tcBorders>
            <w:shd w:val="clear" w:color="auto" w:fill="auto"/>
            <w:hideMark/>
          </w:tcPr>
          <w:p w14:paraId="42E0170C" w14:textId="77777777" w:rsidR="008A4D09" w:rsidRDefault="00CA4705" w:rsidP="00BE6BB6">
            <w:pPr>
              <w:pStyle w:val="BodyText"/>
              <w:jc w:val="center"/>
            </w:pPr>
            <w:r>
              <w:t>Target Tack Rate</w:t>
            </w:r>
          </w:p>
          <w:p w14:paraId="29E10F5D" w14:textId="77777777" w:rsidR="008A4D09" w:rsidRDefault="00CA4705" w:rsidP="00BE6BB6">
            <w:pPr>
              <w:pStyle w:val="BodyText"/>
              <w:jc w:val="center"/>
              <w:rPr>
                <w:vertAlign w:val="superscript"/>
              </w:rPr>
            </w:pPr>
            <w:r>
              <w:t>(gal/yd</w:t>
            </w:r>
            <w:r>
              <w:rPr>
                <w:vertAlign w:val="superscript"/>
              </w:rPr>
              <w:t>2</w:t>
            </w:r>
            <w:r>
              <w:t>)</w:t>
            </w:r>
            <w:r>
              <w:rPr>
                <w:vertAlign w:val="superscript"/>
              </w:rPr>
              <w:t>1</w:t>
            </w:r>
          </w:p>
        </w:tc>
      </w:tr>
      <w:tr w:rsidR="008A4D09" w14:paraId="31E0354A" w14:textId="77777777" w:rsidTr="00C857F7">
        <w:trPr>
          <w:cantSplit/>
        </w:trPr>
        <w:tc>
          <w:tcPr>
            <w:tcW w:w="20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4EA8A" w14:textId="6571E73D" w:rsidR="008A4D09" w:rsidRDefault="00CA4705" w:rsidP="00C857F7">
            <w:pPr>
              <w:pStyle w:val="BodyText"/>
            </w:pPr>
            <w:r>
              <w:t>Base Course,</w:t>
            </w:r>
            <w:r w:rsidR="00C857F7">
              <w:t xml:space="preserve"> </w:t>
            </w:r>
            <w:r>
              <w:t>Structural Course,</w:t>
            </w:r>
            <w:r w:rsidR="00C857F7">
              <w:t xml:space="preserve"> </w:t>
            </w:r>
            <w:r>
              <w:t>Dense-Graded Friction Course,</w:t>
            </w:r>
            <w:r w:rsidR="00C857F7">
              <w:t xml:space="preserve"> </w:t>
            </w:r>
            <w:r>
              <w:t>Open-Graded Friction Course</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6736B" w14:textId="77777777" w:rsidR="008A4D09" w:rsidRDefault="00CA4705" w:rsidP="00BE6BB6">
            <w:pPr>
              <w:pStyle w:val="BodyText"/>
              <w:jc w:val="center"/>
            </w:pPr>
            <w:r>
              <w:t>Newly Constructed Asphalt Layers</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6AE0E" w14:textId="77777777" w:rsidR="008A4D09" w:rsidRDefault="00CA4705" w:rsidP="00BE6BB6">
            <w:pPr>
              <w:pStyle w:val="BodyText"/>
              <w:jc w:val="center"/>
            </w:pPr>
            <w:r>
              <w:t>0.06</w:t>
            </w:r>
          </w:p>
        </w:tc>
      </w:tr>
      <w:tr w:rsidR="008A4D09" w14:paraId="078DBA27" w14:textId="77777777" w:rsidTr="00C857F7">
        <w:trPr>
          <w:cantSplit/>
          <w:trHeight w:val="447"/>
        </w:trPr>
        <w:tc>
          <w:tcPr>
            <w:tcW w:w="20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9286F" w14:textId="77777777" w:rsidR="008A4D09" w:rsidRDefault="008A4D09" w:rsidP="00BE6BB6">
            <w:pPr>
              <w:pStyle w:val="BodyText"/>
            </w:pP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7EE89" w14:textId="2C3C2030" w:rsidR="008A4D09" w:rsidRDefault="00CA4705" w:rsidP="00C857F7">
            <w:pPr>
              <w:pStyle w:val="BodyText"/>
            </w:pPr>
            <w:r>
              <w:t>Milled Asphalt Pavement Surface,</w:t>
            </w:r>
            <w:r w:rsidR="00C857F7">
              <w:t xml:space="preserve"> </w:t>
            </w:r>
            <w:r>
              <w:t>Oxidized and Cracked Asphalt Pavement,</w:t>
            </w:r>
            <w:r w:rsidR="00C857F7">
              <w:t xml:space="preserve"> </w:t>
            </w:r>
            <w:r>
              <w:t>Concrete Pavement</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6D031" w14:textId="77777777" w:rsidR="008A4D09" w:rsidRDefault="00CA4705" w:rsidP="00C857F7">
            <w:pPr>
              <w:pStyle w:val="BodyText"/>
              <w:jc w:val="center"/>
            </w:pPr>
            <w:r>
              <w:t>0.09</w:t>
            </w:r>
          </w:p>
        </w:tc>
      </w:tr>
      <w:tr w:rsidR="008A4D09" w14:paraId="05F24D94" w14:textId="7777777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2B0F2E" w14:textId="77777777" w:rsidR="008A4D09" w:rsidRPr="00C857F7" w:rsidRDefault="00CA4705" w:rsidP="00C857F7">
            <w:pPr>
              <w:pStyle w:val="BodyText"/>
              <w:rPr>
                <w:sz w:val="20"/>
                <w:szCs w:val="16"/>
              </w:rPr>
            </w:pPr>
            <w:r w:rsidRPr="00C857F7">
              <w:rPr>
                <w:sz w:val="20"/>
                <w:szCs w:val="16"/>
              </w:rPr>
              <w:t xml:space="preserve">Note 1: Target tack application rates greater than those specified may be used upon </w:t>
            </w:r>
            <w:proofErr w:type="gramStart"/>
            <w:r w:rsidRPr="00C857F7">
              <w:rPr>
                <w:sz w:val="20"/>
                <w:szCs w:val="16"/>
              </w:rPr>
              <w:t>approval</w:t>
            </w:r>
            <w:proofErr w:type="gramEnd"/>
            <w:r w:rsidRPr="00C857F7">
              <w:rPr>
                <w:sz w:val="20"/>
                <w:szCs w:val="16"/>
              </w:rPr>
              <w:t xml:space="preserve"> of the Engineer.</w:t>
            </w:r>
          </w:p>
        </w:tc>
      </w:tr>
    </w:tbl>
    <w:p w14:paraId="3B96CF87" w14:textId="77777777" w:rsidR="008A4D09" w:rsidRDefault="008A4D09">
      <w:pPr>
        <w:spacing w:after="0"/>
        <w:rPr>
          <w:vanish/>
        </w:rPr>
      </w:pPr>
    </w:p>
    <w:p w14:paraId="6F528730" w14:textId="31FBA1B9" w:rsidR="008A4D09" w:rsidRDefault="00CA4705">
      <w:pPr>
        <w:pStyle w:val="BodyText"/>
        <w:rPr>
          <w:rFonts w:eastAsia="Calibri"/>
        </w:rPr>
      </w:pPr>
      <w:r>
        <w:rPr>
          <w:rFonts w:eastAsia="Calibri"/>
        </w:rPr>
        <w:tab/>
      </w:r>
      <w:r>
        <w:rPr>
          <w:rFonts w:eastAsia="Calibri"/>
        </w:rPr>
        <w:tab/>
      </w:r>
      <w:r>
        <w:rPr>
          <w:rFonts w:eastAsia="Calibri"/>
        </w:rPr>
        <w:tab/>
        <w:t xml:space="preserve">When using a meter to control the tack or prime application rate, manually measure the volume in the tank at the beginning and end of the application area for a specific target application rate. Perform this operation at a minimum frequency of once per production shift. Resolve any differences between the manually measured method and the meter to ensure the target application rate is met in accordance with this Section. Adjust the application rate if the manually measured application rate is greater than plus </w:t>
      </w:r>
      <w:r w:rsidR="00171D54">
        <w:rPr>
          <w:rFonts w:eastAsia="Calibri"/>
        </w:rPr>
        <w:t xml:space="preserve">0.02 </w:t>
      </w:r>
      <w:r>
        <w:rPr>
          <w:rFonts w:eastAsia="Calibri"/>
        </w:rPr>
        <w:t>or minus 0.01 gallons per square yard when compared to the target application rate.</w:t>
      </w:r>
    </w:p>
    <w:p w14:paraId="4C1921D1" w14:textId="3DCDD267" w:rsidR="008A4D09" w:rsidRDefault="00CA4705">
      <w:pPr>
        <w:pStyle w:val="BodyText"/>
        <w:rPr>
          <w:rFonts w:eastAsia="Calibri"/>
        </w:rPr>
      </w:pPr>
      <w:r>
        <w:rPr>
          <w:rFonts w:eastAsia="Calibri"/>
          <w:b/>
          <w:bCs/>
        </w:rPr>
        <w:tab/>
      </w:r>
      <w:r>
        <w:rPr>
          <w:rFonts w:eastAsia="Calibri"/>
          <w:b/>
          <w:bCs/>
        </w:rPr>
        <w:tab/>
      </w:r>
      <w:r>
        <w:rPr>
          <w:rFonts w:eastAsia="Calibri"/>
          <w:b/>
          <w:bCs/>
        </w:rPr>
        <w:tab/>
        <w:t>334-5.5.5 Curing and Time of Application:</w:t>
      </w:r>
      <w:r>
        <w:rPr>
          <w:rFonts w:eastAsia="Calibri"/>
        </w:rPr>
        <w:t xml:space="preserve"> Apply tack coat sufficiently in advance of placing bituminous mix to permit drying, but do not apply tack coat so far in advance that it might lose its adhesiveness </w:t>
      </w:r>
      <w:proofErr w:type="gramStart"/>
      <w:r>
        <w:rPr>
          <w:rFonts w:eastAsia="Calibri"/>
        </w:rPr>
        <w:t>as a result of</w:t>
      </w:r>
      <w:proofErr w:type="gramEnd"/>
      <w:r>
        <w:rPr>
          <w:rFonts w:eastAsia="Calibri"/>
        </w:rPr>
        <w:t xml:space="preserve"> being covered with dust or other foreign material.</w:t>
      </w:r>
      <w:r w:rsidR="00171D54">
        <w:rPr>
          <w:rFonts w:eastAsia="Calibri"/>
        </w:rPr>
        <w:t xml:space="preserve"> When using a spray paver, the requirements above do not apply.</w:t>
      </w:r>
    </w:p>
    <w:p w14:paraId="7B331F9F" w14:textId="77777777" w:rsidR="008A4D09" w:rsidRDefault="00CA4705">
      <w:pPr>
        <w:pStyle w:val="BodyText"/>
        <w:rPr>
          <w:szCs w:val="24"/>
        </w:rPr>
      </w:pPr>
      <w:r>
        <w:rPr>
          <w:rFonts w:eastAsia="Calibri"/>
          <w:b/>
          <w:bCs/>
          <w:color w:val="000000"/>
          <w:szCs w:val="24"/>
        </w:rPr>
        <w:lastRenderedPageBreak/>
        <w:tab/>
      </w:r>
      <w:r>
        <w:rPr>
          <w:rFonts w:eastAsia="Calibri"/>
          <w:b/>
          <w:bCs/>
          <w:color w:val="000000"/>
          <w:szCs w:val="24"/>
        </w:rPr>
        <w:tab/>
      </w:r>
      <w:r>
        <w:rPr>
          <w:rFonts w:eastAsia="Calibri"/>
          <w:b/>
          <w:bCs/>
          <w:color w:val="000000"/>
          <w:szCs w:val="24"/>
        </w:rPr>
        <w:tab/>
        <w:t>334-5.5.6 Protection:</w:t>
      </w:r>
      <w:r w:rsidRPr="003A069D">
        <w:rPr>
          <w:rFonts w:eastAsia="Calibri"/>
          <w:color w:val="000000"/>
          <w:szCs w:val="24"/>
        </w:rPr>
        <w:t xml:space="preserve"> </w:t>
      </w:r>
      <w:r>
        <w:rPr>
          <w:rFonts w:eastAsia="Calibri"/>
          <w:color w:val="000000"/>
          <w:szCs w:val="24"/>
        </w:rPr>
        <w:t>Keep the tack coat surface free from traffic until the subsequent layer of bituminous hot mix has been laid.</w:t>
      </w:r>
    </w:p>
    <w:p w14:paraId="735108A6" w14:textId="6ADD5555" w:rsidR="008A4D09" w:rsidRDefault="00CA4705">
      <w:pPr>
        <w:pStyle w:val="Article"/>
      </w:pPr>
      <w:r>
        <w:t>334-6 Placing Mixture</w:t>
      </w:r>
      <w:r w:rsidR="006B1F33">
        <w:t>.</w:t>
      </w:r>
    </w:p>
    <w:p w14:paraId="06C5CC1B" w14:textId="77777777" w:rsidR="008A4D09" w:rsidRDefault="00CA4705">
      <w:pPr>
        <w:pStyle w:val="BodyText"/>
        <w:rPr>
          <w:szCs w:val="24"/>
        </w:rPr>
      </w:pPr>
      <w:r>
        <w:rPr>
          <w:szCs w:val="24"/>
        </w:rPr>
        <w:tab/>
      </w:r>
      <w:r>
        <w:rPr>
          <w:b/>
          <w:szCs w:val="24"/>
        </w:rPr>
        <w:t>334-6.1 Alignment of Edges:</w:t>
      </w:r>
      <w:r>
        <w:rPr>
          <w:szCs w:val="24"/>
        </w:rPr>
        <w:t xml:space="preserve"> Place all asphalt mixtures by the stringline method to obtain an accurate, uniform alignment of the pavement edge. As an exception, pavement edges adjacent to curb and gutter or other true edges do not require a stringline. Control the unsupported pavement edge to ensure that it will not deviate from the stringline more than plus or minus 1.5 inches.</w:t>
      </w:r>
    </w:p>
    <w:p w14:paraId="6D33EEC3" w14:textId="481F99BC" w:rsidR="008A4D09" w:rsidRDefault="00CA4705">
      <w:pPr>
        <w:pStyle w:val="BodyText"/>
        <w:rPr>
          <w:szCs w:val="24"/>
        </w:rPr>
      </w:pPr>
      <w:r>
        <w:rPr>
          <w:szCs w:val="24"/>
        </w:rPr>
        <w:tab/>
      </w:r>
      <w:r>
        <w:rPr>
          <w:b/>
          <w:szCs w:val="24"/>
        </w:rPr>
        <w:t xml:space="preserve">334-6.2 Rain and Surface Conditions: </w:t>
      </w:r>
      <w:r>
        <w:rPr>
          <w:szCs w:val="24"/>
        </w:rPr>
        <w:t xml:space="preserve">Immediately cease transportation of asphalt mixtures from the plant when rain begins </w:t>
      </w:r>
      <w:proofErr w:type="gramStart"/>
      <w:r>
        <w:rPr>
          <w:szCs w:val="24"/>
        </w:rPr>
        <w:t>at</w:t>
      </w:r>
      <w:proofErr w:type="gramEnd"/>
      <w:r>
        <w:rPr>
          <w:szCs w:val="24"/>
        </w:rPr>
        <w:t xml:space="preserve"> the roadway. Do not place asphalt mixtures while rain is falling, or when there is water on the surface to be covered. Once the rain has stopped, standing water has been removed from the tacked surface to the satisfaction of the Engineer, and the temperature of the mixture caught in transit still meets the requirements as specified in </w:t>
      </w:r>
      <w:r w:rsidR="00171D54">
        <w:rPr>
          <w:szCs w:val="24"/>
        </w:rPr>
        <w:t>Table 334-6</w:t>
      </w:r>
      <w:r>
        <w:rPr>
          <w:szCs w:val="24"/>
        </w:rPr>
        <w:t>, the Contractor may then place the mixture caught in transit.</w:t>
      </w:r>
    </w:p>
    <w:p w14:paraId="7C5BAF90" w14:textId="77777777" w:rsidR="008A4D09" w:rsidRDefault="00CA4705">
      <w:pPr>
        <w:pStyle w:val="BodyText"/>
        <w:rPr>
          <w:szCs w:val="24"/>
        </w:rPr>
      </w:pPr>
      <w:r>
        <w:rPr>
          <w:szCs w:val="24"/>
        </w:rPr>
        <w:tab/>
      </w:r>
      <w:r>
        <w:rPr>
          <w:b/>
          <w:bCs/>
          <w:szCs w:val="24"/>
        </w:rPr>
        <w:t>334-6.3 Checking Depth of Layer:</w:t>
      </w:r>
      <w:r>
        <w:rPr>
          <w:szCs w:val="24"/>
        </w:rPr>
        <w:t xml:space="preserve"> Check the depth of each layer at frequent intervals to ensure a uniform spread rate that will meet the requirements of the Contract.</w:t>
      </w:r>
    </w:p>
    <w:p w14:paraId="646B29E9" w14:textId="7F59A4DF" w:rsidR="008A4D09" w:rsidRDefault="00CA4705">
      <w:pPr>
        <w:pStyle w:val="BodyText"/>
        <w:rPr>
          <w:szCs w:val="24"/>
        </w:rPr>
      </w:pPr>
      <w:r>
        <w:rPr>
          <w:szCs w:val="24"/>
        </w:rPr>
        <w:tab/>
      </w:r>
      <w:bookmarkStart w:id="0" w:name="_Hlk35964680"/>
      <w:r>
        <w:rPr>
          <w:b/>
          <w:bCs/>
          <w:szCs w:val="24"/>
        </w:rPr>
        <w:t>334-6.4 Hand Work:</w:t>
      </w:r>
      <w:r>
        <w:rPr>
          <w:szCs w:val="24"/>
        </w:rPr>
        <w:t xml:space="preserve"> In limited areas where the use of the paver is impossible or impracticable, the Contractor may place the mixture by hand.</w:t>
      </w:r>
      <w:bookmarkEnd w:id="0"/>
    </w:p>
    <w:p w14:paraId="7E33C08F" w14:textId="77777777" w:rsidR="008A4D09" w:rsidRDefault="00CA4705">
      <w:pPr>
        <w:pStyle w:val="BodyText"/>
        <w:rPr>
          <w:szCs w:val="24"/>
        </w:rPr>
      </w:pPr>
      <w:r>
        <w:rPr>
          <w:szCs w:val="24"/>
        </w:rPr>
        <w:tab/>
      </w:r>
      <w:r>
        <w:rPr>
          <w:b/>
          <w:bCs/>
          <w:szCs w:val="24"/>
        </w:rPr>
        <w:t>334-6.5 Spreading and Finishing:</w:t>
      </w:r>
      <w:r>
        <w:rPr>
          <w:szCs w:val="24"/>
        </w:rPr>
        <w:t xml:space="preserve"> Upon arrival, dump the mixture in the approved paver, and immediately spread and strike-off the mixture to the full width required, and to such loose depth for each course that, when the work is completed, the required weight of mixture per square yard, or the specified thickness, is secured. </w:t>
      </w:r>
      <w:proofErr w:type="gramStart"/>
      <w:r>
        <w:rPr>
          <w:szCs w:val="24"/>
        </w:rPr>
        <w:t>Carry a uniform amount of mixture ahead of the screed at all times</w:t>
      </w:r>
      <w:proofErr w:type="gramEnd"/>
      <w:r>
        <w:rPr>
          <w:szCs w:val="24"/>
        </w:rPr>
        <w:t>.</w:t>
      </w:r>
    </w:p>
    <w:p w14:paraId="226F23E3" w14:textId="77777777" w:rsidR="008A4D09" w:rsidRDefault="00CA4705">
      <w:pPr>
        <w:pStyle w:val="BodyText"/>
        <w:rPr>
          <w:szCs w:val="24"/>
        </w:rPr>
      </w:pPr>
      <w:r>
        <w:rPr>
          <w:szCs w:val="24"/>
        </w:rPr>
        <w:tab/>
      </w:r>
      <w:r>
        <w:rPr>
          <w:b/>
          <w:bCs/>
          <w:szCs w:val="24"/>
        </w:rPr>
        <w:t>334-6.6 Thickness Control:</w:t>
      </w:r>
      <w:r>
        <w:rPr>
          <w:szCs w:val="24"/>
        </w:rPr>
        <w:t xml:space="preserve"> Ensure the spread rate is within 5% of the target spread rate, as indicated in the Contract. When determining the spread rate, use, at a minimum, an average of five truckloads of mix and at a maximum, an average of 10 truckloads of mix. When the average spread rate is beyond plus or minus 5% of the target spread rate, monitor the thickness of the pavement layer closely and adjust the construction operations.</w:t>
      </w:r>
    </w:p>
    <w:p w14:paraId="1CC091B6" w14:textId="4174693E" w:rsidR="008A4D09" w:rsidRDefault="00CA4705">
      <w:pPr>
        <w:pStyle w:val="BodyText"/>
        <w:rPr>
          <w:szCs w:val="24"/>
        </w:rPr>
      </w:pPr>
      <w:r>
        <w:rPr>
          <w:szCs w:val="24"/>
        </w:rPr>
        <w:tab/>
      </w:r>
      <w:r>
        <w:rPr>
          <w:szCs w:val="24"/>
        </w:rPr>
        <w:tab/>
        <w:t>When the average spread rate for two consecutive days is beyond plus or minus 5% of the target spread, stop the construction operation at any time until the issue is resolved.</w:t>
      </w:r>
    </w:p>
    <w:p w14:paraId="22A2A938" w14:textId="29F64240" w:rsidR="008A4D09" w:rsidRDefault="00CA4705">
      <w:pPr>
        <w:pStyle w:val="BodyText"/>
        <w:rPr>
          <w:rFonts w:eastAsia="Calibri"/>
        </w:rPr>
      </w:pPr>
      <w:r>
        <w:rPr>
          <w:rFonts w:eastAsia="Calibri"/>
        </w:rPr>
        <w:tab/>
      </w:r>
      <w:r>
        <w:rPr>
          <w:rFonts w:eastAsia="Calibri"/>
        </w:rPr>
        <w:tab/>
        <w:t xml:space="preserve">The Engineer will allow a maximum deficiency from the specified spread rate for the total thickness as follows: </w:t>
      </w:r>
    </w:p>
    <w:p w14:paraId="73900C63" w14:textId="1D7811FF" w:rsidR="008A4D09" w:rsidRDefault="003A069D">
      <w:pPr>
        <w:pStyle w:val="BodyText"/>
        <w:rPr>
          <w:rFonts w:eastAsia="Calibri"/>
          <w:color w:val="000000"/>
        </w:rPr>
      </w:pPr>
      <w:r>
        <w:rPr>
          <w:rFonts w:eastAsia="Calibri"/>
          <w:color w:val="000000"/>
        </w:rPr>
        <w:tab/>
      </w:r>
      <w:r>
        <w:rPr>
          <w:rFonts w:eastAsia="Calibri"/>
          <w:color w:val="000000"/>
        </w:rPr>
        <w:tab/>
        <w:t xml:space="preserve">1. </w:t>
      </w:r>
      <w:r w:rsidR="00CA4705">
        <w:rPr>
          <w:rFonts w:eastAsia="Calibri"/>
          <w:color w:val="000000"/>
        </w:rPr>
        <w:t>For pavement of a specified thickness of 2-1/2 inches or more: 50 pounds per square yard.</w:t>
      </w:r>
    </w:p>
    <w:p w14:paraId="783833AA" w14:textId="77777777" w:rsidR="008A4D09" w:rsidRDefault="00CA4705">
      <w:pPr>
        <w:pStyle w:val="BodyText"/>
        <w:rPr>
          <w:rFonts w:eastAsia="Calibri"/>
          <w:color w:val="000000"/>
        </w:rPr>
      </w:pPr>
      <w:r>
        <w:rPr>
          <w:rFonts w:eastAsia="Calibri"/>
          <w:color w:val="000000"/>
        </w:rPr>
        <w:tab/>
      </w:r>
      <w:r>
        <w:rPr>
          <w:rFonts w:eastAsia="Calibri"/>
          <w:color w:val="000000"/>
        </w:rPr>
        <w:tab/>
        <w:t>2. For pavement of a specified thickness of less than 2-1/2 inches: 25 pounds per square yard.</w:t>
      </w:r>
    </w:p>
    <w:p w14:paraId="1F22EAC9" w14:textId="77777777" w:rsidR="008A4D09" w:rsidRDefault="00CA4705">
      <w:pPr>
        <w:pStyle w:val="BodyText"/>
        <w:rPr>
          <w:szCs w:val="24"/>
        </w:rPr>
      </w:pPr>
      <w:r>
        <w:rPr>
          <w:szCs w:val="24"/>
        </w:rPr>
        <w:t xml:space="preserve"> Address the unacceptable pavement in accordance with 334-5.10.4, unless an alternative approach is agreed upon by the Engineer.</w:t>
      </w:r>
    </w:p>
    <w:p w14:paraId="1995D566" w14:textId="77777777" w:rsidR="008A4D09" w:rsidRDefault="00CA4705">
      <w:pPr>
        <w:pStyle w:val="BodyText"/>
        <w:rPr>
          <w:b/>
          <w:bCs/>
          <w:szCs w:val="24"/>
        </w:rPr>
      </w:pPr>
      <w:r>
        <w:rPr>
          <w:szCs w:val="24"/>
        </w:rPr>
        <w:tab/>
      </w:r>
      <w:r>
        <w:rPr>
          <w:b/>
          <w:bCs/>
          <w:szCs w:val="24"/>
        </w:rPr>
        <w:t>334-6.7 Leveling Courses:</w:t>
      </w:r>
    </w:p>
    <w:p w14:paraId="24285C42" w14:textId="77777777" w:rsidR="008A4D09" w:rsidRDefault="00CA4705">
      <w:pPr>
        <w:pStyle w:val="BodyText"/>
        <w:rPr>
          <w:szCs w:val="24"/>
        </w:rPr>
      </w:pPr>
      <w:r>
        <w:rPr>
          <w:szCs w:val="24"/>
        </w:rPr>
        <w:tab/>
      </w:r>
      <w:r>
        <w:rPr>
          <w:szCs w:val="24"/>
        </w:rPr>
        <w:tab/>
      </w:r>
      <w:r>
        <w:rPr>
          <w:b/>
          <w:bCs/>
          <w:szCs w:val="24"/>
        </w:rPr>
        <w:t>334-6.7.1 Patching Depressions:</w:t>
      </w:r>
      <w:r>
        <w:rPr>
          <w:szCs w:val="24"/>
        </w:rPr>
        <w:t xml:space="preserve"> Before spreading any leveling course, fill all depressions in the existing surface as shown in the plans.</w:t>
      </w:r>
    </w:p>
    <w:p w14:paraId="3B681E47" w14:textId="77777777" w:rsidR="008A4D09" w:rsidRDefault="00CA4705">
      <w:pPr>
        <w:pStyle w:val="BodyText"/>
        <w:rPr>
          <w:szCs w:val="24"/>
        </w:rPr>
      </w:pPr>
      <w:r>
        <w:rPr>
          <w:szCs w:val="24"/>
        </w:rPr>
        <w:tab/>
      </w:r>
      <w:r>
        <w:rPr>
          <w:szCs w:val="24"/>
        </w:rPr>
        <w:tab/>
      </w:r>
      <w:r>
        <w:rPr>
          <w:b/>
          <w:bCs/>
          <w:szCs w:val="24"/>
        </w:rPr>
        <w:t>334-6.7.2 Spreading Leveling Courses:</w:t>
      </w:r>
      <w:r>
        <w:rPr>
          <w:szCs w:val="24"/>
        </w:rPr>
        <w:t xml:space="preserve"> Place all courses of leveling with an asphalt paver or </w:t>
      </w:r>
      <w:proofErr w:type="gramStart"/>
      <w:r>
        <w:rPr>
          <w:szCs w:val="24"/>
        </w:rPr>
        <w:t>by the use of</w:t>
      </w:r>
      <w:proofErr w:type="gramEnd"/>
      <w:r>
        <w:rPr>
          <w:szCs w:val="24"/>
        </w:rPr>
        <w:t xml:space="preserve"> two motor graders, one being equipped with a spreader box. Other types of leveling devices may be used upon approval by the Engineer.</w:t>
      </w:r>
    </w:p>
    <w:p w14:paraId="245E5C84" w14:textId="77777777" w:rsidR="008A4D09" w:rsidRDefault="00CA4705">
      <w:pPr>
        <w:pStyle w:val="BodyText"/>
        <w:rPr>
          <w:szCs w:val="24"/>
        </w:rPr>
      </w:pPr>
      <w:r>
        <w:rPr>
          <w:szCs w:val="24"/>
        </w:rPr>
        <w:lastRenderedPageBreak/>
        <w:tab/>
      </w:r>
      <w:r>
        <w:rPr>
          <w:szCs w:val="24"/>
        </w:rPr>
        <w:tab/>
      </w:r>
      <w:r>
        <w:rPr>
          <w:b/>
          <w:bCs/>
          <w:szCs w:val="24"/>
        </w:rPr>
        <w:t>334-6.7.3 Rate of Application:</w:t>
      </w:r>
      <w:r>
        <w:rPr>
          <w:szCs w:val="24"/>
        </w:rPr>
        <w:t xml:space="preserve"> When using Type SP-9.5 (fine graded) for leveling, do not allow the average spread of a layer to be less than 50 pounds per square yard or more than 75 pounds per square yard. The quantity of mix for leveling shown in the plans represents the average for the entire project; however, the Contractor may vary the rate of application throughout the project as directed by the Engineer. When leveling in connection with base widening, the Engineer may require placing all the leveling mix prior to the widening operation.</w:t>
      </w:r>
    </w:p>
    <w:p w14:paraId="530FFBCF" w14:textId="77777777" w:rsidR="008A4D09" w:rsidRDefault="00CA4705">
      <w:pPr>
        <w:pStyle w:val="BodyText"/>
        <w:rPr>
          <w:szCs w:val="24"/>
        </w:rPr>
      </w:pPr>
      <w:r>
        <w:rPr>
          <w:szCs w:val="24"/>
        </w:rPr>
        <w:tab/>
      </w:r>
      <w:r>
        <w:rPr>
          <w:b/>
          <w:bCs/>
          <w:szCs w:val="24"/>
        </w:rPr>
        <w:t>334-6.8 Compaction:</w:t>
      </w:r>
      <w:r>
        <w:rPr>
          <w:szCs w:val="24"/>
        </w:rPr>
        <w:t xml:space="preserve"> For each paving or leveling train in operation, furnish a separate set of </w:t>
      </w:r>
      <w:proofErr w:type="gramStart"/>
      <w:r>
        <w:rPr>
          <w:szCs w:val="24"/>
        </w:rPr>
        <w:t>rollers,</w:t>
      </w:r>
      <w:proofErr w:type="gramEnd"/>
      <w:r>
        <w:rPr>
          <w:szCs w:val="24"/>
        </w:rPr>
        <w:t xml:space="preserve"> with their operators.</w:t>
      </w:r>
    </w:p>
    <w:p w14:paraId="273C1575" w14:textId="77777777" w:rsidR="008A4D09" w:rsidRDefault="00CA4705">
      <w:pPr>
        <w:pStyle w:val="BodyText"/>
        <w:rPr>
          <w:szCs w:val="24"/>
        </w:rPr>
      </w:pPr>
      <w:r>
        <w:rPr>
          <w:szCs w:val="24"/>
        </w:rPr>
        <w:tab/>
      </w:r>
      <w:r>
        <w:rPr>
          <w:szCs w:val="24"/>
        </w:rPr>
        <w:tab/>
        <w:t>When density testing for acceptance is required, select equipment, sequence, and coverages of rolling to meet the specified density requirement. Regardless of the rolling procedure used, complete the final rolling before the surface temperature of the pavement drops to the extent that effective compaction may not be achieved or the rollers begin to damage the pavement.</w:t>
      </w:r>
    </w:p>
    <w:p w14:paraId="470FFA80" w14:textId="77777777" w:rsidR="008A4D09" w:rsidRDefault="00CA4705">
      <w:pPr>
        <w:pStyle w:val="BodyText"/>
        <w:rPr>
          <w:szCs w:val="24"/>
        </w:rPr>
      </w:pPr>
      <w:r>
        <w:tab/>
      </w:r>
      <w:r>
        <w:tab/>
        <w:t>No vibratory compaction in the vertical direction will be allowed for layers one inch or less in thickness or, if the Engineer or Contract Documents limit compaction to the static mode only. Compact these layers in the static mode only. Other non-vertical vibratory modes of compaction will be allowed, if approved by the Engineer; however, no additional compensation, cost or time, will be made.</w:t>
      </w:r>
    </w:p>
    <w:p w14:paraId="74E0FDEF" w14:textId="675849BE" w:rsidR="00171D54" w:rsidRDefault="00CA4705" w:rsidP="00171D54">
      <w:pPr>
        <w:pStyle w:val="BodyText"/>
        <w:rPr>
          <w:szCs w:val="24"/>
        </w:rPr>
      </w:pPr>
      <w:r>
        <w:rPr>
          <w:szCs w:val="24"/>
        </w:rPr>
        <w:tab/>
      </w:r>
      <w:r>
        <w:rPr>
          <w:szCs w:val="24"/>
        </w:rPr>
        <w:tab/>
        <w:t>When density testing for acceptance is not required, use a rolling pattern approved by the Engineer</w:t>
      </w:r>
      <w:r w:rsidR="00171D54">
        <w:rPr>
          <w:szCs w:val="24"/>
        </w:rPr>
        <w:t xml:space="preserve"> or use the following standard rolling pattern:</w:t>
      </w:r>
    </w:p>
    <w:p w14:paraId="767AA305" w14:textId="77777777" w:rsidR="00171D54" w:rsidRDefault="00171D54" w:rsidP="00171D54">
      <w:pPr>
        <w:pStyle w:val="BodyText"/>
      </w:pPr>
      <w:r>
        <w:tab/>
      </w:r>
      <w:r>
        <w:tab/>
      </w:r>
      <w:r>
        <w:tab/>
        <w:t>1. Breakdown rolling: Provide two static coverages with a tandem steel-wheeled roller, following as close behind the paver as possible without pick-up, undue displacement, or blistering of the mix.</w:t>
      </w:r>
    </w:p>
    <w:p w14:paraId="59CCF7EB" w14:textId="77777777" w:rsidR="00171D54" w:rsidRDefault="00171D54" w:rsidP="00171D54">
      <w:pPr>
        <w:pStyle w:val="BodyText"/>
      </w:pPr>
      <w:r>
        <w:tab/>
      </w:r>
      <w:r>
        <w:tab/>
      </w:r>
      <w:r>
        <w:tab/>
        <w:t>2. Intermediate rolling: Provide five static coverages with a pneumatic-tire roller, following as close behind the breakdown rolling operation as the mix will permit.</w:t>
      </w:r>
    </w:p>
    <w:p w14:paraId="4B09E7E7" w14:textId="1F01DC01" w:rsidR="008A4D09" w:rsidRDefault="00171D54" w:rsidP="00171D54">
      <w:pPr>
        <w:pStyle w:val="BodyText"/>
        <w:rPr>
          <w:szCs w:val="24"/>
        </w:rPr>
      </w:pPr>
      <w:r>
        <w:tab/>
      </w:r>
      <w:r>
        <w:tab/>
      </w:r>
      <w:r>
        <w:tab/>
        <w:t xml:space="preserve">3. </w:t>
      </w:r>
      <w:r w:rsidRPr="009E1C42">
        <w:t>Finish rolling: Provide one static coverage with a tandem steel-wheeled roller, after completing the breakdown rolling and intermediate rolling, but before the surface pavement temperature drops to the extent effective compaction may not be achieved or the rollers begin to damage the pavement.</w:t>
      </w:r>
    </w:p>
    <w:p w14:paraId="561255DE" w14:textId="77777777" w:rsidR="008A4D09" w:rsidRDefault="00CA4705">
      <w:pPr>
        <w:pStyle w:val="BodyText"/>
        <w:rPr>
          <w:szCs w:val="24"/>
        </w:rPr>
      </w:pPr>
      <w:r>
        <w:rPr>
          <w:szCs w:val="24"/>
        </w:rPr>
        <w:tab/>
      </w:r>
      <w:r>
        <w:rPr>
          <w:szCs w:val="24"/>
        </w:rPr>
        <w:tab/>
        <w:t>Use hand tamps or other satisfactory means to compact areas which are inaccessible to a roller, such as areas adjacent to curbs, headers, gutters, bridges, manholes, etc.</w:t>
      </w:r>
    </w:p>
    <w:p w14:paraId="18751465" w14:textId="4111FC94" w:rsidR="008A4D09" w:rsidRDefault="00CA4705">
      <w:pPr>
        <w:pStyle w:val="BodyText"/>
        <w:rPr>
          <w:b/>
          <w:szCs w:val="24"/>
        </w:rPr>
      </w:pPr>
      <w:r>
        <w:rPr>
          <w:szCs w:val="24"/>
        </w:rPr>
        <w:tab/>
      </w:r>
      <w:r>
        <w:rPr>
          <w:b/>
          <w:szCs w:val="24"/>
        </w:rPr>
        <w:t>334-6.9 Joints</w:t>
      </w:r>
      <w:r w:rsidR="00DA37E3">
        <w:rPr>
          <w:b/>
          <w:szCs w:val="24"/>
        </w:rPr>
        <w:t>:</w:t>
      </w:r>
    </w:p>
    <w:p w14:paraId="321B9B82" w14:textId="77777777" w:rsidR="003F0610" w:rsidRDefault="00CA4705" w:rsidP="003F0610">
      <w:pPr>
        <w:pStyle w:val="BodyText"/>
      </w:pPr>
      <w:r>
        <w:rPr>
          <w:szCs w:val="24"/>
        </w:rPr>
        <w:tab/>
      </w:r>
      <w:r>
        <w:rPr>
          <w:szCs w:val="24"/>
        </w:rPr>
        <w:tab/>
      </w:r>
      <w:r>
        <w:rPr>
          <w:b/>
          <w:bCs/>
          <w:szCs w:val="24"/>
        </w:rPr>
        <w:t>334-6.9.1 Transverse Joints:</w:t>
      </w:r>
      <w:r>
        <w:rPr>
          <w:szCs w:val="24"/>
        </w:rPr>
        <w:t xml:space="preserve"> </w:t>
      </w:r>
      <w:r w:rsidR="003F0610">
        <w:t>When laying fresh mixture against the exposed edges of joints, place it in close contact with the exposed edge to produce an even, well-compacted joint after rolling.</w:t>
      </w:r>
    </w:p>
    <w:p w14:paraId="68299D05" w14:textId="6A138B96" w:rsidR="003F0610" w:rsidRDefault="003F0610" w:rsidP="003F0610">
      <w:pPr>
        <w:pStyle w:val="BodyText"/>
      </w:pPr>
      <w:r>
        <w:tab/>
      </w:r>
      <w:r>
        <w:tab/>
      </w:r>
      <w:r w:rsidRPr="003F0610">
        <w:t>Place the mixture as continuously as possible to minimize transverse joints. When constructing permanent transverse joints, meet the surface requirements as defined in 334-6.10.3.1 Construct temporary transverse joints in such a manner to allow traffic to pass over it. When resuming the paving operation, construct a transverse joint by cutting back on the previously placed pavement at a location where the straightedge requirements are met. At the project limits, tie into the</w:t>
      </w:r>
      <w:r w:rsidRPr="006979AC">
        <w:rPr>
          <w:color w:val="FF0000"/>
        </w:rPr>
        <w:t xml:space="preserve"> </w:t>
      </w:r>
      <w:r w:rsidRPr="00D040C8">
        <w:t>adjoining pavement layers as shown in the Plans.</w:t>
      </w:r>
    </w:p>
    <w:p w14:paraId="5E9C2C00" w14:textId="1F79BE02" w:rsidR="008A4D09" w:rsidRDefault="003F0610" w:rsidP="003F0610">
      <w:pPr>
        <w:pStyle w:val="BodyText"/>
        <w:rPr>
          <w:szCs w:val="24"/>
        </w:rPr>
      </w:pPr>
      <w:r>
        <w:tab/>
      </w:r>
      <w:r>
        <w:tab/>
      </w:r>
      <w:r w:rsidR="00CA4705">
        <w:rPr>
          <w:szCs w:val="24"/>
        </w:rPr>
        <w:t xml:space="preserve">Construct smooth transverse joints, which are within 3/16 inch of a true longitudinal profile when measured with a 15 foot manual straightedge. The Engineer may waive straightedge requirements for transverse joints at the beginning and end of the project, at the beginning and end of bridge structures, at manholes, and at utility structures if the deficiencies </w:t>
      </w:r>
      <w:r w:rsidR="00CA4705">
        <w:rPr>
          <w:szCs w:val="24"/>
        </w:rPr>
        <w:lastRenderedPageBreak/>
        <w:t>are caused by factors beyond the control of the Contractor such as no milling requirement, as determined by the Engineer. When smoothness requirements are waived, construct a reasonably smooth transitional joint.</w:t>
      </w:r>
    </w:p>
    <w:p w14:paraId="2850D684" w14:textId="0ADEE0D2" w:rsidR="008A4D09" w:rsidRDefault="00CA4705">
      <w:pPr>
        <w:pStyle w:val="BodyText"/>
        <w:rPr>
          <w:szCs w:val="24"/>
        </w:rPr>
      </w:pPr>
      <w:r>
        <w:rPr>
          <w:szCs w:val="24"/>
        </w:rPr>
        <w:tab/>
      </w:r>
      <w:r>
        <w:rPr>
          <w:szCs w:val="24"/>
        </w:rPr>
        <w:tab/>
      </w:r>
      <w:r>
        <w:rPr>
          <w:b/>
          <w:bCs/>
          <w:szCs w:val="24"/>
        </w:rPr>
        <w:t>334-6.9.2 Longitudinal Joints:</w:t>
      </w:r>
      <w:r>
        <w:rPr>
          <w:szCs w:val="24"/>
        </w:rPr>
        <w:t xml:space="preserve"> </w:t>
      </w:r>
      <w:r>
        <w:t xml:space="preserve">Place each layer of pavement so all longitudinal construction joints are offset 6 to 12 inches laterally between successive layers. Plan offsets in advance so the longitudinal joints of the friction course are not in wheel path areas. The longitudinal joints for friction course layers should be within 6 inches of the lane edge or at the center of the lane. </w:t>
      </w:r>
      <w:r>
        <w:rPr>
          <w:szCs w:val="24"/>
        </w:rPr>
        <w:t>The Engineer may waive these requirements where offsetting is not feasible due to the sequence of construction.</w:t>
      </w:r>
    </w:p>
    <w:p w14:paraId="4042499D" w14:textId="77777777" w:rsidR="008A4D09" w:rsidRDefault="00CA4705">
      <w:pPr>
        <w:pStyle w:val="BodyText"/>
        <w:rPr>
          <w:szCs w:val="24"/>
        </w:rPr>
      </w:pPr>
      <w:r>
        <w:rPr>
          <w:szCs w:val="24"/>
        </w:rPr>
        <w:tab/>
      </w:r>
      <w:r>
        <w:rPr>
          <w:b/>
          <w:szCs w:val="24"/>
        </w:rPr>
        <w:t>334-6.10 Surface Requirements:</w:t>
      </w:r>
      <w:r>
        <w:rPr>
          <w:szCs w:val="24"/>
        </w:rPr>
        <w:t xml:space="preserve"> Construct a smooth pavement with good surface texture and the proper cross-slope.</w:t>
      </w:r>
    </w:p>
    <w:p w14:paraId="4A0EE6B3" w14:textId="04B279BE" w:rsidR="008A4D09" w:rsidRDefault="003A069D" w:rsidP="003A069D">
      <w:pPr>
        <w:pStyle w:val="BodyText"/>
        <w:rPr>
          <w:szCs w:val="24"/>
        </w:rPr>
      </w:pPr>
      <w:r>
        <w:rPr>
          <w:b/>
          <w:szCs w:val="24"/>
        </w:rPr>
        <w:tab/>
      </w:r>
      <w:r w:rsidR="00CA4705">
        <w:rPr>
          <w:b/>
          <w:szCs w:val="24"/>
        </w:rPr>
        <w:tab/>
        <w:t>334-6.10.1 Texture of the Finished Surface of Paving Layers:</w:t>
      </w:r>
      <w:r w:rsidR="00CA4705">
        <w:rPr>
          <w:szCs w:val="24"/>
        </w:rPr>
        <w:t xml:space="preserve"> Produce a finished surface of uniform texture and compaction with no pulled, torn, raveled, crushed or loosened portions and free of segregation, bleeding, flushing, sand streaks, sand spots, or ripples. Correct any area of the surface that does not meet the foregoing requirements in accordance with 334-6.10.4.</w:t>
      </w:r>
    </w:p>
    <w:p w14:paraId="38B532A0" w14:textId="77777777" w:rsidR="008A4D09" w:rsidRDefault="00CA4705">
      <w:pPr>
        <w:pStyle w:val="BodyText"/>
      </w:pPr>
      <w:r>
        <w:tab/>
      </w:r>
      <w:r>
        <w:tab/>
      </w:r>
      <w:r>
        <w:rPr>
          <w:b/>
          <w:bCs/>
        </w:rPr>
        <w:t>334-6.10.2 Cross Slope:</w:t>
      </w:r>
      <w:r>
        <w:t xml:space="preserve"> Construct a pavement surface with cross slopes in compliance with the requirements of the Contract Documents. Furnish a four-foot-long electronic level accurate to 0.1 degree, approved by the Engineer for the control of cross slope. </w:t>
      </w:r>
      <w:proofErr w:type="gramStart"/>
      <w:r>
        <w:t>Make this electronic level available at the jobsite at all times</w:t>
      </w:r>
      <w:proofErr w:type="gramEnd"/>
      <w:r>
        <w:t xml:space="preserve"> during paving operations.</w:t>
      </w:r>
    </w:p>
    <w:p w14:paraId="1A63F68C" w14:textId="77777777" w:rsidR="008A4D09" w:rsidRDefault="00CA4705" w:rsidP="00DA37E3">
      <w:pPr>
        <w:pStyle w:val="BodyText"/>
      </w:pPr>
      <w:r>
        <w:rPr>
          <w:b/>
        </w:rPr>
        <w:tab/>
      </w:r>
      <w:r>
        <w:rPr>
          <w:b/>
        </w:rPr>
        <w:tab/>
        <w:t>334-6.10.3 Pavement Smoothness:</w:t>
      </w:r>
      <w:r>
        <w:t xml:space="preserve"> Construct a smooth pavement meeting the requirements of this Specification. Furnish a 15 foot manual and a 15 foot rolling straightedge meeting the requirements of FM 5-509. Obtain a smooth surface on all pavement courses placed, and then straightedge all layers as required by this Specification.</w:t>
      </w:r>
    </w:p>
    <w:p w14:paraId="07F62B36" w14:textId="77777777" w:rsidR="008A4D09" w:rsidRDefault="00CA4705">
      <w:pPr>
        <w:pStyle w:val="BodyText"/>
        <w:rPr>
          <w:b/>
          <w:szCs w:val="24"/>
        </w:rPr>
      </w:pPr>
      <w:r>
        <w:rPr>
          <w:szCs w:val="24"/>
        </w:rPr>
        <w:tab/>
      </w:r>
      <w:r>
        <w:rPr>
          <w:szCs w:val="24"/>
        </w:rPr>
        <w:tab/>
      </w:r>
      <w:r>
        <w:rPr>
          <w:szCs w:val="24"/>
        </w:rPr>
        <w:tab/>
      </w:r>
      <w:r>
        <w:rPr>
          <w:b/>
          <w:szCs w:val="24"/>
        </w:rPr>
        <w:t>334-6.10.3.1 Straightedge Testing:</w:t>
      </w:r>
    </w:p>
    <w:p w14:paraId="09E45BA3" w14:textId="3FBBAFEF" w:rsidR="008A4D09" w:rsidRDefault="00CA4705">
      <w:pPr>
        <w:pStyle w:val="BodyText"/>
        <w:rPr>
          <w:szCs w:val="24"/>
        </w:rPr>
      </w:pPr>
      <w:r>
        <w:rPr>
          <w:szCs w:val="24"/>
        </w:rPr>
        <w:tab/>
      </w:r>
      <w:r>
        <w:rPr>
          <w:szCs w:val="24"/>
        </w:rPr>
        <w:tab/>
      </w:r>
      <w:r>
        <w:rPr>
          <w:szCs w:val="24"/>
        </w:rPr>
        <w:tab/>
      </w:r>
      <w:r>
        <w:rPr>
          <w:szCs w:val="24"/>
        </w:rPr>
        <w:tab/>
      </w:r>
      <w:r>
        <w:rPr>
          <w:b/>
          <w:szCs w:val="24"/>
        </w:rPr>
        <w:t>334-6.10.3.1.1 Acceptance Testing:</w:t>
      </w:r>
      <w:r w:rsidRPr="00DA37E3">
        <w:rPr>
          <w:bCs/>
          <w:szCs w:val="24"/>
        </w:rPr>
        <w:t xml:space="preserve"> </w:t>
      </w:r>
      <w:r>
        <w:rPr>
          <w:szCs w:val="24"/>
        </w:rPr>
        <w:t>Using a rolling straightedge, test the final (top) layer of the pavement. Test all pavement lanes where the width is constant using a rolling straightedge and document all deficiencies on a form approved by the Engineer. Notify the Engineer of the location and time of all straightedge testing a minimum of 48 hours before beginning testing.</w:t>
      </w:r>
    </w:p>
    <w:p w14:paraId="189C255A" w14:textId="5F00F707" w:rsidR="008A4D09" w:rsidRDefault="00DA37E3" w:rsidP="00DA37E3">
      <w:pPr>
        <w:pStyle w:val="BodyText"/>
        <w:rPr>
          <w:szCs w:val="24"/>
        </w:rPr>
      </w:pPr>
      <w:r>
        <w:rPr>
          <w:b/>
          <w:szCs w:val="24"/>
        </w:rPr>
        <w:tab/>
      </w:r>
      <w:r>
        <w:rPr>
          <w:b/>
          <w:szCs w:val="24"/>
        </w:rPr>
        <w:tab/>
      </w:r>
      <w:r>
        <w:rPr>
          <w:b/>
          <w:szCs w:val="24"/>
        </w:rPr>
        <w:tab/>
      </w:r>
      <w:r>
        <w:rPr>
          <w:b/>
          <w:szCs w:val="24"/>
        </w:rPr>
        <w:tab/>
      </w:r>
      <w:r w:rsidR="00CA4705">
        <w:rPr>
          <w:b/>
          <w:szCs w:val="24"/>
        </w:rPr>
        <w:t>334-6.10.3.1.2 Final (Top) Pavement Layer:</w:t>
      </w:r>
      <w:r w:rsidR="00CA4705">
        <w:rPr>
          <w:szCs w:val="24"/>
        </w:rPr>
        <w:t xml:space="preserve"> At the completion of all paving operations, straightedge the final (top)</w:t>
      </w:r>
      <w:r w:rsidR="00CA4705">
        <w:t xml:space="preserve"> layer either behind the final roller of the paving train or as a separate operation</w:t>
      </w:r>
      <w:r w:rsidR="00CA4705">
        <w:rPr>
          <w:szCs w:val="24"/>
        </w:rPr>
        <w:t xml:space="preserve">. Address all deficiencies </w:t>
      </w:r>
      <w:proofErr w:type="gramStart"/>
      <w:r w:rsidR="00CA4705">
        <w:rPr>
          <w:szCs w:val="24"/>
        </w:rPr>
        <w:t>in excess of</w:t>
      </w:r>
      <w:proofErr w:type="gramEnd"/>
      <w:r w:rsidR="00CA4705">
        <w:rPr>
          <w:szCs w:val="24"/>
        </w:rPr>
        <w:t xml:space="preserve"> 3/16 inch in accordance with 334-5.10.4, unless waived by the Engineer. Retest all corrected areas.</w:t>
      </w:r>
    </w:p>
    <w:p w14:paraId="3951BCD2" w14:textId="22572AAC" w:rsidR="008A4D09" w:rsidRDefault="00DA37E3" w:rsidP="00DA37E3">
      <w:pPr>
        <w:pStyle w:val="BodyText"/>
        <w:rPr>
          <w:szCs w:val="24"/>
        </w:rPr>
      </w:pPr>
      <w:r>
        <w:rPr>
          <w:b/>
          <w:szCs w:val="24"/>
        </w:rPr>
        <w:tab/>
      </w:r>
      <w:r>
        <w:rPr>
          <w:b/>
          <w:szCs w:val="24"/>
        </w:rPr>
        <w:tab/>
      </w:r>
      <w:r>
        <w:rPr>
          <w:b/>
          <w:szCs w:val="24"/>
        </w:rPr>
        <w:tab/>
      </w:r>
      <w:r>
        <w:rPr>
          <w:b/>
          <w:szCs w:val="24"/>
        </w:rPr>
        <w:tab/>
      </w:r>
      <w:r w:rsidR="00CA4705">
        <w:rPr>
          <w:b/>
          <w:szCs w:val="24"/>
        </w:rPr>
        <w:t xml:space="preserve">334-6.10.3.1.3 Straightedge Exceptions: </w:t>
      </w:r>
      <w:r w:rsidR="00CA4705">
        <w:t xml:space="preserve">Straightedge testing will not be required in the following areas: shoulders, intersections, tapers, crossovers, sidewalks, bicycle/shared use paths, parking lots and similar areas, or in the following areas when they are less than 250 feet in length: turn lanes, acceleration/deceleration lanes and side </w:t>
      </w:r>
      <w:r w:rsidR="00CA4705">
        <w:rPr>
          <w:szCs w:val="24"/>
        </w:rPr>
        <w:t xml:space="preserve">streets. The limits of the intersection will be from stop bar to stop bar for both the </w:t>
      </w:r>
      <w:proofErr w:type="gramStart"/>
      <w:r w:rsidR="00CA4705">
        <w:rPr>
          <w:szCs w:val="24"/>
        </w:rPr>
        <w:t>mainline</w:t>
      </w:r>
      <w:proofErr w:type="gramEnd"/>
      <w:r w:rsidR="00CA4705">
        <w:rPr>
          <w:szCs w:val="24"/>
        </w:rPr>
        <w:t xml:space="preserve"> and side streets.</w:t>
      </w:r>
    </w:p>
    <w:p w14:paraId="0FC596F0" w14:textId="3721112E" w:rsidR="008A4D09" w:rsidRDefault="00CA4705">
      <w:pPr>
        <w:pStyle w:val="BodyText"/>
        <w:rPr>
          <w:szCs w:val="24"/>
        </w:rPr>
      </w:pPr>
      <w:r>
        <w:rPr>
          <w:szCs w:val="24"/>
        </w:rPr>
        <w:tab/>
      </w:r>
      <w:r>
        <w:rPr>
          <w:szCs w:val="24"/>
        </w:rPr>
        <w:tab/>
      </w:r>
      <w:r w:rsidR="00DA37E3">
        <w:rPr>
          <w:szCs w:val="24"/>
        </w:rPr>
        <w:tab/>
      </w:r>
      <w:r w:rsidR="00DA37E3">
        <w:rPr>
          <w:szCs w:val="24"/>
        </w:rPr>
        <w:tab/>
      </w:r>
      <w:r w:rsidR="00DA37E3">
        <w:rPr>
          <w:szCs w:val="24"/>
        </w:rPr>
        <w:tab/>
      </w:r>
      <w:r>
        <w:rPr>
          <w:szCs w:val="24"/>
        </w:rPr>
        <w:t xml:space="preserve">As an exception, in the event the Engineer identifies an objectional surface irregularity in the above areas, straightedge and address all deficiencies </w:t>
      </w:r>
      <w:proofErr w:type="gramStart"/>
      <w:r>
        <w:rPr>
          <w:szCs w:val="24"/>
        </w:rPr>
        <w:t>in excess of</w:t>
      </w:r>
      <w:proofErr w:type="gramEnd"/>
      <w:r>
        <w:rPr>
          <w:szCs w:val="24"/>
        </w:rPr>
        <w:t xml:space="preserve"> 3/8 inch in accordance with 334-5.10.4.</w:t>
      </w:r>
    </w:p>
    <w:p w14:paraId="2A3C3614" w14:textId="58CA7467" w:rsidR="008A4D09" w:rsidRDefault="003A069D" w:rsidP="003A069D">
      <w:pPr>
        <w:pStyle w:val="BodyText"/>
        <w:rPr>
          <w:szCs w:val="24"/>
        </w:rPr>
      </w:pPr>
      <w:r>
        <w:rPr>
          <w:b/>
          <w:szCs w:val="24"/>
        </w:rPr>
        <w:tab/>
      </w:r>
      <w:r>
        <w:rPr>
          <w:b/>
          <w:szCs w:val="24"/>
        </w:rPr>
        <w:tab/>
      </w:r>
      <w:r w:rsidR="00CA4705">
        <w:rPr>
          <w:b/>
          <w:szCs w:val="24"/>
        </w:rPr>
        <w:t xml:space="preserve">334-6.10.4 Correcting Unacceptable Pavement: </w:t>
      </w:r>
      <w:r w:rsidR="00CA4705">
        <w:rPr>
          <w:szCs w:val="24"/>
        </w:rPr>
        <w:t>Correct deficiencies in the pavement layer by removing and replacing the full depth of the layer, extending a minimum of 50 feet on both sides (where possible) of the defective area for the full width of the paving lane, at no additional cost.</w:t>
      </w:r>
    </w:p>
    <w:p w14:paraId="62F35C47" w14:textId="77777777" w:rsidR="008A4D09" w:rsidRDefault="00CA4705">
      <w:pPr>
        <w:pStyle w:val="Article"/>
      </w:pPr>
      <w:r>
        <w:t>334-7 Acceptance of the Mixture.</w:t>
      </w:r>
    </w:p>
    <w:p w14:paraId="2D2806C8" w14:textId="77777777" w:rsidR="008A4D09" w:rsidRDefault="00CA4705">
      <w:pPr>
        <w:pStyle w:val="BodyText"/>
        <w:rPr>
          <w:szCs w:val="24"/>
        </w:rPr>
      </w:pPr>
      <w:r>
        <w:rPr>
          <w:szCs w:val="24"/>
        </w:rPr>
        <w:tab/>
      </w:r>
      <w:r>
        <w:rPr>
          <w:b/>
          <w:bCs/>
          <w:szCs w:val="24"/>
        </w:rPr>
        <w:t>334-7.1</w:t>
      </w:r>
      <w:r>
        <w:rPr>
          <w:b/>
          <w:szCs w:val="24"/>
        </w:rPr>
        <w:t xml:space="preserve"> </w:t>
      </w:r>
      <w:r>
        <w:rPr>
          <w:b/>
          <w:bCs/>
          <w:szCs w:val="24"/>
        </w:rPr>
        <w:t>General:</w:t>
      </w:r>
      <w:r>
        <w:rPr>
          <w:szCs w:val="24"/>
        </w:rPr>
        <w:t xml:space="preserve"> The asphalt mixture will be accepted based on the Asphalt Work Category as defined below:</w:t>
      </w:r>
    </w:p>
    <w:p w14:paraId="7398EB36" w14:textId="77777777" w:rsidR="008A4D09" w:rsidRDefault="00CA4705">
      <w:pPr>
        <w:pStyle w:val="BodyText"/>
        <w:rPr>
          <w:szCs w:val="24"/>
        </w:rPr>
      </w:pPr>
      <w:r>
        <w:rPr>
          <w:szCs w:val="24"/>
        </w:rPr>
        <w:tab/>
      </w:r>
      <w:r>
        <w:rPr>
          <w:szCs w:val="24"/>
        </w:rPr>
        <w:tab/>
        <w:t>1. Asphalt Work Category 1 – Certification by the Contractor as defined in 334-7.2.</w:t>
      </w:r>
    </w:p>
    <w:p w14:paraId="4C847E89" w14:textId="77777777" w:rsidR="008A4D09" w:rsidRDefault="00CA4705">
      <w:pPr>
        <w:pStyle w:val="BodyText"/>
        <w:rPr>
          <w:szCs w:val="24"/>
        </w:rPr>
      </w:pPr>
      <w:r>
        <w:rPr>
          <w:szCs w:val="24"/>
        </w:rPr>
        <w:tab/>
      </w:r>
      <w:r>
        <w:rPr>
          <w:szCs w:val="24"/>
        </w:rPr>
        <w:tab/>
        <w:t>2. Asphalt Work Category 2 – Certification and process control testing by the Contractor as defined in 334-7.3</w:t>
      </w:r>
    </w:p>
    <w:p w14:paraId="11F73ACB" w14:textId="77777777" w:rsidR="008A4D09" w:rsidRDefault="00CA4705">
      <w:pPr>
        <w:pStyle w:val="BodyText"/>
        <w:rPr>
          <w:szCs w:val="24"/>
        </w:rPr>
      </w:pPr>
      <w:r>
        <w:rPr>
          <w:szCs w:val="24"/>
        </w:rPr>
        <w:tab/>
      </w:r>
      <w:r>
        <w:rPr>
          <w:szCs w:val="24"/>
        </w:rPr>
        <w:tab/>
        <w:t>3. Asphalt Work Category 3 – Process control testing by the Contractor and acceptance testing by the Engineer as defined in 334-7.4.</w:t>
      </w:r>
    </w:p>
    <w:p w14:paraId="54973C3C" w14:textId="77777777" w:rsidR="008A4D09" w:rsidRDefault="00CA4705">
      <w:pPr>
        <w:pStyle w:val="BodyText"/>
        <w:rPr>
          <w:szCs w:val="24"/>
        </w:rPr>
      </w:pPr>
      <w:r>
        <w:rPr>
          <w:szCs w:val="24"/>
        </w:rPr>
        <w:tab/>
      </w:r>
      <w:r>
        <w:rPr>
          <w:b/>
          <w:szCs w:val="24"/>
        </w:rPr>
        <w:t>334-7.2 Certification by the Contractor:</w:t>
      </w:r>
      <w:r>
        <w:rPr>
          <w:szCs w:val="24"/>
        </w:rPr>
        <w:t xml:space="preserve"> On Asphalt Work Category 1 construction, the Engineer will accept the mix </w:t>
      </w:r>
      <w:proofErr w:type="gramStart"/>
      <w:r>
        <w:rPr>
          <w:szCs w:val="24"/>
        </w:rPr>
        <w:t>on the basis of</w:t>
      </w:r>
      <w:proofErr w:type="gramEnd"/>
      <w:r>
        <w:rPr>
          <w:szCs w:val="24"/>
        </w:rPr>
        <w:t xml:space="preserve"> visual inspection. Submit a Notarized Certification of Specification Compliance letter on company letterhead to the Engineer stating that all material produced and placed on the project meets the requirements of the Specifications. The Engineer may run independent tests to determine the acceptability of the material.</w:t>
      </w:r>
    </w:p>
    <w:p w14:paraId="48EEB65E" w14:textId="1E5928C3" w:rsidR="008A4D09" w:rsidRDefault="00CA4705">
      <w:pPr>
        <w:pStyle w:val="BodyText"/>
        <w:rPr>
          <w:szCs w:val="24"/>
        </w:rPr>
      </w:pPr>
      <w:r>
        <w:rPr>
          <w:szCs w:val="24"/>
        </w:rPr>
        <w:tab/>
      </w:r>
      <w:r>
        <w:rPr>
          <w:b/>
          <w:szCs w:val="24"/>
        </w:rPr>
        <w:t>334-7.3 Certification and Process Control Testing by the Contractor:</w:t>
      </w:r>
      <w:r>
        <w:rPr>
          <w:szCs w:val="24"/>
        </w:rPr>
        <w:t xml:space="preserve"> On Asphalt Work Category 2 construction, submit a Notarized Certification of Specification Compliance letter on company letterhead to the Engineer stating that all material produced and placed on the project meets the requirements of the Specifications, along with supporting test data documenting all process control testing as described in </w:t>
      </w:r>
      <w:r w:rsidR="003F0610" w:rsidRPr="0052459F">
        <w:rPr>
          <w:szCs w:val="24"/>
        </w:rPr>
        <w:t>334-7.3.1</w:t>
      </w:r>
      <w:r w:rsidR="003F0610">
        <w:rPr>
          <w:szCs w:val="24"/>
        </w:rPr>
        <w:t>.</w:t>
      </w:r>
      <w:r>
        <w:rPr>
          <w:szCs w:val="24"/>
        </w:rPr>
        <w:t xml:space="preserve"> If required by the Contract, utilize an Independent Laboratory as approved by the Engineer for the process control testing. The mix will also require visual acceptance by the Engineer. In addition, the Engineer may run independent tests to determine the acceptability of the material. Material failing to meet these acceptance criteria will be addressed as directed by the Engineer such </w:t>
      </w:r>
      <w:proofErr w:type="gramStart"/>
      <w:r>
        <w:rPr>
          <w:szCs w:val="24"/>
        </w:rPr>
        <w:t>as but</w:t>
      </w:r>
      <w:proofErr w:type="gramEnd"/>
      <w:r>
        <w:rPr>
          <w:szCs w:val="24"/>
        </w:rPr>
        <w:t xml:space="preserve"> not limited to acceptance at reduced pay, delineation testing to determine the limits of the questionable material, removal and replacement at no cost to the agency, or performing an Engineering analysis to determine the final disposition of the material.</w:t>
      </w:r>
    </w:p>
    <w:p w14:paraId="08D7158F" w14:textId="46CC7235" w:rsidR="008A4D09" w:rsidRDefault="00CA4705">
      <w:pPr>
        <w:pStyle w:val="BodyText"/>
        <w:rPr>
          <w:szCs w:val="24"/>
        </w:rPr>
      </w:pPr>
      <w:r>
        <w:rPr>
          <w:szCs w:val="24"/>
        </w:rPr>
        <w:tab/>
      </w:r>
      <w:r>
        <w:rPr>
          <w:szCs w:val="24"/>
        </w:rPr>
        <w:tab/>
      </w:r>
      <w:r>
        <w:rPr>
          <w:b/>
          <w:szCs w:val="24"/>
        </w:rPr>
        <w:t xml:space="preserve">334-7.3.1 Process Control Sampling and Testing Requirements: </w:t>
      </w:r>
      <w:r>
        <w:rPr>
          <w:szCs w:val="24"/>
        </w:rPr>
        <w:t>Perform process control testing at a frequency of once per day. Obtain the samples in accordance with FDOT Method FM 1-T 168. Test the mixture at the plant for gradation (P</w:t>
      </w:r>
      <w:r>
        <w:rPr>
          <w:szCs w:val="24"/>
          <w:vertAlign w:val="subscript"/>
        </w:rPr>
        <w:t>-8</w:t>
      </w:r>
      <w:r>
        <w:rPr>
          <w:szCs w:val="24"/>
        </w:rPr>
        <w:t xml:space="preserve"> and P</w:t>
      </w:r>
      <w:r>
        <w:rPr>
          <w:szCs w:val="24"/>
          <w:vertAlign w:val="subscript"/>
        </w:rPr>
        <w:t>-200</w:t>
      </w:r>
      <w:r>
        <w:rPr>
          <w:szCs w:val="24"/>
        </w:rPr>
        <w:t>) and asphalt binder content (P</w:t>
      </w:r>
      <w:r>
        <w:rPr>
          <w:szCs w:val="24"/>
          <w:vertAlign w:val="subscript"/>
        </w:rPr>
        <w:t>b</w:t>
      </w:r>
      <w:r>
        <w:rPr>
          <w:szCs w:val="24"/>
        </w:rPr>
        <w:t>). Measure the roadway density with 6 inch diameter roadway cores at a minimum frequency of once per 1,500 feet of pavement with a minimum of three cores per day.</w:t>
      </w:r>
    </w:p>
    <w:p w14:paraId="3E62C785" w14:textId="5D7D7883" w:rsidR="008A4D09" w:rsidRDefault="00CA4705">
      <w:pPr>
        <w:pStyle w:val="BodyText"/>
        <w:rPr>
          <w:szCs w:val="24"/>
        </w:rPr>
      </w:pPr>
      <w:r>
        <w:rPr>
          <w:szCs w:val="24"/>
        </w:rPr>
        <w:tab/>
      </w:r>
      <w:r>
        <w:rPr>
          <w:szCs w:val="24"/>
        </w:rPr>
        <w:tab/>
      </w:r>
      <w:r>
        <w:rPr>
          <w:szCs w:val="24"/>
        </w:rPr>
        <w:tab/>
        <w:t>Determine the asphalt binder content of the mixture in accordance with FM 5-563. Determine the gradation of the recovered aggregate in accordance with FM 1-T 030. Determine the roadway density in accordance with FM 1</w:t>
      </w:r>
      <w:r>
        <w:rPr>
          <w:szCs w:val="24"/>
        </w:rPr>
        <w:noBreakHyphen/>
        <w:t>T 166. The minimum roadway density will be based on the percent of the maximum specific gravity (</w:t>
      </w:r>
      <w:proofErr w:type="spellStart"/>
      <w:r>
        <w:rPr>
          <w:szCs w:val="24"/>
        </w:rPr>
        <w:t>G</w:t>
      </w:r>
      <w:r w:rsidRPr="00E9708C">
        <w:rPr>
          <w:szCs w:val="24"/>
          <w:vertAlign w:val="subscript"/>
        </w:rPr>
        <w:t>mm</w:t>
      </w:r>
      <w:proofErr w:type="spellEnd"/>
      <w:r>
        <w:rPr>
          <w:szCs w:val="24"/>
        </w:rPr>
        <w:t xml:space="preserve">) from the approved mix design. If the Contractor or Engineer suspects that the mix design </w:t>
      </w:r>
      <w:proofErr w:type="spellStart"/>
      <w:r>
        <w:rPr>
          <w:szCs w:val="24"/>
        </w:rPr>
        <w:t>G</w:t>
      </w:r>
      <w:r w:rsidRPr="00E9708C">
        <w:rPr>
          <w:szCs w:val="24"/>
          <w:vertAlign w:val="subscript"/>
        </w:rPr>
        <w:t>mm</w:t>
      </w:r>
      <w:proofErr w:type="spellEnd"/>
      <w:r>
        <w:rPr>
          <w:szCs w:val="24"/>
        </w:rPr>
        <w:t xml:space="preserve"> is no longer representative of the asphalt mixture being produced, then a new </w:t>
      </w:r>
      <w:proofErr w:type="spellStart"/>
      <w:r>
        <w:rPr>
          <w:szCs w:val="24"/>
        </w:rPr>
        <w:t>G</w:t>
      </w:r>
      <w:r w:rsidRPr="00E9708C">
        <w:rPr>
          <w:szCs w:val="24"/>
          <w:vertAlign w:val="subscript"/>
        </w:rPr>
        <w:t>mm</w:t>
      </w:r>
      <w:proofErr w:type="spellEnd"/>
      <w:r>
        <w:rPr>
          <w:szCs w:val="24"/>
        </w:rPr>
        <w:t xml:space="preserve"> value will be determined from plant-produced mix with the approval of the Engineer. Roadway density testing will not be required in certain situations as described in 334-7.4.1. Assure that the asphalt binder content, gradation and density test results meet the criteria in </w:t>
      </w:r>
      <w:r w:rsidR="00F50E5D">
        <w:rPr>
          <w:szCs w:val="24"/>
        </w:rPr>
        <w:t>334-8</w:t>
      </w:r>
      <w:r>
        <w:rPr>
          <w:szCs w:val="24"/>
        </w:rPr>
        <w:t>.</w:t>
      </w:r>
    </w:p>
    <w:p w14:paraId="6E8D1879" w14:textId="77777777" w:rsidR="008A4D09" w:rsidRDefault="008A4D09">
      <w:pPr>
        <w:pStyle w:val="BodyTex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55"/>
        <w:gridCol w:w="4295"/>
      </w:tblGrid>
      <w:tr w:rsidR="008A4D09" w14:paraId="4A0AF9A6" w14:textId="77777777" w:rsidTr="005345B1">
        <w:trPr>
          <w:tblHeader/>
        </w:trPr>
        <w:tc>
          <w:tcPr>
            <w:tcW w:w="5000" w:type="pct"/>
            <w:gridSpan w:val="2"/>
          </w:tcPr>
          <w:p w14:paraId="35F0CE06" w14:textId="318511DB" w:rsidR="008A4D09" w:rsidRDefault="00CA4705">
            <w:pPr>
              <w:pStyle w:val="BodyText"/>
              <w:jc w:val="center"/>
              <w:rPr>
                <w:szCs w:val="24"/>
              </w:rPr>
            </w:pPr>
            <w:r>
              <w:rPr>
                <w:szCs w:val="24"/>
              </w:rPr>
              <w:t>Table </w:t>
            </w:r>
            <w:r w:rsidR="00F50E5D">
              <w:rPr>
                <w:szCs w:val="24"/>
              </w:rPr>
              <w:t>334-8</w:t>
            </w:r>
          </w:p>
          <w:p w14:paraId="721C7D97" w14:textId="77777777" w:rsidR="008A4D09" w:rsidRDefault="00CA4705">
            <w:pPr>
              <w:pStyle w:val="BodyText"/>
              <w:jc w:val="center"/>
              <w:rPr>
                <w:szCs w:val="24"/>
              </w:rPr>
            </w:pPr>
            <w:r>
              <w:rPr>
                <w:szCs w:val="24"/>
              </w:rPr>
              <w:t>Process Control and Acceptance Values</w:t>
            </w:r>
          </w:p>
        </w:tc>
      </w:tr>
      <w:tr w:rsidR="008A4D09" w14:paraId="1454897E" w14:textId="77777777" w:rsidTr="005345B1">
        <w:trPr>
          <w:tblHeader/>
        </w:trPr>
        <w:tc>
          <w:tcPr>
            <w:tcW w:w="2703" w:type="pct"/>
          </w:tcPr>
          <w:p w14:paraId="22182F72" w14:textId="77777777" w:rsidR="008A4D09" w:rsidRDefault="00CA4705">
            <w:pPr>
              <w:pStyle w:val="BodyText"/>
              <w:jc w:val="center"/>
              <w:rPr>
                <w:szCs w:val="24"/>
              </w:rPr>
            </w:pPr>
            <w:r>
              <w:rPr>
                <w:szCs w:val="24"/>
              </w:rPr>
              <w:t>Characteristic</w:t>
            </w:r>
          </w:p>
        </w:tc>
        <w:tc>
          <w:tcPr>
            <w:tcW w:w="2297" w:type="pct"/>
          </w:tcPr>
          <w:p w14:paraId="14E0EF99" w14:textId="77777777" w:rsidR="008A4D09" w:rsidRDefault="00CA4705">
            <w:pPr>
              <w:pStyle w:val="BodyText"/>
              <w:jc w:val="center"/>
              <w:rPr>
                <w:szCs w:val="24"/>
              </w:rPr>
            </w:pPr>
            <w:r>
              <w:rPr>
                <w:szCs w:val="24"/>
              </w:rPr>
              <w:t>Tolerance</w:t>
            </w:r>
          </w:p>
        </w:tc>
      </w:tr>
      <w:tr w:rsidR="008A4D09" w14:paraId="421DD1E2" w14:textId="77777777" w:rsidTr="005345B1">
        <w:trPr>
          <w:cantSplit/>
        </w:trPr>
        <w:tc>
          <w:tcPr>
            <w:tcW w:w="2703" w:type="pct"/>
          </w:tcPr>
          <w:p w14:paraId="0A2B5023" w14:textId="77777777" w:rsidR="008A4D09" w:rsidRDefault="00CA4705">
            <w:pPr>
              <w:pStyle w:val="BodyText"/>
              <w:jc w:val="center"/>
              <w:rPr>
                <w:szCs w:val="24"/>
              </w:rPr>
            </w:pPr>
            <w:r>
              <w:rPr>
                <w:szCs w:val="24"/>
              </w:rPr>
              <w:t>Asphalt Binder Content (percent)</w:t>
            </w:r>
          </w:p>
        </w:tc>
        <w:tc>
          <w:tcPr>
            <w:tcW w:w="2297" w:type="pct"/>
          </w:tcPr>
          <w:p w14:paraId="3AAE0C62" w14:textId="77777777" w:rsidR="008A4D09" w:rsidRDefault="00CA4705">
            <w:pPr>
              <w:pStyle w:val="BodyText"/>
              <w:jc w:val="center"/>
              <w:rPr>
                <w:szCs w:val="24"/>
              </w:rPr>
            </w:pPr>
            <w:r>
              <w:rPr>
                <w:szCs w:val="24"/>
              </w:rPr>
              <w:t>Target ± 0.55</w:t>
            </w:r>
          </w:p>
        </w:tc>
      </w:tr>
      <w:tr w:rsidR="008A4D09" w14:paraId="075839E4" w14:textId="77777777" w:rsidTr="005345B1">
        <w:trPr>
          <w:cantSplit/>
        </w:trPr>
        <w:tc>
          <w:tcPr>
            <w:tcW w:w="2703" w:type="pct"/>
          </w:tcPr>
          <w:p w14:paraId="0D09B37B" w14:textId="77777777" w:rsidR="008A4D09" w:rsidRDefault="00CA4705">
            <w:pPr>
              <w:pStyle w:val="BodyText"/>
              <w:jc w:val="center"/>
              <w:rPr>
                <w:szCs w:val="24"/>
              </w:rPr>
            </w:pPr>
            <w:r>
              <w:rPr>
                <w:szCs w:val="24"/>
              </w:rPr>
              <w:t>Passing No. 8 Sieve (percent)</w:t>
            </w:r>
          </w:p>
        </w:tc>
        <w:tc>
          <w:tcPr>
            <w:tcW w:w="2297" w:type="pct"/>
          </w:tcPr>
          <w:p w14:paraId="48372A22" w14:textId="77777777" w:rsidR="008A4D09" w:rsidRDefault="00CA4705">
            <w:pPr>
              <w:pStyle w:val="BodyText"/>
              <w:jc w:val="center"/>
              <w:rPr>
                <w:szCs w:val="24"/>
              </w:rPr>
            </w:pPr>
            <w:r>
              <w:rPr>
                <w:szCs w:val="24"/>
              </w:rPr>
              <w:t>Target ± 6.00</w:t>
            </w:r>
          </w:p>
        </w:tc>
      </w:tr>
      <w:tr w:rsidR="008A4D09" w14:paraId="2EB757F8" w14:textId="77777777" w:rsidTr="005345B1">
        <w:trPr>
          <w:cantSplit/>
        </w:trPr>
        <w:tc>
          <w:tcPr>
            <w:tcW w:w="2703" w:type="pct"/>
          </w:tcPr>
          <w:p w14:paraId="5EB183A4" w14:textId="77777777" w:rsidR="008A4D09" w:rsidRDefault="00CA4705">
            <w:pPr>
              <w:pStyle w:val="BodyText"/>
              <w:jc w:val="center"/>
              <w:rPr>
                <w:szCs w:val="24"/>
              </w:rPr>
            </w:pPr>
            <w:r>
              <w:rPr>
                <w:szCs w:val="24"/>
              </w:rPr>
              <w:lastRenderedPageBreak/>
              <w:t>Passing No. 200 Sieve (percent)</w:t>
            </w:r>
          </w:p>
        </w:tc>
        <w:tc>
          <w:tcPr>
            <w:tcW w:w="2297" w:type="pct"/>
          </w:tcPr>
          <w:p w14:paraId="5B142409" w14:textId="77777777" w:rsidR="008A4D09" w:rsidRDefault="00CA4705">
            <w:pPr>
              <w:pStyle w:val="BodyText"/>
              <w:jc w:val="center"/>
              <w:rPr>
                <w:szCs w:val="24"/>
              </w:rPr>
            </w:pPr>
            <w:r>
              <w:rPr>
                <w:szCs w:val="24"/>
              </w:rPr>
              <w:t>Target ± 1.50</w:t>
            </w:r>
          </w:p>
        </w:tc>
      </w:tr>
      <w:tr w:rsidR="008A4D09" w14:paraId="4175FCC5" w14:textId="77777777" w:rsidTr="005345B1">
        <w:trPr>
          <w:cantSplit/>
        </w:trPr>
        <w:tc>
          <w:tcPr>
            <w:tcW w:w="2703" w:type="pct"/>
          </w:tcPr>
          <w:p w14:paraId="4AB691BF" w14:textId="77777777" w:rsidR="008A4D09" w:rsidRDefault="00CA4705">
            <w:pPr>
              <w:pStyle w:val="BodyText"/>
              <w:jc w:val="center"/>
              <w:rPr>
                <w:szCs w:val="24"/>
              </w:rPr>
            </w:pPr>
            <w:r>
              <w:rPr>
                <w:szCs w:val="24"/>
              </w:rPr>
              <w:t>Roadway Density (daily average)</w:t>
            </w:r>
          </w:p>
        </w:tc>
        <w:tc>
          <w:tcPr>
            <w:tcW w:w="2297" w:type="pct"/>
          </w:tcPr>
          <w:p w14:paraId="59021F42" w14:textId="77777777" w:rsidR="008A4D09" w:rsidRDefault="00CA4705">
            <w:pPr>
              <w:pStyle w:val="BodyText"/>
              <w:jc w:val="center"/>
              <w:rPr>
                <w:szCs w:val="24"/>
              </w:rPr>
            </w:pPr>
            <w:r>
              <w:rPr>
                <w:szCs w:val="24"/>
              </w:rPr>
              <w:t xml:space="preserve">Minimum 91.5% of </w:t>
            </w:r>
            <w:proofErr w:type="spellStart"/>
            <w:r>
              <w:rPr>
                <w:szCs w:val="24"/>
              </w:rPr>
              <w:t>G</w:t>
            </w:r>
            <w:r w:rsidRPr="00F50E5D">
              <w:rPr>
                <w:szCs w:val="24"/>
                <w:vertAlign w:val="subscript"/>
              </w:rPr>
              <w:t>mm</w:t>
            </w:r>
            <w:proofErr w:type="spellEnd"/>
          </w:p>
        </w:tc>
      </w:tr>
      <w:tr w:rsidR="008A4D09" w14:paraId="14489CBC" w14:textId="77777777" w:rsidTr="005345B1">
        <w:trPr>
          <w:cantSplit/>
        </w:trPr>
        <w:tc>
          <w:tcPr>
            <w:tcW w:w="2703" w:type="pct"/>
          </w:tcPr>
          <w:p w14:paraId="666EEA94" w14:textId="77777777" w:rsidR="008A4D09" w:rsidRDefault="00CA4705">
            <w:pPr>
              <w:pStyle w:val="BodyText"/>
              <w:jc w:val="center"/>
              <w:rPr>
                <w:szCs w:val="24"/>
              </w:rPr>
            </w:pPr>
            <w:r>
              <w:rPr>
                <w:szCs w:val="24"/>
              </w:rPr>
              <w:t>Roadway Density (any single core)</w:t>
            </w:r>
          </w:p>
        </w:tc>
        <w:tc>
          <w:tcPr>
            <w:tcW w:w="2297" w:type="pct"/>
          </w:tcPr>
          <w:p w14:paraId="482A27E0" w14:textId="0FF4548A" w:rsidR="008A4D09" w:rsidRDefault="00F50E5D">
            <w:pPr>
              <w:pStyle w:val="BodyText"/>
              <w:jc w:val="center"/>
              <w:rPr>
                <w:szCs w:val="24"/>
              </w:rPr>
            </w:pPr>
            <w:r w:rsidRPr="00A25793">
              <w:rPr>
                <w:szCs w:val="24"/>
              </w:rPr>
              <w:t xml:space="preserve">Minimum </w:t>
            </w:r>
            <w:r>
              <w:rPr>
                <w:szCs w:val="24"/>
              </w:rPr>
              <w:t>89.5</w:t>
            </w:r>
            <w:r w:rsidRPr="00A25793">
              <w:rPr>
                <w:szCs w:val="24"/>
              </w:rPr>
              <w:t xml:space="preserve">% of </w:t>
            </w:r>
            <w:proofErr w:type="spellStart"/>
            <w:r w:rsidRPr="00A25793">
              <w:rPr>
                <w:szCs w:val="24"/>
              </w:rPr>
              <w:t>G</w:t>
            </w:r>
            <w:r w:rsidRPr="00F50E5D">
              <w:rPr>
                <w:szCs w:val="24"/>
                <w:vertAlign w:val="subscript"/>
              </w:rPr>
              <w:t>mm</w:t>
            </w:r>
            <w:proofErr w:type="spellEnd"/>
          </w:p>
        </w:tc>
      </w:tr>
    </w:tbl>
    <w:p w14:paraId="40B1A267" w14:textId="77777777" w:rsidR="008A4D09" w:rsidRDefault="008A4D09">
      <w:pPr>
        <w:pStyle w:val="BodyText"/>
        <w:rPr>
          <w:szCs w:val="24"/>
        </w:rPr>
      </w:pPr>
    </w:p>
    <w:p w14:paraId="79B0158B" w14:textId="050CC375" w:rsidR="008A4D09" w:rsidRDefault="00CA4705">
      <w:pPr>
        <w:pStyle w:val="BodyText"/>
        <w:rPr>
          <w:szCs w:val="24"/>
        </w:rPr>
      </w:pPr>
      <w:r>
        <w:rPr>
          <w:szCs w:val="24"/>
        </w:rPr>
        <w:tab/>
      </w:r>
      <w:r>
        <w:rPr>
          <w:b/>
          <w:szCs w:val="24"/>
        </w:rPr>
        <w:t xml:space="preserve">334-7.4 Process Control Testing by the Contractor and Acceptance Testing by the Engineer: </w:t>
      </w:r>
      <w:r>
        <w:rPr>
          <w:szCs w:val="24"/>
        </w:rPr>
        <w:t>On Asphalt Work Category 3, perform process control testing as described in 334-6.3.1. In addition, the Engineer will accept the mixture at the plant with respect to gradation (P</w:t>
      </w:r>
      <w:r>
        <w:rPr>
          <w:szCs w:val="24"/>
          <w:vertAlign w:val="subscript"/>
        </w:rPr>
        <w:t>-8</w:t>
      </w:r>
      <w:r>
        <w:rPr>
          <w:szCs w:val="24"/>
        </w:rPr>
        <w:t xml:space="preserve"> and P</w:t>
      </w:r>
      <w:r>
        <w:rPr>
          <w:szCs w:val="24"/>
          <w:vertAlign w:val="subscript"/>
        </w:rPr>
        <w:t>-200</w:t>
      </w:r>
      <w:r>
        <w:rPr>
          <w:szCs w:val="24"/>
        </w:rPr>
        <w:t>) and asphalt binder content (P</w:t>
      </w:r>
      <w:r>
        <w:rPr>
          <w:szCs w:val="24"/>
          <w:vertAlign w:val="subscript"/>
        </w:rPr>
        <w:t>b</w:t>
      </w:r>
      <w:r>
        <w:rPr>
          <w:szCs w:val="24"/>
        </w:rPr>
        <w:t xml:space="preserve">). The mixture will be accepted on the roadway with respect to density. The Engineer will sample and test the material as described in 334-7.3.1. The Engineer will randomly obtain at least one set of samples per day. Assure that the asphalt content, </w:t>
      </w:r>
      <w:proofErr w:type="gramStart"/>
      <w:r>
        <w:rPr>
          <w:szCs w:val="24"/>
        </w:rPr>
        <w:t>gradation</w:t>
      </w:r>
      <w:proofErr w:type="gramEnd"/>
      <w:r>
        <w:rPr>
          <w:szCs w:val="24"/>
        </w:rPr>
        <w:t xml:space="preserve"> and density test results meet the criteria in Table 334-</w:t>
      </w:r>
      <w:r w:rsidR="00104171">
        <w:rPr>
          <w:szCs w:val="24"/>
        </w:rPr>
        <w:t>8</w:t>
      </w:r>
      <w:r>
        <w:rPr>
          <w:szCs w:val="24"/>
        </w:rPr>
        <w:t xml:space="preserve">. Material failing to meet these acceptance criteria will be addressed as directed by the Engineer such </w:t>
      </w:r>
      <w:proofErr w:type="gramStart"/>
      <w:r>
        <w:rPr>
          <w:szCs w:val="24"/>
        </w:rPr>
        <w:t>as but</w:t>
      </w:r>
      <w:proofErr w:type="gramEnd"/>
      <w:r>
        <w:rPr>
          <w:szCs w:val="24"/>
        </w:rPr>
        <w:t xml:space="preserve"> not limited to acceptance at reduced pay, delineation testing to determine the limits of the questionable material, removal and replacement at no cost to the agency, or performing an Engineering analysis to determine the final disposition of the material.</w:t>
      </w:r>
    </w:p>
    <w:p w14:paraId="73376450" w14:textId="55B3111B" w:rsidR="008A4D09" w:rsidRDefault="00CA4705">
      <w:pPr>
        <w:pStyle w:val="BodyText"/>
        <w:rPr>
          <w:szCs w:val="24"/>
        </w:rPr>
      </w:pPr>
      <w:r>
        <w:rPr>
          <w:szCs w:val="24"/>
        </w:rPr>
        <w:tab/>
      </w:r>
      <w:r>
        <w:rPr>
          <w:szCs w:val="24"/>
        </w:rPr>
        <w:tab/>
      </w:r>
      <w:r>
        <w:rPr>
          <w:b/>
          <w:szCs w:val="24"/>
        </w:rPr>
        <w:t xml:space="preserve">334-7.4.1 Acceptance Testing Exceptions: </w:t>
      </w:r>
      <w:r>
        <w:rPr>
          <w:szCs w:val="24"/>
        </w:rPr>
        <w:t xml:space="preserve">When the total quantity of any mix type in the project is less than 500 tons, the Engineer will accept the mix </w:t>
      </w:r>
      <w:proofErr w:type="gramStart"/>
      <w:r>
        <w:rPr>
          <w:szCs w:val="24"/>
        </w:rPr>
        <w:t>on the basis of</w:t>
      </w:r>
      <w:proofErr w:type="gramEnd"/>
      <w:r>
        <w:rPr>
          <w:szCs w:val="24"/>
        </w:rPr>
        <w:t xml:space="preserve"> visual inspection. The Engineer may run independent tests to determine the acceptability of the material.</w:t>
      </w:r>
    </w:p>
    <w:p w14:paraId="2F1043C7" w14:textId="77777777" w:rsidR="008A4D09" w:rsidRDefault="00CA4705">
      <w:pPr>
        <w:pStyle w:val="BodyText"/>
        <w:widowControl w:val="0"/>
        <w:rPr>
          <w:szCs w:val="24"/>
        </w:rPr>
      </w:pPr>
      <w:r>
        <w:rPr>
          <w:szCs w:val="24"/>
        </w:rPr>
        <w:tab/>
      </w:r>
      <w:r>
        <w:rPr>
          <w:szCs w:val="24"/>
        </w:rPr>
        <w:tab/>
      </w:r>
      <w:r>
        <w:rPr>
          <w:szCs w:val="24"/>
        </w:rPr>
        <w:tab/>
        <w:t xml:space="preserve">Density testing for acceptance will not be performed on widening strips or shoulders with a width of 5 feet or less, open-graded friction courses, variable thickness overbuild courses, leveling courses, any asphalt layer placed on subgrade (regardless of type), miscellaneous asphalt pavement, bike/shared use paths, crossovers, gore areas, or any course with a specified thickness less than 1 inch or a specified spread rate less than 100 lb per square yard. Density testing for acceptance will not be performed on asphalt courses placed on bridge decks or approach slabs; compact these courses in static mode only. In addition, density testing for acceptance will not be performed on the following areas when they are less than 500 feet (continuous) in length: turning lanes, acceleration lanes, deceleration lanes, shoulders, parallel parking lanes, or ramps. Do not perform density testing for acceptance in situations where the area requiring density testing is less than 50 tons. Density testing for acceptance will not be performed in intersections. The limits of the intersection will be from stop bar to stop bar for both the </w:t>
      </w:r>
      <w:proofErr w:type="gramStart"/>
      <w:r>
        <w:rPr>
          <w:szCs w:val="24"/>
        </w:rPr>
        <w:t>mainline</w:t>
      </w:r>
      <w:proofErr w:type="gramEnd"/>
      <w:r>
        <w:rPr>
          <w:szCs w:val="24"/>
        </w:rPr>
        <w:t xml:space="preserve"> and side streets. A random core location that occurs within the intersection shall be moved forward or backward from the intersection </w:t>
      </w:r>
      <w:proofErr w:type="gramStart"/>
      <w:r>
        <w:rPr>
          <w:szCs w:val="24"/>
        </w:rPr>
        <w:t>at</w:t>
      </w:r>
      <w:proofErr w:type="gramEnd"/>
      <w:r>
        <w:rPr>
          <w:szCs w:val="24"/>
        </w:rPr>
        <w:t xml:space="preserve"> the direction of the Engineer. Compact these courses in accordance with a standard rolling procedure approved by the Engineer. </w:t>
      </w:r>
      <w:proofErr w:type="gramStart"/>
      <w:r>
        <w:rPr>
          <w:szCs w:val="24"/>
        </w:rPr>
        <w:t>In the event that</w:t>
      </w:r>
      <w:proofErr w:type="gramEnd"/>
      <w:r>
        <w:rPr>
          <w:szCs w:val="24"/>
        </w:rPr>
        <w:t xml:space="preserve"> the rolling procedure deviates from the approved procedure, placement of the mix will be stopped.</w:t>
      </w:r>
    </w:p>
    <w:p w14:paraId="1E0506BB" w14:textId="77777777" w:rsidR="008A4D09" w:rsidRDefault="00CA4705">
      <w:pPr>
        <w:pStyle w:val="Article"/>
      </w:pPr>
      <w:r>
        <w:t>334-8 Method of Measurement.</w:t>
      </w:r>
    </w:p>
    <w:p w14:paraId="41DFFAD1" w14:textId="77777777" w:rsidR="008A4D09" w:rsidRDefault="00CA4705">
      <w:pPr>
        <w:pStyle w:val="BodyText"/>
        <w:widowControl w:val="0"/>
        <w:rPr>
          <w:szCs w:val="24"/>
        </w:rPr>
      </w:pPr>
      <w:r>
        <w:rPr>
          <w:b/>
          <w:szCs w:val="24"/>
        </w:rPr>
        <w:tab/>
      </w:r>
      <w:r>
        <w:rPr>
          <w:szCs w:val="24"/>
        </w:rPr>
        <w:t>For the work specified under this Section, the quantity to be paid for will be the weight of the mixture, in tons.</w:t>
      </w:r>
    </w:p>
    <w:p w14:paraId="48A5F752" w14:textId="77777777" w:rsidR="008A4D09" w:rsidRDefault="00CA4705">
      <w:pPr>
        <w:pStyle w:val="BodyText"/>
        <w:widowControl w:val="0"/>
        <w:rPr>
          <w:szCs w:val="24"/>
        </w:rPr>
      </w:pPr>
      <w:r>
        <w:rPr>
          <w:szCs w:val="24"/>
        </w:rPr>
        <w:tab/>
        <w:t>The bid price for the asphalt mix will include the cost of the liquid asphalt and the tack coat application as specified in 334-5.5.4. There will be no separate payment or unit price adjustment for the asphalt binder material in the asphalt mix.</w:t>
      </w:r>
    </w:p>
    <w:p w14:paraId="220DE500" w14:textId="77777777" w:rsidR="008A4D09" w:rsidRDefault="00CA4705">
      <w:pPr>
        <w:pStyle w:val="Article"/>
      </w:pPr>
      <w:r>
        <w:t>334-9 Basis of Payment.</w:t>
      </w:r>
    </w:p>
    <w:p w14:paraId="0A16ED2C" w14:textId="4F2F5BF3" w:rsidR="008A4D09" w:rsidRDefault="00CA4705">
      <w:pPr>
        <w:pStyle w:val="BodyText"/>
        <w:rPr>
          <w:szCs w:val="24"/>
        </w:rPr>
      </w:pPr>
      <w:r>
        <w:rPr>
          <w:b/>
          <w:szCs w:val="24"/>
        </w:rPr>
        <w:tab/>
        <w:t>334-</w:t>
      </w:r>
      <w:r w:rsidR="005C1B95">
        <w:rPr>
          <w:b/>
          <w:szCs w:val="24"/>
        </w:rPr>
        <w:t>9</w:t>
      </w:r>
      <w:r>
        <w:rPr>
          <w:b/>
          <w:szCs w:val="24"/>
        </w:rPr>
        <w:t>.1 General:</w:t>
      </w:r>
      <w:r>
        <w:rPr>
          <w:szCs w:val="24"/>
        </w:rPr>
        <w:t xml:space="preserve"> Price and payment will be full compensation for all the work specified under this Section.</w:t>
      </w:r>
    </w:p>
    <w:sectPr w:rsidR="008A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B4F7C"/>
    <w:multiLevelType w:val="multilevel"/>
    <w:tmpl w:val="7E7E2BB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B970AF9"/>
    <w:multiLevelType w:val="multilevel"/>
    <w:tmpl w:val="AAC4CF28"/>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B0E581C"/>
    <w:multiLevelType w:val="multilevel"/>
    <w:tmpl w:val="E794A516"/>
    <w:lvl w:ilvl="0">
      <w:start w:val="1"/>
      <w:numFmt w:val="decimal"/>
      <w:pStyle w:val="Section8"/>
      <w:lvlText w:val="8-13.%1"/>
      <w:lvlJc w:val="left"/>
      <w:pPr>
        <w:tabs>
          <w:tab w:val="num" w:pos="1440"/>
        </w:tabs>
        <w:ind w:left="0" w:firstLine="72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8147B98"/>
    <w:multiLevelType w:val="multilevel"/>
    <w:tmpl w:val="182E0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207219"/>
    <w:multiLevelType w:val="multilevel"/>
    <w:tmpl w:val="5E14885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4D836BC4"/>
    <w:multiLevelType w:val="hybridMultilevel"/>
    <w:tmpl w:val="018E2118"/>
    <w:lvl w:ilvl="0" w:tplc="229C0D06">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D2E1E"/>
    <w:multiLevelType w:val="multilevel"/>
    <w:tmpl w:val="C27C8B32"/>
    <w:lvl w:ilvl="0">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17177387">
    <w:abstractNumId w:val="0"/>
  </w:num>
  <w:num w:numId="2" w16cid:durableId="684328248">
    <w:abstractNumId w:val="1"/>
  </w:num>
  <w:num w:numId="3" w16cid:durableId="1442187099">
    <w:abstractNumId w:val="2"/>
  </w:num>
  <w:num w:numId="4" w16cid:durableId="1667977221">
    <w:abstractNumId w:val="3"/>
  </w:num>
  <w:num w:numId="5" w16cid:durableId="73866790">
    <w:abstractNumId w:val="4"/>
  </w:num>
  <w:num w:numId="6" w16cid:durableId="812917147">
    <w:abstractNumId w:val="6"/>
  </w:num>
  <w:num w:numId="7" w16cid:durableId="135746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9"/>
    <w:rsid w:val="00086DDE"/>
    <w:rsid w:val="000A1BF8"/>
    <w:rsid w:val="000A4871"/>
    <w:rsid w:val="000F715E"/>
    <w:rsid w:val="00104171"/>
    <w:rsid w:val="00171D54"/>
    <w:rsid w:val="00345144"/>
    <w:rsid w:val="003A069D"/>
    <w:rsid w:val="003D3EF7"/>
    <w:rsid w:val="003F0610"/>
    <w:rsid w:val="004351D4"/>
    <w:rsid w:val="00437382"/>
    <w:rsid w:val="00441950"/>
    <w:rsid w:val="004754CB"/>
    <w:rsid w:val="005243DF"/>
    <w:rsid w:val="005345B1"/>
    <w:rsid w:val="005445A6"/>
    <w:rsid w:val="005C1B95"/>
    <w:rsid w:val="006175A1"/>
    <w:rsid w:val="006833B7"/>
    <w:rsid w:val="006B1F33"/>
    <w:rsid w:val="00740D65"/>
    <w:rsid w:val="008401F9"/>
    <w:rsid w:val="008878D5"/>
    <w:rsid w:val="008A4D09"/>
    <w:rsid w:val="0090220F"/>
    <w:rsid w:val="0098154D"/>
    <w:rsid w:val="00A83FEE"/>
    <w:rsid w:val="00AF3B1A"/>
    <w:rsid w:val="00B20444"/>
    <w:rsid w:val="00BE6BB6"/>
    <w:rsid w:val="00C73FE9"/>
    <w:rsid w:val="00C857F7"/>
    <w:rsid w:val="00C960CE"/>
    <w:rsid w:val="00CA4705"/>
    <w:rsid w:val="00CD5445"/>
    <w:rsid w:val="00D17B08"/>
    <w:rsid w:val="00DA37E3"/>
    <w:rsid w:val="00DC01FE"/>
    <w:rsid w:val="00E35CFB"/>
    <w:rsid w:val="00E9708C"/>
    <w:rsid w:val="00EA15CD"/>
    <w:rsid w:val="00F20AD4"/>
    <w:rsid w:val="00F50E5D"/>
    <w:rsid w:val="00FB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B042"/>
  <w15:docId w15:val="{B115F55D-40A8-42C7-BCC7-3C1F57E7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60CE"/>
    <w:pPr>
      <w:spacing w:after="160" w:line="259" w:lineRule="auto"/>
    </w:pPr>
    <w:rPr>
      <w:rFonts w:ascii="Times New Roman" w:hAnsi="Times New Roman"/>
      <w:sz w:val="22"/>
      <w:szCs w:val="22"/>
    </w:rPr>
  </w:style>
  <w:style w:type="paragraph" w:styleId="Heading1">
    <w:name w:val="heading 1"/>
    <w:basedOn w:val="Heading2"/>
    <w:next w:val="Normal"/>
    <w:link w:val="Heading1Char"/>
    <w:semiHidden/>
    <w:qFormat/>
    <w:pPr>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8">
    <w:name w:val="heading 8"/>
    <w:basedOn w:val="Article"/>
    <w:next w:val="Normal"/>
    <w:link w:val="Heading8Char"/>
    <w:semiHidden/>
    <w:qFormat/>
    <w:pPr>
      <w:spacing w:after="60"/>
      <w:outlineLvl w:val="7"/>
    </w:pPr>
    <w:rPr>
      <w:iCs/>
    </w:rPr>
  </w:style>
  <w:style w:type="paragraph" w:styleId="Heading9">
    <w:name w:val="heading 9"/>
    <w:basedOn w:val="Article"/>
    <w:next w:val="Normal"/>
    <w:link w:val="Heading9Char"/>
    <w:semiHidden/>
    <w:qFormat/>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C960CE"/>
    <w:rPr>
      <w:rFonts w:ascii="Times New Roman" w:eastAsia="Times New Roman" w:hAnsi="Times New Roman" w:cs="Arial"/>
      <w:b/>
      <w:iCs/>
      <w:caps/>
      <w:kern w:val="32"/>
      <w:sz w:val="96"/>
      <w:szCs w:val="32"/>
    </w:rPr>
  </w:style>
  <w:style w:type="character" w:customStyle="1" w:styleId="Heading2Char">
    <w:name w:val="Heading 2 Char"/>
    <w:basedOn w:val="DefaultParagraphFont"/>
    <w:link w:val="Heading2"/>
    <w:rPr>
      <w:rFonts w:ascii="Times New Roman" w:eastAsia="Times New Roman" w:hAnsi="Times New Roman" w:cs="Arial"/>
      <w:b/>
      <w:bCs/>
      <w:iCs/>
      <w:caps/>
      <w:sz w:val="24"/>
      <w:szCs w:val="28"/>
    </w:rPr>
  </w:style>
  <w:style w:type="character" w:customStyle="1" w:styleId="Heading8Char">
    <w:name w:val="Heading 8 Char"/>
    <w:basedOn w:val="DefaultParagraphFont"/>
    <w:link w:val="Heading8"/>
    <w:semiHidden/>
    <w:rsid w:val="00C960CE"/>
    <w:rPr>
      <w:rFonts w:ascii="Times New Roman" w:eastAsia="Times New Roman" w:hAnsi="Times New Roman"/>
      <w:b/>
      <w:iCs/>
      <w:sz w:val="24"/>
    </w:rPr>
  </w:style>
  <w:style w:type="character" w:customStyle="1" w:styleId="Heading9Char">
    <w:name w:val="Heading 9 Char"/>
    <w:basedOn w:val="DefaultParagraphFont"/>
    <w:link w:val="Heading9"/>
    <w:semiHidden/>
    <w:rsid w:val="00C960CE"/>
    <w:rPr>
      <w:rFonts w:ascii="Arial" w:eastAsia="Times New Roman" w:hAnsi="Arial" w:cs="Arial"/>
      <w:b/>
      <w:sz w:val="24"/>
      <w:szCs w:val="22"/>
    </w:rPr>
  </w:style>
  <w:style w:type="paragraph" w:customStyle="1" w:styleId="SectionHeading">
    <w:name w:val="Section Heading"/>
    <w:next w:val="Article"/>
    <w:pPr>
      <w:keepNext/>
      <w:spacing w:before="120"/>
      <w:jc w:val="center"/>
    </w:pPr>
    <w:rPr>
      <w:rFonts w:ascii="Times New Roman" w:eastAsia="Times New Roman" w:hAnsi="Times New Roman"/>
      <w:b/>
      <w:caps/>
      <w:sz w:val="24"/>
    </w:rPr>
  </w:style>
  <w:style w:type="paragraph" w:customStyle="1" w:styleId="Article">
    <w:name w:val="Article"/>
    <w:next w:val="BodyText"/>
    <w:link w:val="ArticleChar"/>
    <w:pPr>
      <w:keepNext/>
      <w:tabs>
        <w:tab w:val="left" w:pos="720"/>
      </w:tabs>
      <w:spacing w:before="240"/>
    </w:pPr>
    <w:rPr>
      <w:rFonts w:ascii="Times New Roman" w:eastAsia="Times New Roman" w:hAnsi="Times New Roman"/>
      <w:b/>
      <w:sz w:val="24"/>
    </w:rPr>
  </w:style>
  <w:style w:type="paragraph" w:customStyle="1" w:styleId="LeadInSentence">
    <w:name w:val="Lead In Sentence"/>
    <w:next w:val="BodyText"/>
    <w:pPr>
      <w:keepNext/>
      <w:spacing w:after="240"/>
      <w:ind w:firstLine="720"/>
    </w:pPr>
    <w:rPr>
      <w:rFonts w:ascii="Times New Roman" w:eastAsia="Times New Roman" w:hAnsi="Times New Roman"/>
      <w:sz w:val="24"/>
    </w:rPr>
  </w:style>
  <w:style w:type="paragraph" w:styleId="BodyText">
    <w:name w:val="Body Text"/>
    <w:link w:val="BodyTextChar"/>
    <w:qFormat/>
    <w:pPr>
      <w:tabs>
        <w:tab w:val="left" w:pos="720"/>
      </w:tabs>
    </w:pPr>
    <w:rPr>
      <w:rFonts w:ascii="Times New Roman" w:eastAsia="Times New Roman" w:hAnsi="Times New Roman"/>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TOC2">
    <w:name w:val="toc 2"/>
    <w:basedOn w:val="Normal"/>
    <w:next w:val="Normal"/>
    <w:semiHidden/>
    <w:pPr>
      <w:ind w:left="1080" w:right="1080" w:hanging="720"/>
    </w:pPr>
  </w:style>
  <w:style w:type="paragraph" w:customStyle="1" w:styleId="Section8">
    <w:name w:val="Section 8"/>
    <w:basedOn w:val="Heading8"/>
    <w:next w:val="Dates"/>
    <w:semiHidden/>
    <w:pPr>
      <w:keepLines/>
      <w:numPr>
        <w:numId w:val="3"/>
      </w:numPr>
      <w:spacing w:before="0" w:after="0"/>
    </w:pPr>
    <w:rPr>
      <w:szCs w:val="24"/>
    </w:rPr>
  </w:style>
  <w:style w:type="paragraph" w:customStyle="1" w:styleId="Section102">
    <w:name w:val="Section 102"/>
    <w:basedOn w:val="Heading9"/>
    <w:semiHidden/>
    <w:pPr>
      <w:widowControl w:val="0"/>
      <w:numPr>
        <w:numId w:val="6"/>
      </w:numPr>
      <w:autoSpaceDE w:val="0"/>
      <w:autoSpaceDN w:val="0"/>
      <w:adjustRightInd w:val="0"/>
      <w:spacing w:before="0" w:after="0"/>
    </w:pPr>
    <w:rPr>
      <w:rFonts w:ascii="Times New Roman" w:hAnsi="Times New Roman"/>
    </w:rPr>
  </w:style>
  <w:style w:type="paragraph" w:styleId="TOC1">
    <w:name w:val="toc 1"/>
    <w:basedOn w:val="Normal"/>
    <w:next w:val="Normal"/>
    <w:semiHidden/>
    <w:pPr>
      <w:spacing w:before="120" w:after="120"/>
    </w:pPr>
    <w:rPr>
      <w:b/>
    </w:rPr>
  </w:style>
  <w:style w:type="paragraph" w:styleId="TOC3">
    <w:name w:val="toc 3"/>
    <w:basedOn w:val="Normal"/>
    <w:next w:val="Normal"/>
    <w:semiHidden/>
    <w:pPr>
      <w:ind w:left="36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BodyText"/>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sz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hAnsi="Times New Roman"/>
      <w:sz w:val="22"/>
      <w:szCs w:val="22"/>
    </w:rPr>
  </w:style>
  <w:style w:type="paragraph" w:customStyle="1" w:styleId="Dates">
    <w:name w:val="Dates"/>
    <w:basedOn w:val="Article"/>
    <w:next w:val="LeadInSentence"/>
    <w:pPr>
      <w:spacing w:before="0" w:after="240"/>
      <w:contextualSpacing/>
    </w:pPr>
  </w:style>
  <w:style w:type="paragraph" w:styleId="CommentText">
    <w:name w:val="annotation text"/>
    <w:basedOn w:val="Normal"/>
    <w:link w:val="CommentTextChar1"/>
    <w:uiPriority w:val="99"/>
    <w:unhideWhenUsed/>
    <w:rsid w:val="00171D54"/>
    <w:pPr>
      <w:spacing w:line="240" w:lineRule="auto"/>
    </w:pPr>
    <w:rPr>
      <w:sz w:val="20"/>
      <w:szCs w:val="20"/>
    </w:rPr>
  </w:style>
  <w:style w:type="paragraph" w:customStyle="1" w:styleId="PayItem">
    <w:name w:val="PayItem"/>
    <w:basedOn w:val="BodyText"/>
    <w:semiHidden/>
    <w:pPr>
      <w:tabs>
        <w:tab w:val="clear" w:pos="720"/>
      </w:tabs>
      <w:ind w:left="3600" w:right="10" w:hanging="2170"/>
    </w:pPr>
  </w:style>
  <w:style w:type="character" w:customStyle="1" w:styleId="ArticleChar">
    <w:name w:val="Article Char"/>
    <w:basedOn w:val="DefaultParagraphFont"/>
    <w:link w:val="Article"/>
    <w:rPr>
      <w:rFonts w:ascii="Times New Roman" w:eastAsia="Times New Roman" w:hAnsi="Times New Roman"/>
      <w:b/>
      <w:sz w:val="24"/>
    </w:rPr>
  </w:style>
  <w:style w:type="paragraph" w:customStyle="1" w:styleId="Subarticle">
    <w:name w:val="Subarticle"/>
    <w:semiHidden/>
    <w:pPr>
      <w:ind w:firstLine="720"/>
    </w:pPr>
    <w:rPr>
      <w:rFonts w:ascii="Times New Roman" w:eastAsia="Times New Roman" w:hAnsi="Times New Roman"/>
      <w:b/>
      <w:sz w:val="24"/>
      <w:szCs w:val="24"/>
    </w:rPr>
  </w:style>
  <w:style w:type="character" w:customStyle="1" w:styleId="CommentTextChar">
    <w:name w:val="Comment Text Char"/>
    <w:basedOn w:val="DefaultParagraphFont"/>
    <w:uiPriority w:val="99"/>
    <w:semiHidden/>
    <w:rsid w:val="00171D54"/>
    <w:rPr>
      <w:rFonts w:ascii="Times New Roman" w:hAnsi="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CommentTextChar1">
    <w:name w:val="Comment Text Char1"/>
    <w:basedOn w:val="DefaultParagraphFont"/>
    <w:link w:val="CommentText"/>
    <w:uiPriority w:val="99"/>
    <w:rsid w:val="00171D54"/>
    <w:rPr>
      <w:rFonts w:ascii="Times New Roman" w:hAnsi="Times New Roman"/>
    </w:rPr>
  </w:style>
  <w:style w:type="paragraph" w:customStyle="1" w:styleId="CommentSubject1">
    <w:name w:val="Comment Subject1"/>
    <w:basedOn w:val="Normal"/>
    <w:next w:val="Normal"/>
    <w:link w:val="CommentSubjectChar"/>
    <w:uiPriority w:val="99"/>
    <w:semiHidden/>
    <w:unhideWhenUsed/>
    <w:rsid w:val="00C960CE"/>
    <w:rPr>
      <w:b/>
      <w:bCs/>
      <w:sz w:val="20"/>
      <w:szCs w:val="20"/>
    </w:rPr>
  </w:style>
  <w:style w:type="character" w:customStyle="1" w:styleId="CommentSubjectChar">
    <w:name w:val="Comment Subject Char"/>
    <w:basedOn w:val="DefaultParagraphFont"/>
    <w:link w:val="CommentSubject1"/>
    <w:uiPriority w:val="99"/>
    <w:semiHidden/>
    <w:rPr>
      <w:rFonts w:ascii="Times New Roman" w:eastAsia="Times New Roman" w:hAnsi="Times New Roman"/>
      <w:b/>
      <w:bCs/>
    </w:rPr>
  </w:style>
  <w:style w:type="character" w:styleId="Hyperlink">
    <w:name w:val="Hyperlink"/>
    <w:basedOn w:val="DefaultParagraphFont"/>
    <w:uiPriority w:val="99"/>
    <w:unhideWhenUsed/>
    <w:rPr>
      <w:color w:val="0000FF"/>
      <w:u w:val="single"/>
    </w:rPr>
  </w:style>
  <w:style w:type="paragraph" w:customStyle="1" w:styleId="Revision1">
    <w:name w:val="Revision1"/>
    <w:uiPriority w:val="99"/>
    <w:semiHidden/>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4705"/>
    <w:rPr>
      <w:rFonts w:ascii="Times New Roman" w:hAnsi="Times New Roman"/>
      <w:sz w:val="22"/>
      <w:szCs w:val="22"/>
    </w:rPr>
  </w:style>
  <w:style w:type="character" w:styleId="CommentReference">
    <w:name w:val="annotation reference"/>
    <w:basedOn w:val="DefaultParagraphFont"/>
    <w:uiPriority w:val="99"/>
    <w:semiHidden/>
    <w:unhideWhenUsed/>
    <w:rsid w:val="000F715E"/>
    <w:rPr>
      <w:sz w:val="16"/>
      <w:szCs w:val="16"/>
    </w:rPr>
  </w:style>
  <w:style w:type="paragraph" w:styleId="CommentSubject">
    <w:name w:val="annotation subject"/>
    <w:basedOn w:val="Normal"/>
    <w:next w:val="Normal"/>
    <w:link w:val="CommentSubjectChar1"/>
    <w:uiPriority w:val="99"/>
    <w:semiHidden/>
    <w:unhideWhenUsed/>
    <w:rsid w:val="00C960CE"/>
    <w:pPr>
      <w:spacing w:line="240" w:lineRule="auto"/>
    </w:pPr>
    <w:rPr>
      <w:b/>
      <w:bCs/>
      <w:sz w:val="20"/>
      <w:szCs w:val="20"/>
    </w:rPr>
  </w:style>
  <w:style w:type="character" w:customStyle="1" w:styleId="CommentSubjectChar1">
    <w:name w:val="Comment Subject Char1"/>
    <w:basedOn w:val="DefaultParagraphFont"/>
    <w:link w:val="CommentSubject"/>
    <w:uiPriority w:val="99"/>
    <w:semiHidden/>
    <w:rsid w:val="00C960C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c.fdot.gov/"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RF\AppData\Roaming\Microsoft\Templates\specdevtemp2.dot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B1D2-D321-4571-BF67-5435459A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Template>
  <TotalTime>9</TotalTime>
  <Pages>13</Pages>
  <Words>5603</Words>
  <Characters>31940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LAP 334</vt:lpstr>
    </vt:vector>
  </TitlesOfParts>
  <Company>FDOT</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 334</dc:title>
  <dc:subject/>
  <dc:creator>Hunsicker, Darla</dc:creator>
  <cp:keywords/>
  <cp:lastModifiedBy>Hunsicker, Darla</cp:lastModifiedBy>
  <cp:revision>5</cp:revision>
  <cp:lastPrinted>2020-09-12T14:38:00Z</cp:lastPrinted>
  <dcterms:created xsi:type="dcterms:W3CDTF">2024-12-17T16:21:00Z</dcterms:created>
  <dcterms:modified xsi:type="dcterms:W3CDTF">2024-12-17T16:29:00Z</dcterms:modified>
  <cp:category>LAP</cp:category>
</cp:coreProperties>
</file>