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7D39" w14:textId="07580D20" w:rsidR="00BE7D94" w:rsidRDefault="00BE7D94" w:rsidP="001453BB">
      <w:pPr>
        <w:pStyle w:val="Heading2"/>
      </w:pPr>
      <w:r>
        <w:t>DESIGN-BUILD SPECIFICATIONS.</w:t>
      </w:r>
    </w:p>
    <w:p w14:paraId="5604D1AB" w14:textId="28F19B00" w:rsidR="00BE7D94" w:rsidRPr="00CC2350" w:rsidRDefault="00BE7D94" w:rsidP="009405AB">
      <w:pPr>
        <w:pStyle w:val="Dates"/>
      </w:pPr>
      <w:r>
        <w:t>(</w:t>
      </w:r>
      <w:r w:rsidR="000F2482">
        <w:t>REV</w:t>
      </w:r>
      <w:r w:rsidR="009B44F1">
        <w:t>6-4-24</w:t>
      </w:r>
      <w:r>
        <w:t>)</w:t>
      </w:r>
      <w:r w:rsidR="00022C0B">
        <w:t xml:space="preserve"> </w:t>
      </w:r>
      <w:r w:rsidR="006D07BE">
        <w:t>(</w:t>
      </w:r>
      <w:r w:rsidR="00AA7EAF">
        <w:t>FY 202</w:t>
      </w:r>
      <w:r w:rsidR="002B26CC">
        <w:t>4</w:t>
      </w:r>
      <w:r w:rsidR="003C479E">
        <w:t>-2</w:t>
      </w:r>
      <w:r w:rsidR="002B26CC">
        <w:t>5</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7073A4">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A26973" w:rsidP="007073A4">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A26973" w:rsidP="007073A4">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A26973" w:rsidP="007073A4">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A26973" w:rsidP="007073A4">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A26973" w:rsidP="007073A4">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A26973" w:rsidP="007073A4">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A26973" w:rsidP="007073A4">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A26973" w:rsidP="007073A4">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 xml:space="preserve">All other requirements to be performed by others, </w:t>
      </w:r>
      <w:proofErr w:type="gramStart"/>
      <w:r>
        <w:t>with the exception of</w:t>
      </w:r>
      <w:proofErr w:type="gramEnd"/>
      <w:r>
        <w:t xml:space="preserve">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place">
        <w:smartTag w:uri="urn:schemas-microsoft-com:office:smarttags" w:element="country-region">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Street">
        <w:smartTag w:uri="urn:schemas-microsoft-com:office:smarttags" w:element="address">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Each of the above abbreviations, when followed by a number or letter designation, or combination of numbers and letters, designates a specification, test method, or other code or recommendation of the particular authority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place">
        <w:smartTag w:uri="urn:schemas-microsoft-com:office:smarttags" w:element="Stat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lastRenderedPageBreak/>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A structure, including supports, erected over a depression or over an obstruction such as water, highway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shown on the calendar, ending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 xml:space="preserve">Certification as to Publication and Notice of Advertisement for Proposal, Appointment of Agent by Nonresident Contractors, </w:t>
      </w:r>
      <w:proofErr w:type="spellStart"/>
      <w:r w:rsidR="006C322A" w:rsidRPr="00291F50">
        <w:t>Noncollusion</w:t>
      </w:r>
      <w:proofErr w:type="spellEnd"/>
      <w:r w:rsidR="006C322A" w:rsidRPr="00291F50">
        <w:t xml:space="preserve">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 xml:space="preserve">agreements. As used in Section 2 only, Contract Documents do not include </w:t>
      </w:r>
      <w:r>
        <w:lastRenderedPageBreak/>
        <w:t>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lastRenderedPageBreak/>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Any unanticipated event, action, force or factor, which extends the Contractor’s time of performance of any controlling work item under the Contract. The term “delay” is intended to cover all such events, actions, forces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place">
        <w:smartTag w:uri="urn:schemas-microsoft-com:office:smarttags" w:element="Stat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acting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 xml:space="preserve">Technical Proposal, Division II and III Specifications, Plans, and other </w:t>
      </w:r>
      <w:r w:rsidR="0095127D">
        <w:lastRenderedPageBreak/>
        <w:t>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r w:rsidR="008A07CE">
        <w:t>in the nature of additional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The term “Federal, State and Local Rules and Regulations” includes: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lastRenderedPageBreak/>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The Department’s designee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The security furnished by the bidder as guaranty that the bidder will enter into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The package to be provided to the short-listed design-build firms in the adjusted score design-build method and to those design-build firms requesting a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Secretary of Transportation, State of Florida Department of Transportation, acting directly or through an assistant or other representative authorized by him;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lastRenderedPageBreak/>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lastRenderedPageBreak/>
        <w:tab/>
        <w:t xml:space="preserve">“Standard Plans for Road and Bridge Construction”, an electronic book describing and detailing aspects of the Work. Where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immediately below the base course or pavement, including below the curb and gutter, valley gutter, shoulder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t>All of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lastRenderedPageBreak/>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person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ontractor, supplier, subcontractor, or consultant under a contract with any public entity, and may not transact business with any public entity in excess of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lastRenderedPageBreak/>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website make any necessary adjustments in the proposal accordingly. If the Department’s web site cannot be accessed, contact </w:t>
      </w:r>
      <w:r w:rsidR="00A31B14" w:rsidRPr="00A31B14">
        <w:rPr>
          <w:highlight w:val="yellow"/>
        </w:rPr>
        <w:t>_________________________</w:t>
      </w:r>
      <w:r w:rsidR="001133FB" w:rsidRPr="00B44C68">
        <w:t xml:space="preserve"> </w:t>
      </w:r>
      <w:r w:rsidRPr="00B44C68">
        <w:t xml:space="preserve">at </w:t>
      </w:r>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lastRenderedPageBreak/>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person</w:t>
      </w:r>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in excess of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 xml:space="preserve">2-5.2 Declaration of </w:t>
      </w:r>
      <w:proofErr w:type="spellStart"/>
      <w:r>
        <w:rPr>
          <w:b/>
          <w:bCs/>
        </w:rPr>
        <w:t>Noncollusion</w:t>
      </w:r>
      <w:proofErr w:type="spellEnd"/>
      <w:r>
        <w:rPr>
          <w:b/>
          <w:bCs/>
        </w:rPr>
        <w:t>:</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provides for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lastRenderedPageBreak/>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withdrawn under this provision is subject to the provisions of 2-8. Legible facsimile (FAX) price proposal changes will be accepted if received in full at the fax number listed in the Bid Solicitation Notice by the time price proposals are due on the day of the bid opening and provided that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Faxed price proposal changes failing to meet all of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lastRenderedPageBreak/>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on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furnish a statement of the origin, composition, and manufacture of any and all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of the short listed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w:t>
      </w:r>
      <w:r>
        <w:lastRenderedPageBreak/>
        <w:t xml:space="preserve">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r w:rsidR="00BE7D94" w:rsidRPr="003B003A">
        <w:t xml:space="preserve">For the </w:t>
      </w:r>
      <w:r w:rsidR="00BE7D94" w:rsidRPr="0078532B">
        <w:t>purpose</w:t>
      </w:r>
      <w:r w:rsidR="00BE7D94" w:rsidRPr="004D473A">
        <w:t xml:space="preserve"> of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designees.</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enter into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lastRenderedPageBreak/>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place">
        <w:smartTag w:uri="urn:schemas-microsoft-com:office:smarttags" w:element="Stat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1. The Contract amount is $250,000 or less, and the Department determines that the project is of a noncritical nature and that nonperformance will not endanger the public health, safety, or property;</w:t>
      </w:r>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w:t>
      </w:r>
      <w:r>
        <w:lastRenderedPageBreak/>
        <w:t xml:space="preserve">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costs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ond, including accounting, engineering, and legal services, together with any and all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Contract award, execute the necessary agreements to enter into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lastRenderedPageBreak/>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For the purpose of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lastRenderedPageBreak/>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all of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The Design-Build Firm shall have all liability and responsibility for all unknowns and/or differing site conditions; and including but not limited to any or all utilities, subsoil conditions, permits, etc. of any nature or kind, unless otherwise stated in the Contract. In the event that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general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 xml:space="preserve">limited to alterations in the grade or alignment of the road or structure or both, as may be found </w:t>
      </w:r>
      <w:r>
        <w:rPr>
          <w:szCs w:val="22"/>
        </w:rPr>
        <w:lastRenderedPageBreak/>
        <w:t>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urety bond. The Contractor agrees to perform the work, as altered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actually extends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w:t>
      </w:r>
      <w:r>
        <w:lastRenderedPageBreak/>
        <w:t>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c. Existence of employee benefit plan for Holiday, Sick and Vacation benefits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lastRenderedPageBreak/>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work days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lastRenderedPageBreak/>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 Solely the formula set forth below and only as applied solely as to such number of calendar days of entitlement that are in excess of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 xml:space="preserve">Further, for (a) or (b) above, in the event there are concurrent delays to one or more controlling work items, one or more being caused by the Department and </w:t>
      </w:r>
      <w:r w:rsidRPr="00935269">
        <w:lastRenderedPageBreak/>
        <w:t>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79078458"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deduct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actually performed.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 xml:space="preserve">Extra work authorized in writing by the Engineer will be paid in accordance with the formula in 4-3.2. Such payment will be the full extent of all monetary compensation entitlement due to the Contractor for such extra work. Any entitlement to a time </w:t>
      </w:r>
      <w:r>
        <w:lastRenderedPageBreak/>
        <w:t>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Generally adhere to the limits of construction at the beginning and end of the project as detailed in the </w:t>
      </w:r>
      <w:r w:rsidR="00890713">
        <w:t>P</w:t>
      </w:r>
      <w:r w:rsidRPr="00272C5E">
        <w:t xml:space="preserve">lans. However, if the Engineer determines that it is necessary to extend the construction in order to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whether or not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for the purpose of refining the Contract to increase cost effectiveness or significantly improve the quality of the end result.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aesthetics and necessary standard design </w:t>
      </w:r>
      <w:r w:rsidR="00376F85" w:rsidRPr="0050597E">
        <w:rPr>
          <w:szCs w:val="24"/>
        </w:rPr>
        <w:lastRenderedPageBreak/>
        <w:t>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pay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lastRenderedPageBreak/>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action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is in compliance with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w:t>
      </w:r>
      <w:r w:rsidRPr="0050597E">
        <w:rPr>
          <w:szCs w:val="24"/>
        </w:rPr>
        <w:lastRenderedPageBreak/>
        <w:t xml:space="preserve">the design is in compliance with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shall be in compliance with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in excess of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w:t>
      </w:r>
      <w:r w:rsidR="00376F85" w:rsidRPr="00B80F82">
        <w:lastRenderedPageBreak/>
        <w:t xml:space="preserve">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lans. Additionally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is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lastRenderedPageBreak/>
        <w:t>4-6 Final Cleaning Up of Right-of-Way.</w:t>
      </w:r>
    </w:p>
    <w:p w14:paraId="144364BB" w14:textId="77777777" w:rsidR="00BE7D94" w:rsidRDefault="00BE7D94" w:rsidP="00D203F4">
      <w:pPr>
        <w:pStyle w:val="BodyText"/>
      </w:pPr>
      <w:r>
        <w:tab/>
        <w:t>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rubbish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When working adjacent to or over travel lanes, ensure that dust, mud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on the worksite, at all times.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cross-sections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lastRenderedPageBreak/>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hangers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5-1.4.8.a</w:t>
      </w:r>
      <w:bookmarkEnd w:id="6"/>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w:t>
      </w:r>
      <w:r w:rsidRPr="004A6C4C">
        <w:rPr>
          <w:szCs w:val="28"/>
        </w:rPr>
        <w:lastRenderedPageBreak/>
        <w:t>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proofErr w:type="spellStart"/>
      <w:r w:rsidR="001D73E2">
        <w:t>i</w:t>
      </w:r>
      <w:proofErr w:type="spellEnd"/>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k. Rehabilitation, widening, lengthening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materials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vertical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lastRenderedPageBreak/>
        <w:tab/>
      </w:r>
      <w:r>
        <w:tab/>
      </w:r>
      <w:r>
        <w:tab/>
      </w:r>
      <w:r w:rsidRPr="009E1014">
        <w:t>15. Temporary Works:</w:t>
      </w:r>
      <w:r>
        <w:t xml:space="preserve"> Any temporary construction work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 xml:space="preserve">Bars or Strands Excluding </w:t>
            </w:r>
            <w:r w:rsidRPr="0020366C">
              <w:lastRenderedPageBreak/>
              <w:t>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 xml:space="preserve">Bridge components not fully detailed in the Plans, i.e. post-tensioning details, handrails, temporary operating systems for </w:t>
            </w:r>
            <w:r w:rsidRPr="0020366C">
              <w:lastRenderedPageBreak/>
              <w:t>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lastRenderedPageBreak/>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lastRenderedPageBreak/>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review and stamp the drawings per the requirements stated herein. Shop drawings shall not be submitted, processed reviewed, or approved until the component plan set for the particular item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w:t>
      </w:r>
      <w:r>
        <w:lastRenderedPageBreak/>
        <w:t>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shipping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those eccentric to the vertical axis of the products, considering actual beam geometry and support conditions during all stages of erection and deck construction. </w:t>
      </w:r>
      <w:r>
        <w:t xml:space="preserve">At a minimum, provide temporary bracing at each end of each </w:t>
      </w:r>
      <w:r>
        <w:lastRenderedPageBreak/>
        <w:t xml:space="preserve">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w:t>
      </w:r>
      <w:r>
        <w:lastRenderedPageBreak/>
        <w:t xml:space="preserve">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 xml:space="preserve">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w:t>
      </w:r>
      <w:r>
        <w:lastRenderedPageBreak/>
        <w:t>the Contractor’s own temporary works, such as haul roads, cofferdams, plant clearances and the like.)</w:t>
      </w:r>
    </w:p>
    <w:p w14:paraId="3DD14674" w14:textId="77777777" w:rsidR="00D37778" w:rsidRDefault="00D37778" w:rsidP="00532976">
      <w:pPr>
        <w:pStyle w:val="BodyText"/>
      </w:pPr>
      <w:r>
        <w:tab/>
      </w:r>
      <w:r>
        <w:tab/>
      </w:r>
      <w:r>
        <w:tab/>
      </w:r>
      <w:r>
        <w:tab/>
        <w:t>4. The approximate location of any special lifting equipment in relation to the structure, including clearances required for the operation of the equipment. (For example, crane positions, operating radii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in order to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size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lastRenderedPageBreak/>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designee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and also for its effect on Contract Administration.</w:t>
      </w:r>
    </w:p>
    <w:p w14:paraId="028890C4" w14:textId="77777777" w:rsidR="00D37778" w:rsidRPr="000F0FAF" w:rsidRDefault="00D37778" w:rsidP="000F0FAF">
      <w:pPr>
        <w:pStyle w:val="BodyText"/>
      </w:pPr>
      <w:r w:rsidRPr="000F0FAF">
        <w:lastRenderedPageBreak/>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lastRenderedPageBreak/>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Maintain a competent superintendent at the site at all times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w:t>
      </w:r>
      <w:r>
        <w:lastRenderedPageBreak/>
        <w:t>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If the Engineer so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make an inspection for acceptance. The inspection will be </w:t>
      </w:r>
      <w:r>
        <w:lastRenderedPageBreak/>
        <w:t xml:space="preserve">made within seven days of </w:t>
      </w:r>
      <w:r w:rsidR="00FF548E" w:rsidRPr="00FF548E">
        <w:t>such</w:t>
      </w:r>
      <w:r>
        <w:t xml:space="preserve"> notification. If the Engineer finds that all work has been satisfactorily completed, the Department will consider such inspection as the final inspection. If any or all of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w:t>
      </w:r>
      <w:r w:rsidR="00DC0C97">
        <w:lastRenderedPageBreak/>
        <w:t>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 xml:space="preserve">12, except that in the instance of delay to a non-controlling item of </w:t>
      </w:r>
      <w:r>
        <w:lastRenderedPageBreak/>
        <w:t>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If the Contractor provides the written notice of intent, the preliminary request for time extension, and the request for Contract Time extension in compliance with the aforementioned time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claim;</w:t>
      </w:r>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evident;</w:t>
      </w:r>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communications;</w:t>
      </w:r>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additional job site labor expenses;</w:t>
      </w:r>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additional cost of materials and supplies;</w:t>
      </w:r>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list of additional equipment costs claimed, including each piece of equipment and the rental rate claimed for each;</w:t>
      </w:r>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other additional direct costs or damages and the documents in support thereof;</w:t>
      </w:r>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56C163AB" w14:textId="77777777" w:rsidR="00E01D7D" w:rsidRDefault="00E01D7D" w:rsidP="00E01D7D">
      <w:pPr>
        <w:pStyle w:val="BodyText"/>
      </w:pPr>
      <w:r>
        <w:tab/>
      </w:r>
      <w:r>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w:t>
      </w:r>
      <w:r>
        <w:lastRenderedPageBreak/>
        <w:t>time stated for any and all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xml:space="preserv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w:t>
      </w:r>
      <w:r>
        <w:lastRenderedPageBreak/>
        <w:t>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as long as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Loss of profit, incentives or bonuses;</w:t>
      </w:r>
    </w:p>
    <w:p w14:paraId="067E160E" w14:textId="77777777" w:rsidR="00BE7D94" w:rsidRDefault="00BE7D94" w:rsidP="00364FEB">
      <w:pPr>
        <w:pStyle w:val="BodyText"/>
      </w:pPr>
      <w:r>
        <w:tab/>
      </w:r>
      <w:r>
        <w:tab/>
      </w:r>
      <w:r w:rsidR="006F3EB4">
        <w:t>2</w:t>
      </w:r>
      <w:r>
        <w:t>. Any claim for other than extra work or delay;</w:t>
      </w:r>
    </w:p>
    <w:p w14:paraId="2E20C22C" w14:textId="77777777" w:rsidR="00BE7D94" w:rsidRDefault="00BE7D94" w:rsidP="00364FEB">
      <w:pPr>
        <w:pStyle w:val="BodyText"/>
      </w:pPr>
      <w:r>
        <w:tab/>
      </w:r>
      <w:r>
        <w:tab/>
      </w:r>
      <w:r w:rsidR="006F3EB4">
        <w:t>3</w:t>
      </w:r>
      <w:r>
        <w:t>. Consequential damages, including, but not limited to, loss of bonding capacity, loss of bidding opportunities, loss of credit standing, cost of financing, interest paid, loss of other work or insolvency;</w:t>
      </w:r>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xml:space="preserve">. In the </w:t>
      </w:r>
      <w:r>
        <w:lastRenderedPageBreak/>
        <w:t>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whether or not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any or all of the following documents:</w:t>
      </w:r>
    </w:p>
    <w:p w14:paraId="4EFF1FA1" w14:textId="77777777" w:rsidR="00BE7D94" w:rsidRDefault="00BE7D94" w:rsidP="00364FEB">
      <w:pPr>
        <w:pStyle w:val="BodyText"/>
      </w:pPr>
      <w:r>
        <w:tab/>
      </w:r>
      <w:r>
        <w:tab/>
      </w:r>
      <w:r>
        <w:tab/>
      </w:r>
      <w:r w:rsidR="006F3EB4">
        <w:t>1</w:t>
      </w:r>
      <w:r>
        <w:t>. Daily time sheets and foreman’s daily reports and diaries;</w:t>
      </w:r>
    </w:p>
    <w:p w14:paraId="2C6D47BE" w14:textId="77777777" w:rsidR="00BE7D94" w:rsidRDefault="00BE7D94" w:rsidP="00364FEB">
      <w:pPr>
        <w:pStyle w:val="BodyText"/>
      </w:pPr>
      <w:r>
        <w:tab/>
      </w:r>
      <w:r>
        <w:tab/>
      </w:r>
      <w:r>
        <w:tab/>
      </w:r>
      <w:r w:rsidR="006F3EB4">
        <w:t>2</w:t>
      </w:r>
      <w:r>
        <w:t>. Insurance, welfare and benefits records;</w:t>
      </w:r>
    </w:p>
    <w:p w14:paraId="77661F35" w14:textId="77777777" w:rsidR="00BE7D94" w:rsidRDefault="00BE7D94" w:rsidP="00364FEB">
      <w:pPr>
        <w:pStyle w:val="BodyText"/>
      </w:pPr>
      <w:r>
        <w:tab/>
      </w:r>
      <w:r>
        <w:tab/>
      </w:r>
      <w:r>
        <w:tab/>
      </w:r>
      <w:r w:rsidR="006F3EB4">
        <w:t>3</w:t>
      </w:r>
      <w:r>
        <w:t>. Payroll register;</w:t>
      </w:r>
    </w:p>
    <w:p w14:paraId="23C836A2" w14:textId="77777777" w:rsidR="00BE7D94" w:rsidRDefault="00BE7D94" w:rsidP="00364FEB">
      <w:pPr>
        <w:pStyle w:val="BodyText"/>
      </w:pPr>
      <w:r>
        <w:tab/>
      </w:r>
      <w:r>
        <w:tab/>
      </w:r>
      <w:r>
        <w:tab/>
      </w:r>
      <w:r w:rsidR="006F3EB4">
        <w:t>4</w:t>
      </w:r>
      <w:r>
        <w:t>. Earnings records;</w:t>
      </w:r>
    </w:p>
    <w:p w14:paraId="52E49A6D" w14:textId="77777777" w:rsidR="00BE7D94" w:rsidRDefault="00BE7D94" w:rsidP="00364FEB">
      <w:pPr>
        <w:pStyle w:val="BodyText"/>
      </w:pPr>
      <w:r>
        <w:tab/>
      </w:r>
      <w:r>
        <w:tab/>
      </w:r>
      <w:r>
        <w:tab/>
      </w:r>
      <w:r w:rsidR="006F3EB4">
        <w:t>5</w:t>
      </w:r>
      <w:r>
        <w:t>. Payroll tax return;</w:t>
      </w:r>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Contract</w:t>
      </w:r>
      <w:r>
        <w:t>s;</w:t>
      </w:r>
    </w:p>
    <w:p w14:paraId="0A25BFC5" w14:textId="77777777" w:rsidR="00BE7D94" w:rsidRDefault="00BE7D94" w:rsidP="00364FEB">
      <w:pPr>
        <w:pStyle w:val="BodyText"/>
      </w:pPr>
      <w:r>
        <w:tab/>
      </w:r>
      <w:r>
        <w:tab/>
      </w:r>
      <w:r>
        <w:tab/>
      </w:r>
      <w:r w:rsidR="006F3EB4">
        <w:t>7</w:t>
      </w:r>
      <w:r>
        <w:t>. Material cost distribution worksheet;</w:t>
      </w:r>
    </w:p>
    <w:p w14:paraId="653A9AEB" w14:textId="77777777" w:rsidR="00BE7D94" w:rsidRDefault="00BE7D94" w:rsidP="00364FEB">
      <w:pPr>
        <w:pStyle w:val="BodyText"/>
      </w:pPr>
      <w:r>
        <w:tab/>
      </w:r>
      <w:r>
        <w:tab/>
      </w:r>
      <w:r>
        <w:tab/>
      </w:r>
      <w:r w:rsidR="006F3EB4">
        <w:t>8</w:t>
      </w:r>
      <w:r>
        <w:t>. Equipment records (list of company owned, rented or other equipment used);</w:t>
      </w:r>
    </w:p>
    <w:p w14:paraId="1456059C" w14:textId="77777777" w:rsidR="00BE7D94" w:rsidRDefault="00BE7D94" w:rsidP="00364FEB">
      <w:pPr>
        <w:pStyle w:val="BodyText"/>
      </w:pPr>
      <w:r>
        <w:lastRenderedPageBreak/>
        <w:tab/>
      </w:r>
      <w:r>
        <w:tab/>
      </w:r>
      <w:r>
        <w:tab/>
      </w:r>
      <w:r w:rsidR="006F3EB4">
        <w:t>9</w:t>
      </w:r>
      <w:r>
        <w:t>. Vendor rental agreements and subcontractor invoices;</w:t>
      </w:r>
    </w:p>
    <w:p w14:paraId="4321FC27" w14:textId="77777777" w:rsidR="00BE7D94" w:rsidRDefault="00BE7D94" w:rsidP="00364FEB">
      <w:pPr>
        <w:pStyle w:val="BodyText"/>
      </w:pPr>
      <w:r>
        <w:tab/>
      </w:r>
      <w:r>
        <w:tab/>
      </w:r>
      <w:r>
        <w:tab/>
      </w:r>
      <w:r w:rsidR="006F3EB4">
        <w:t>10</w:t>
      </w:r>
      <w:r>
        <w:t>. Subcontractor payment certificates;</w:t>
      </w:r>
    </w:p>
    <w:p w14:paraId="09D32CC7" w14:textId="77777777" w:rsidR="00BE7D94" w:rsidRDefault="00BE7D94" w:rsidP="00364FEB">
      <w:pPr>
        <w:pStyle w:val="BodyText"/>
      </w:pPr>
      <w:r>
        <w:tab/>
      </w:r>
      <w:r>
        <w:tab/>
      </w:r>
      <w:r>
        <w:tab/>
      </w:r>
      <w:r w:rsidR="006F3EB4">
        <w:t>11</w:t>
      </w:r>
      <w:r>
        <w:t>. Canceled checks for the project, including, payroll and vendors;</w:t>
      </w:r>
    </w:p>
    <w:p w14:paraId="05698226" w14:textId="77777777" w:rsidR="00BE7D94" w:rsidRDefault="00BE7D94" w:rsidP="00364FEB">
      <w:pPr>
        <w:pStyle w:val="BodyText"/>
      </w:pPr>
      <w:r>
        <w:tab/>
      </w:r>
      <w:r>
        <w:tab/>
      </w:r>
      <w:r>
        <w:tab/>
      </w:r>
      <w:r w:rsidR="006F3EB4">
        <w:t>12</w:t>
      </w:r>
      <w:r>
        <w:t>. Job cost report;</w:t>
      </w:r>
    </w:p>
    <w:p w14:paraId="3BB29398" w14:textId="77777777" w:rsidR="00BE7D94" w:rsidRDefault="00BE7D94" w:rsidP="00364FEB">
      <w:pPr>
        <w:pStyle w:val="BodyText"/>
      </w:pPr>
      <w:r>
        <w:tab/>
      </w:r>
      <w:r>
        <w:tab/>
      </w:r>
      <w:r>
        <w:tab/>
      </w:r>
      <w:r w:rsidR="006F3EB4">
        <w:t>13</w:t>
      </w:r>
      <w:r>
        <w:t>. Job payroll ledger;</w:t>
      </w:r>
    </w:p>
    <w:p w14:paraId="4CD4F301" w14:textId="77777777" w:rsidR="00BE7D94" w:rsidRDefault="00BE7D94" w:rsidP="00364FEB">
      <w:pPr>
        <w:pStyle w:val="BodyText"/>
      </w:pPr>
      <w:r>
        <w:tab/>
      </w:r>
      <w:r>
        <w:tab/>
      </w:r>
      <w:r>
        <w:tab/>
      </w:r>
      <w:r w:rsidR="006F3EB4">
        <w:t>14</w:t>
      </w:r>
      <w:r>
        <w:t>. General ledger, general journal, (if used) and all subsidiary ledgers and journals together with all supporting documentation pertinent to entries made in these ledgers and journals;</w:t>
      </w:r>
    </w:p>
    <w:p w14:paraId="207B3D77" w14:textId="77777777" w:rsidR="00BE7D94" w:rsidRDefault="00BE7D94" w:rsidP="00364FEB">
      <w:pPr>
        <w:pStyle w:val="BodyText"/>
      </w:pPr>
      <w:r>
        <w:tab/>
      </w:r>
      <w:r>
        <w:tab/>
      </w:r>
      <w:r>
        <w:tab/>
      </w:r>
      <w:r w:rsidR="006F3EB4">
        <w:t>15</w:t>
      </w:r>
      <w:r>
        <w:t>. Cash disbursements journal;</w:t>
      </w:r>
    </w:p>
    <w:p w14:paraId="32F1B860" w14:textId="77777777" w:rsidR="00BE7D94" w:rsidRDefault="00BE7D94" w:rsidP="00364FEB">
      <w:pPr>
        <w:pStyle w:val="BodyText"/>
      </w:pPr>
      <w:r>
        <w:tab/>
      </w:r>
      <w:r>
        <w:tab/>
      </w:r>
      <w:r>
        <w:tab/>
      </w:r>
      <w:r w:rsidR="006F3EB4">
        <w:t>16</w:t>
      </w:r>
      <w:r>
        <w:t>. Financial statements for all years reflecting the operations on this project;</w:t>
      </w:r>
    </w:p>
    <w:p w14:paraId="7E3B12EA" w14:textId="77777777" w:rsidR="00BE7D94" w:rsidRDefault="00BE7D94" w:rsidP="00364FEB">
      <w:pPr>
        <w:pStyle w:val="BodyText"/>
      </w:pPr>
      <w:r>
        <w:tab/>
      </w:r>
      <w:r>
        <w:tab/>
      </w:r>
      <w:r>
        <w:tab/>
      </w:r>
      <w:r w:rsidR="006F3EB4">
        <w:t>17</w:t>
      </w:r>
      <w:r>
        <w:t>. Income tax returns for all years reflecting the operations on this project;</w:t>
      </w:r>
    </w:p>
    <w:p w14:paraId="3B518542" w14:textId="77777777" w:rsidR="00BE7D94" w:rsidRDefault="00BE7D94" w:rsidP="00364FEB">
      <w:pPr>
        <w:pStyle w:val="BodyText"/>
      </w:pPr>
      <w:r>
        <w:tab/>
      </w:r>
      <w:r>
        <w:tab/>
      </w:r>
      <w:r>
        <w:tab/>
      </w:r>
      <w:r w:rsidR="006F3EB4">
        <w:t>18</w:t>
      </w:r>
      <w:r>
        <w:t>. All documents which reflect the Contractor’s actual profit and overhead during the years this Contract was being performed and for each of the five years prior to the commencement of this Contract;</w:t>
      </w:r>
    </w:p>
    <w:p w14:paraId="4171FE55" w14:textId="77777777" w:rsidR="00BE7D94" w:rsidRDefault="00BE7D94" w:rsidP="00364FEB">
      <w:pPr>
        <w:pStyle w:val="BodyText"/>
      </w:pPr>
      <w:r>
        <w:tab/>
      </w:r>
      <w:r>
        <w:tab/>
      </w:r>
      <w:r>
        <w:tab/>
      </w:r>
      <w:r w:rsidR="006F3EB4">
        <w:t>19</w:t>
      </w:r>
      <w:r>
        <w:t>. All documents related to the preparation of the Contractor’s bid including the final calculations on which the bid was based;</w:t>
      </w:r>
    </w:p>
    <w:p w14:paraId="4D36D60D" w14:textId="77777777" w:rsidR="00BE7D94" w:rsidRDefault="00BE7D94" w:rsidP="00364FEB">
      <w:pPr>
        <w:pStyle w:val="BodyText"/>
      </w:pPr>
      <w:r>
        <w:tab/>
      </w:r>
      <w:r>
        <w:tab/>
      </w:r>
      <w:r>
        <w:tab/>
      </w:r>
      <w:r w:rsidR="006F3EB4">
        <w:t>20</w:t>
      </w:r>
      <w:r>
        <w:t>. All documents which relate to each and every claim together with all documents, which support the amount of damages as to each claim;</w:t>
      </w:r>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Subsequent to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r w:rsidRPr="00B44C68">
        <w:t>For the purpose of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lastRenderedPageBreak/>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guarantee period for each item.</w:t>
      </w:r>
    </w:p>
    <w:p w14:paraId="100C88C3" w14:textId="77777777" w:rsidR="005E462C" w:rsidRPr="00B44C68" w:rsidRDefault="005E462C" w:rsidP="005E462C">
      <w:pPr>
        <w:pStyle w:val="BodyText"/>
      </w:pPr>
      <w:r w:rsidRPr="00B44C68">
        <w:tab/>
      </w:r>
      <w:r w:rsidRPr="00B44C68">
        <w:tab/>
        <w:t>All reviews by the Contractor will be conducted at no cost to the Department. The Department will be advised of the review schedule at least seven calendar days prior to the review-taking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responsibilities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 xml:space="preserve">Perform all remedial work at no cost to the Department. If remedial work necessitates a corrective action to the pavement markings, adjacent lane (s), roadway shoulders, </w:t>
      </w:r>
      <w:r w:rsidRPr="00B44C68">
        <w:lastRenderedPageBreak/>
        <w:t>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any and all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In no case shall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w:t>
      </w:r>
      <w:r>
        <w:lastRenderedPageBreak/>
        <w:t xml:space="preserve">requirements may not apply to all materials. </w:t>
      </w:r>
      <w:r>
        <w:rPr>
          <w:szCs w:val="22"/>
        </w:rPr>
        <w:t>Use only materials in the work that meet the requirements of these Specifications. The Engineer may inspect and test any material, at points of production, distribution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lastRenderedPageBreak/>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on the APL. </w:t>
      </w:r>
      <w:r w:rsidRPr="00983154">
        <w:t>Manufacturers are</w:t>
      </w:r>
      <w:r>
        <w:t xml:space="preserve"> required to submit requests to the Department for approval of any modifications or alterations made to a product</w:t>
      </w:r>
      <w:r w:rsidRPr="00335ECA">
        <w:t xml:space="preserve"> </w:t>
      </w:r>
      <w:r>
        <w:t xml:space="preserve">listed on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 xml:space="preserve">product that will be incorporated in the project. Submit the certification prior to utilization of the material on the project. Each </w:t>
      </w:r>
      <w:r>
        <w:lastRenderedPageBreak/>
        <w:t>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identification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lastRenderedPageBreak/>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w:t>
      </w:r>
      <w:r w:rsidR="00691EC5" w:rsidRPr="003878CE">
        <w:lastRenderedPageBreak/>
        <w:t xml:space="preserve">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w:t>
      </w:r>
      <w:r w:rsidRPr="00861E69">
        <w:lastRenderedPageBreak/>
        <w:t>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lastRenderedPageBreak/>
        <w:tab/>
      </w:r>
      <w:r>
        <w:tab/>
      </w:r>
      <w:r>
        <w:tab/>
      </w:r>
      <w:smartTag w:uri="urn:schemas-microsoft-com:office:smarttags" w:element="Street">
        <w:smartTag w:uri="urn:schemas-microsoft-com:office:smarttags" w:element="address">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place">
        <w:smartTag w:uri="urn:schemas-microsoft-com:office:smarttags" w:element="Stat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The Contractor or the authorized subcontractor applying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all of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so as to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Take responsibility to obtain the information posted on this website up through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A26973" w:rsidP="004760DB">
      <w:pPr>
        <w:pStyle w:val="BodyText"/>
      </w:pPr>
      <w:hyperlink r:id="rId20" w:history="1">
        <w:r w:rsidR="004760DB"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lastRenderedPageBreak/>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place">
        <w:smartTag w:uri="urn:schemas-microsoft-com:office:smarttags" w:element="country-region">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Street">
        <w:smartTag w:uri="urn:schemas-microsoft-com:office:smarttags" w:element="address">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as a result of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threatened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lastRenderedPageBreak/>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to conduct an investigation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t>Comply at all times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lastRenderedPageBreak/>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place">
        <w:smartTag w:uri="urn:schemas-microsoft-com:office:smarttags" w:element="Stat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Engineer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conduct an investigation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place">
        <w:smartTag w:uri="urn:schemas-microsoft-com:office:smarttags" w:element="Stat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 xml:space="preserve">All prime Contractor vendors shall be required to incorporate the designated loan mobilization payment procedures in subcontract agreements with minority business enterprise vendors participating in this program and to cooperate in the release of designated loan </w:t>
      </w:r>
      <w:r>
        <w:lastRenderedPageBreak/>
        <w:t>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application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Take responsibility to obtain this information and comply with all requirements posted on this web site up through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w:t>
      </w:r>
      <w:r>
        <w:lastRenderedPageBreak/>
        <w:t>authority over work or structures, including related construction operations, in all tidal areas (</w:t>
      </w:r>
      <w:proofErr w:type="spellStart"/>
      <w:r w:rsidR="00C11C8C">
        <w:t>c</w:t>
      </w:r>
      <w:r>
        <w:t>hannelward</w:t>
      </w:r>
      <w:proofErr w:type="spellEnd"/>
      <w:r>
        <w:t xml:space="preserve">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place">
        <w:smartTag w:uri="urn:schemas-microsoft-com:office:smarttags" w:element="country-region">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execution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execution and submission of Notice of Termination (NOT) of the DEP Generic Permit coverage.</w:t>
      </w:r>
    </w:p>
    <w:p w14:paraId="69D0ECCB" w14:textId="77777777" w:rsidR="00BE7D94" w:rsidRDefault="00BE7D94" w:rsidP="00BE78BF">
      <w:pPr>
        <w:pStyle w:val="BodyText"/>
      </w:pPr>
      <w:r>
        <w:tab/>
      </w:r>
      <w:r>
        <w:tab/>
        <w:t>Use the SWPPP Construction Inspection Form provided by the Engineer to report all inspection findings and to document all corrective actions taken as a result of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lastRenderedPageBreak/>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r w:rsidR="00144FE4" w:rsidRPr="00144FE4">
        <w:rPr>
          <w:iCs/>
          <w:szCs w:val="24"/>
        </w:rPr>
        <w:t>inch</w:t>
      </w:r>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locations, dimensions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storage area identification number, dimensions, elevations, contours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dimensions, elevations, contours, final grades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dimensions, elevations, contours, final grades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r w:rsidR="00144FE4" w:rsidRPr="00144FE4">
        <w:rPr>
          <w:iCs/>
        </w:rPr>
        <w:t>inch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 xml:space="preserve">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w:t>
      </w:r>
      <w:r>
        <w:lastRenderedPageBreak/>
        <w:t>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Use of Department owned right-of-way for the purpose of equipment or material storage, lay-down facilities, pre-cast material fabrication sites, batch plants for the production of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 xml:space="preserve">Should Department-furnished areas for obtaining borrow material, contain </w:t>
      </w:r>
      <w:proofErr w:type="spellStart"/>
      <w:r>
        <w:t>limerock</w:t>
      </w:r>
      <w:proofErr w:type="spellEnd"/>
      <w:r>
        <w:t xml:space="preserve">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are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must: maintain reasonable access; maintain utility services; not cause any excessive vibration, dust or noise; or have any open burning within 1,000</w:t>
      </w:r>
      <w:r w:rsidR="00762C45">
        <w:t> </w:t>
      </w:r>
      <w:r>
        <w:t xml:space="preserve">feet. The Department’s Project Manager will make a decision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lastRenderedPageBreak/>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The Contractor shall provide and maintain, in a neat and sanitary condition, such accommodations for the use of his employees as are necessary to comply with the requirements and regulations of the State and local boards of health. Commit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This restriction applies to all roads and bridges inside and outside the Contract limits as long as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lastRenderedPageBreak/>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a. In excess of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a distance of 50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 xml:space="preserve">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w:t>
      </w:r>
      <w:r>
        <w:lastRenderedPageBreak/>
        <w:t>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all of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w:t>
      </w:r>
      <w:r>
        <w:lastRenderedPageBreak/>
        <w:t>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 xml:space="preserve">lans, that </w:t>
      </w:r>
      <w:r>
        <w:lastRenderedPageBreak/>
        <w:t>is made necessary by alteration of grade or alignment. The Engineer will authorize such work, 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in excess of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lastRenderedPageBreak/>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 xml:space="preserve">7-11.4.2.2 </w:t>
      </w:r>
      <w:proofErr w:type="spellStart"/>
      <w:r w:rsidRPr="00AC6C5E">
        <w:rPr>
          <w:b/>
          <w:bCs/>
        </w:rPr>
        <w:t>Northfolk</w:t>
      </w:r>
      <w:proofErr w:type="spellEnd"/>
      <w:r w:rsidRPr="00AC6C5E">
        <w:rPr>
          <w:b/>
          <w:bCs/>
        </w:rPr>
        <w:t xml:space="preserve">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at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at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w:t>
      </w:r>
      <w:r w:rsidRPr="00AC6C5E">
        <w:lastRenderedPageBreak/>
        <w:t>company for the cost thereof. Schedule work that affects railroad operations so as to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In the event of interruption of water or other utility services as a result of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w:t>
      </w:r>
      <w:r>
        <w:lastRenderedPageBreak/>
        <w:t xml:space="preserve">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Build Firm must be executed in order to comply with this statutory requirement.</w:t>
      </w:r>
    </w:p>
    <w:p w14:paraId="7CA6641B" w14:textId="77777777" w:rsidR="005D5223" w:rsidRPr="00ED3562" w:rsidRDefault="009803AD" w:rsidP="00ED3562">
      <w:pPr>
        <w:pStyle w:val="BodyText"/>
      </w:pPr>
      <w:r>
        <w:tab/>
      </w:r>
      <w:r>
        <w:tab/>
      </w:r>
      <w:r>
        <w:tab/>
      </w:r>
      <w:r w:rsidR="005D5223">
        <w:t>The agreement executed by the UAO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entered into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with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Design around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lastRenderedPageBreak/>
        <w:tab/>
      </w:r>
      <w:r>
        <w:tab/>
      </w:r>
      <w:r>
        <w:tab/>
      </w:r>
      <w:r w:rsidR="006F3EB4">
        <w:t>4</w:t>
      </w:r>
      <w:r>
        <w:t>. Make arrangements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Coordinate the issuance of utility permits within the project limits for new utility work not necessarily related to the Project in order to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on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lastRenderedPageBreak/>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losses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lastRenderedPageBreak/>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t>ies</w:t>
      </w:r>
      <w:proofErr w:type="spellEnd"/>
      <w:r>
        <w:t xml:space="preserve"> and coverage described herein may be subject to a deductible. Pay all deductibles as required by the policy. No policy/</w:t>
      </w:r>
      <w:proofErr w:type="spellStart"/>
      <w:r>
        <w:t>ies</w:t>
      </w:r>
      <w:proofErr w:type="spellEnd"/>
      <w:r>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w:t>
      </w:r>
      <w:proofErr w:type="spellStart"/>
      <w:r>
        <w:t>ies</w:t>
      </w:r>
      <w:proofErr w:type="spellEnd"/>
      <w:r>
        <w:t xml:space="preserve">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w:t>
      </w:r>
      <w:proofErr w:type="spellStart"/>
      <w:r>
        <w:t>ies</w:t>
      </w:r>
      <w:proofErr w:type="spellEnd"/>
      <w:r>
        <w:t>,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w:t>
      </w:r>
      <w:proofErr w:type="spellStart"/>
      <w:r>
        <w:t>ies</w:t>
      </w:r>
      <w:proofErr w:type="spellEnd"/>
      <w:r>
        <w:t xml:space="preserve"> procured pursuant to subsection</w:t>
      </w:r>
      <w:r w:rsidR="00B70808">
        <w:t> </w:t>
      </w:r>
      <w:r>
        <w:t xml:space="preserve">7-13.2 above. </w:t>
      </w:r>
    </w:p>
    <w:p w14:paraId="502F1953" w14:textId="77777777" w:rsidR="00E9208D" w:rsidRPr="00C82D52" w:rsidRDefault="00E9208D" w:rsidP="00E9208D">
      <w:pPr>
        <w:pStyle w:val="BodyText"/>
      </w:pPr>
      <w:r>
        <w:rPr>
          <w:b/>
          <w:bCs/>
        </w:rPr>
        <w:lastRenderedPageBreak/>
        <w:tab/>
      </w:r>
      <w:r w:rsidRPr="00457760">
        <w:rPr>
          <w:b/>
          <w:bCs/>
        </w:rPr>
        <w:t>7-13.5 Marine General Liability Insurance:</w:t>
      </w:r>
      <w:r>
        <w:t xml:space="preserve"> </w:t>
      </w:r>
      <w:r w:rsidRPr="00C82D52">
        <w:t>When the Contract involves work on bridges over navigable waters, carry Marine General Liability insurance providing continuous coverage for third-party personal injury and property damage caused by vessels used by the contractor in the performance of the work.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$4,000,000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w:t>
      </w:r>
      <w:proofErr w:type="spellStart"/>
      <w:r w:rsidRPr="00C82D52">
        <w:t>ies</w:t>
      </w:r>
      <w:proofErr w:type="spellEnd"/>
      <w:r w:rsidRPr="00C82D52">
        <w:t xml:space="preserve"> and coverage described herein may be subject to a deductible. Pay all deductibles as required by the policy. No policy/</w:t>
      </w:r>
      <w:proofErr w:type="spellStart"/>
      <w:r w:rsidRPr="00C82D52">
        <w:t>ies</w:t>
      </w:r>
      <w:proofErr w:type="spellEnd"/>
      <w:r w:rsidRPr="00C82D52">
        <w:t xml:space="preserve">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w:t>
      </w:r>
      <w:proofErr w:type="spellStart"/>
      <w:r w:rsidRPr="00C82D52">
        <w:t>ies</w:t>
      </w:r>
      <w:proofErr w:type="spellEnd"/>
      <w:r w:rsidRPr="00C82D52">
        <w:t>,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2"/>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4"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4"/>
    </w:p>
    <w:bookmarkEnd w:id="23"/>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5"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lastRenderedPageBreak/>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5"/>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The Contractor will take charge and custody of the Work, and take every necessary precaution against damage to the Work, by the action of the elements or from any other cause whatsoever,</w:t>
      </w:r>
      <w:r w:rsidRPr="0013228E">
        <w:t xml:space="preserve"> </w:t>
      </w:r>
      <w:r>
        <w:t>until the Department’s final acceptance of the Work. The Contractor will rebuild, repair, restore, and make good,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 xml:space="preserve">is caused by an unknown third party, the Department will </w:t>
      </w:r>
      <w:r w:rsidR="00454019" w:rsidRPr="00676915">
        <w:lastRenderedPageBreak/>
        <w:t>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lastRenderedPageBreak/>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In particular, pay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burning of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Store and handle asphalt materials and components so as to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t>Section</w:t>
      </w:r>
      <w:r w:rsidR="00B70808">
        <w:t> </w:t>
      </w:r>
      <w:r>
        <w:t xml:space="preserve">370.033 of the Florida Statutes,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lastRenderedPageBreak/>
        <w:t>7-22 Available Funds.</w:t>
      </w:r>
    </w:p>
    <w:p w14:paraId="2A8ED1AF" w14:textId="77777777" w:rsidR="00BE7D94" w:rsidRDefault="00BE7D94" w:rsidP="00BF072B">
      <w:pPr>
        <w:pStyle w:val="BodyText"/>
      </w:pPr>
      <w:r>
        <w:tab/>
        <w:t>For Contracts in excess of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The Department will not, during any fiscal year, expend money, incur any liability, or enter into any Contract that, by its terms, involves the expenditures of money in excess of the amounts budgeted as available for expenditure during such fiscal year. If the Department enters into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in excess of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The Contractor shall provide the Department with proof that all motor vehicles operated or caused to be operated by such Contractor is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place">
        <w:smartTag w:uri="urn:schemas-microsoft-com:office:smarttags" w:element="Stat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on the basis of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1. Withholding monthly progress payments;</w:t>
      </w:r>
    </w:p>
    <w:p w14:paraId="6D97F632" w14:textId="77777777" w:rsidR="000A50FE" w:rsidRDefault="000A50FE" w:rsidP="000A50FE">
      <w:pPr>
        <w:pStyle w:val="BodyText"/>
      </w:pPr>
      <w:r>
        <w:tab/>
      </w:r>
      <w:r>
        <w:tab/>
        <w:t>2. Assessing sanctions;</w:t>
      </w:r>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lastRenderedPageBreak/>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Providing assistance to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procedures adopted to comply with these Specifications;</w:t>
      </w:r>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number of subordinated Contracts on Department projects awarded to DBEs;</w:t>
      </w:r>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dollar value of the Contracts awarded to DBEs;</w:t>
      </w:r>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percentage of the dollar value of all subordinated Contracts awarded to DBEs as a percentage of the total Contract amount;</w:t>
      </w:r>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lastRenderedPageBreak/>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actually performed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t>
      </w:r>
      <w:r w:rsidRPr="006F663D">
        <w:lastRenderedPageBreak/>
        <w:t>whether the amount the firm is to be paid under the contract is commensurate with the work it is actually performing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in order to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If a DBE does not perform or exercise responsibility for at least 30 percent of the total cost of its contract with its own workforce, or if the DBE subcontracts a greater portion of the work of a contract than would be expected on the basis of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67FC5110" w14:textId="77777777" w:rsidR="009B44F1" w:rsidRDefault="009B44F1" w:rsidP="009B44F1">
      <w:pPr>
        <w:pStyle w:val="Article"/>
      </w:pPr>
      <w:r>
        <w:t>7-25 On-The-Job Training Requirements.</w:t>
      </w:r>
    </w:p>
    <w:p w14:paraId="55BEC5D4" w14:textId="002FBD4B" w:rsidR="009B44F1" w:rsidRDefault="009B44F1" w:rsidP="009B44F1">
      <w:pPr>
        <w:pStyle w:val="BodyText"/>
      </w:pPr>
      <w:r>
        <w:tab/>
        <w:t xml:space="preserve">As part of the Contractor’s equal employment opportunity affirmative action program, </w:t>
      </w:r>
      <w:r w:rsidRPr="003D5EB0">
        <w:t>the Contractor shall provide training aimed at developing full journeymen in a trade or job classification involved on all applicable roadway and bridge construction projects receiving federal funds.</w:t>
      </w:r>
    </w:p>
    <w:p w14:paraId="1BF12006" w14:textId="45FC7114" w:rsidR="009B44F1" w:rsidRPr="003D5EB0" w:rsidRDefault="009B44F1" w:rsidP="009B44F1">
      <w:pPr>
        <w:pStyle w:val="BodyText"/>
        <w:rPr>
          <w:szCs w:val="24"/>
        </w:rPr>
      </w:pPr>
      <w:r w:rsidRPr="003D5EB0">
        <w:tab/>
      </w:r>
      <w:r w:rsidRPr="003D5EB0">
        <w:rPr>
          <w:szCs w:val="24"/>
        </w:rPr>
        <w:t xml:space="preserve">The anticipated minimum number of trainees will be initially derived from construction contract calendar days and dollar value as represented within the provided </w:t>
      </w:r>
      <w:r>
        <w:rPr>
          <w:szCs w:val="24"/>
        </w:rPr>
        <w:t>T</w:t>
      </w:r>
      <w:r w:rsidRPr="003D5EB0">
        <w:rPr>
          <w:szCs w:val="24"/>
        </w:rPr>
        <w:t>able</w:t>
      </w:r>
      <w:r>
        <w:rPr>
          <w:szCs w:val="24"/>
        </w:rPr>
        <w:t xml:space="preserve"> 7-1</w:t>
      </w:r>
      <w:r w:rsidRPr="003D5EB0">
        <w:rPr>
          <w:szCs w:val="24"/>
        </w:rPr>
        <w:t>.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49BBA852" w14:textId="02513631" w:rsidR="009B44F1" w:rsidRDefault="009B44F1" w:rsidP="009B44F1">
      <w:pPr>
        <w:pStyle w:val="BodyText"/>
      </w:pPr>
      <w:r w:rsidRPr="003D5EB0">
        <w:rPr>
          <w:szCs w:val="24"/>
        </w:rPr>
        <w:tab/>
      </w:r>
      <w:r>
        <w:t xml:space="preserve">No trainees will be required for </w:t>
      </w:r>
      <w:r w:rsidRPr="003D5EB0">
        <w:rPr>
          <w:szCs w:val="24"/>
        </w:rPr>
        <w:t>Federal-aid Contracts administered</w:t>
      </w:r>
      <w:r>
        <w:t xml:space="preserve"> with a Contract Time allowance of less than 275 calendar days.</w:t>
      </w:r>
      <w:r w:rsidRPr="001B1F9E">
        <w:rPr>
          <w:szCs w:val="24"/>
        </w:rPr>
        <w:t xml:space="preserve"> </w:t>
      </w:r>
      <w:r w:rsidRPr="003D5EB0">
        <w:rPr>
          <w:szCs w:val="24"/>
        </w:rPr>
        <w:t>When</w:t>
      </w:r>
      <w:r>
        <w:t xml:space="preserve"> the Contract Time allowance is 275 calendar days or more, the </w:t>
      </w:r>
      <w:r w:rsidRPr="00A26973">
        <w:rPr>
          <w:rStyle w:val="BodyTextChar"/>
          <w:rFonts w:eastAsiaTheme="minorHAnsi" w:cstheme="minorBidi"/>
          <w:szCs w:val="22"/>
        </w:rPr>
        <w:t>estimated required number of trainees shown in Table 7-1, with all other relevant factors</w:t>
      </w:r>
      <w:r>
        <w:rPr>
          <w:rStyle w:val="BodyTextChar"/>
          <w:rFonts w:eastAsiaTheme="minorHAnsi" w:cstheme="minorBidi"/>
          <w:szCs w:val="22"/>
        </w:rPr>
        <w:t xml:space="preserve">, </w:t>
      </w:r>
      <w:r w:rsidRPr="00A26973">
        <w:rPr>
          <w:rStyle w:val="BodyTextChar"/>
          <w:rFonts w:eastAsiaTheme="minorHAnsi" w:cstheme="minorBidi"/>
          <w:szCs w:val="22"/>
        </w:rPr>
        <w:t>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3F354029" w14:textId="77777777" w:rsidR="009B44F1" w:rsidRDefault="009B44F1" w:rsidP="009B44F1">
      <w:pPr>
        <w:pStyle w:val="BodyText"/>
      </w:pP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63"/>
        <w:gridCol w:w="2292"/>
      </w:tblGrid>
      <w:tr w:rsidR="009B44F1" w:rsidRPr="003D5EB0" w14:paraId="71460153" w14:textId="77777777" w:rsidTr="00A26973">
        <w:trPr>
          <w:tblHeader/>
          <w:jc w:val="center"/>
        </w:trPr>
        <w:tc>
          <w:tcPr>
            <w:tcW w:w="5000" w:type="pct"/>
            <w:gridSpan w:val="2"/>
            <w:vAlign w:val="center"/>
          </w:tcPr>
          <w:p w14:paraId="78EB2DB9" w14:textId="77777777" w:rsidR="009B44F1" w:rsidRPr="003D5EB0" w:rsidRDefault="009B44F1" w:rsidP="00A26973">
            <w:pPr>
              <w:pStyle w:val="BodyText"/>
              <w:jc w:val="center"/>
            </w:pPr>
            <w:r w:rsidRPr="003D5EB0">
              <w:t>Table 7-1</w:t>
            </w:r>
          </w:p>
        </w:tc>
      </w:tr>
      <w:tr w:rsidR="009B44F1" w14:paraId="61CA7B2E" w14:textId="77777777" w:rsidTr="00A26973">
        <w:tblPrEx>
          <w:jc w:val="left"/>
        </w:tblPrEx>
        <w:trPr>
          <w:tblHeader/>
        </w:trPr>
        <w:tc>
          <w:tcPr>
            <w:tcW w:w="3762" w:type="pct"/>
            <w:vAlign w:val="center"/>
          </w:tcPr>
          <w:p w14:paraId="25ADB561" w14:textId="0098BA37" w:rsidR="009B44F1" w:rsidRDefault="009B44F1" w:rsidP="00AD13D3">
            <w:pPr>
              <w:pStyle w:val="BodyText"/>
              <w:jc w:val="center"/>
            </w:pPr>
            <w:r>
              <w:t xml:space="preserve">Estimated Contract </w:t>
            </w:r>
            <w:r w:rsidRPr="003D5EB0">
              <w:t>Values</w:t>
            </w:r>
          </w:p>
        </w:tc>
        <w:tc>
          <w:tcPr>
            <w:tcW w:w="1238" w:type="pct"/>
            <w:vAlign w:val="center"/>
          </w:tcPr>
          <w:p w14:paraId="14141731" w14:textId="7E2C7D3C" w:rsidR="009B44F1" w:rsidRDefault="009B44F1" w:rsidP="00AD13D3">
            <w:pPr>
              <w:pStyle w:val="BodyText"/>
              <w:jc w:val="center"/>
            </w:pPr>
            <w:r w:rsidRPr="003D5EB0">
              <w:t xml:space="preserve">Anticipated Required </w:t>
            </w:r>
            <w:r>
              <w:t xml:space="preserve">Trainees </w:t>
            </w:r>
          </w:p>
        </w:tc>
      </w:tr>
      <w:tr w:rsidR="009B44F1" w:rsidRPr="003D5EB0" w14:paraId="17B91B90" w14:textId="77777777" w:rsidTr="00AD13D3">
        <w:trPr>
          <w:jc w:val="center"/>
        </w:trPr>
        <w:tc>
          <w:tcPr>
            <w:tcW w:w="3762" w:type="pct"/>
            <w:vAlign w:val="center"/>
          </w:tcPr>
          <w:p w14:paraId="2FE47F62" w14:textId="77777777" w:rsidR="009B44F1" w:rsidRPr="003D5EB0" w:rsidRDefault="009B44F1" w:rsidP="00A26973">
            <w:pPr>
              <w:pStyle w:val="BodyText"/>
              <w:jc w:val="center"/>
            </w:pPr>
            <w:r w:rsidRPr="003D5EB0">
              <w:t>$3,500,000 or less</w:t>
            </w:r>
          </w:p>
        </w:tc>
        <w:tc>
          <w:tcPr>
            <w:tcW w:w="1238" w:type="pct"/>
            <w:vAlign w:val="center"/>
          </w:tcPr>
          <w:p w14:paraId="6BF7AD1D" w14:textId="77777777" w:rsidR="009B44F1" w:rsidRPr="003D5EB0" w:rsidRDefault="009B44F1" w:rsidP="00A26973">
            <w:pPr>
              <w:pStyle w:val="BodyText"/>
              <w:jc w:val="center"/>
            </w:pPr>
            <w:r w:rsidRPr="003D5EB0">
              <w:t>0</w:t>
            </w:r>
          </w:p>
        </w:tc>
      </w:tr>
      <w:tr w:rsidR="009B44F1" w14:paraId="74778A29" w14:textId="77777777" w:rsidTr="00A26973">
        <w:tblPrEx>
          <w:jc w:val="left"/>
        </w:tblPrEx>
        <w:tc>
          <w:tcPr>
            <w:tcW w:w="3762" w:type="pct"/>
            <w:vAlign w:val="center"/>
          </w:tcPr>
          <w:p w14:paraId="336317B0" w14:textId="63BE0EB6" w:rsidR="009B44F1" w:rsidRDefault="009B44F1" w:rsidP="00AD13D3">
            <w:pPr>
              <w:pStyle w:val="BodyText"/>
              <w:jc w:val="center"/>
            </w:pPr>
            <w:r w:rsidRPr="003D5EB0">
              <w:t>Over $3,5</w:t>
            </w:r>
            <w:r w:rsidRPr="000C2B95">
              <w:t xml:space="preserve">00,000 </w:t>
            </w:r>
            <w:r w:rsidRPr="003D5EB0">
              <w:t>to $7,500,000</w:t>
            </w:r>
          </w:p>
        </w:tc>
        <w:tc>
          <w:tcPr>
            <w:tcW w:w="1238" w:type="pct"/>
            <w:vAlign w:val="center"/>
          </w:tcPr>
          <w:p w14:paraId="7B909380" w14:textId="0D47538E" w:rsidR="009B44F1" w:rsidRDefault="009B44F1" w:rsidP="00AD13D3">
            <w:pPr>
              <w:pStyle w:val="BodyText"/>
              <w:jc w:val="center"/>
            </w:pPr>
            <w:r w:rsidRPr="003D5EB0">
              <w:t>2</w:t>
            </w:r>
          </w:p>
        </w:tc>
      </w:tr>
      <w:tr w:rsidR="009B44F1" w14:paraId="4F34D2A7" w14:textId="77777777" w:rsidTr="00A26973">
        <w:tblPrEx>
          <w:jc w:val="left"/>
        </w:tblPrEx>
        <w:tc>
          <w:tcPr>
            <w:tcW w:w="3762" w:type="pct"/>
            <w:vAlign w:val="center"/>
          </w:tcPr>
          <w:p w14:paraId="28FC400E" w14:textId="4667717A" w:rsidR="009B44F1" w:rsidRDefault="009B44F1" w:rsidP="00AD13D3">
            <w:pPr>
              <w:pStyle w:val="BodyText"/>
              <w:jc w:val="center"/>
            </w:pPr>
            <w:r>
              <w:t>Over $</w:t>
            </w:r>
            <w:r w:rsidRPr="003D5EB0">
              <w:t>7,5</w:t>
            </w:r>
            <w:r>
              <w:t>00,000 to $</w:t>
            </w:r>
            <w:r w:rsidRPr="003D5EB0">
              <w:t>12</w:t>
            </w:r>
            <w:r>
              <w:t>,000,000</w:t>
            </w:r>
          </w:p>
        </w:tc>
        <w:tc>
          <w:tcPr>
            <w:tcW w:w="1238" w:type="pct"/>
            <w:vAlign w:val="center"/>
          </w:tcPr>
          <w:p w14:paraId="703227FC" w14:textId="09793D79" w:rsidR="009B44F1" w:rsidRDefault="009B44F1" w:rsidP="00AD13D3">
            <w:pPr>
              <w:pStyle w:val="BodyText"/>
              <w:jc w:val="center"/>
            </w:pPr>
            <w:r w:rsidRPr="003D5EB0">
              <w:t>3</w:t>
            </w:r>
          </w:p>
        </w:tc>
      </w:tr>
      <w:tr w:rsidR="009B44F1" w14:paraId="30326950" w14:textId="77777777" w:rsidTr="00A26973">
        <w:tblPrEx>
          <w:jc w:val="left"/>
        </w:tblPrEx>
        <w:tc>
          <w:tcPr>
            <w:tcW w:w="3762" w:type="pct"/>
            <w:vAlign w:val="center"/>
          </w:tcPr>
          <w:p w14:paraId="38821DEB" w14:textId="00EBDA30" w:rsidR="009B44F1" w:rsidRDefault="009B44F1" w:rsidP="00AD13D3">
            <w:pPr>
              <w:pStyle w:val="BodyText"/>
              <w:jc w:val="center"/>
            </w:pPr>
            <w:r>
              <w:t>Over $</w:t>
            </w:r>
            <w:r w:rsidRPr="003D5EB0">
              <w:t>12</w:t>
            </w:r>
            <w:r>
              <w:t>,000,000 to $</w:t>
            </w:r>
            <w:r w:rsidRPr="003D5EB0">
              <w:t>20</w:t>
            </w:r>
            <w:r>
              <w:t>,000,000</w:t>
            </w:r>
          </w:p>
        </w:tc>
        <w:tc>
          <w:tcPr>
            <w:tcW w:w="1238" w:type="pct"/>
            <w:vAlign w:val="center"/>
          </w:tcPr>
          <w:p w14:paraId="72C2A49F" w14:textId="731E0620" w:rsidR="009B44F1" w:rsidRDefault="009B44F1" w:rsidP="00AD13D3">
            <w:pPr>
              <w:pStyle w:val="BodyText"/>
              <w:jc w:val="center"/>
            </w:pPr>
            <w:r w:rsidRPr="003D5EB0">
              <w:t>4</w:t>
            </w:r>
          </w:p>
        </w:tc>
      </w:tr>
      <w:tr w:rsidR="009B44F1" w14:paraId="169B48F8" w14:textId="77777777" w:rsidTr="00A26973">
        <w:tblPrEx>
          <w:jc w:val="left"/>
        </w:tblPrEx>
        <w:tc>
          <w:tcPr>
            <w:tcW w:w="3762" w:type="pct"/>
            <w:vAlign w:val="center"/>
          </w:tcPr>
          <w:p w14:paraId="18FEFE27" w14:textId="1C58B0A2" w:rsidR="009B44F1" w:rsidRDefault="009B44F1" w:rsidP="00AD13D3">
            <w:pPr>
              <w:pStyle w:val="BodyText"/>
              <w:jc w:val="center"/>
            </w:pPr>
            <w:r>
              <w:t>Over $</w:t>
            </w:r>
            <w:r w:rsidRPr="003D5EB0">
              <w:t>20</w:t>
            </w:r>
            <w:r>
              <w:t>,000,000 to $</w:t>
            </w:r>
            <w:r w:rsidRPr="003D5EB0">
              <w:t>30</w:t>
            </w:r>
            <w:r>
              <w:t>,000,000</w:t>
            </w:r>
          </w:p>
        </w:tc>
        <w:tc>
          <w:tcPr>
            <w:tcW w:w="1238" w:type="pct"/>
            <w:vAlign w:val="center"/>
          </w:tcPr>
          <w:p w14:paraId="0968DAB7" w14:textId="117CFCD6" w:rsidR="009B44F1" w:rsidRDefault="009B44F1" w:rsidP="00AD13D3">
            <w:pPr>
              <w:pStyle w:val="BodyText"/>
              <w:jc w:val="center"/>
            </w:pPr>
            <w:r w:rsidRPr="003D5EB0">
              <w:t>6</w:t>
            </w:r>
          </w:p>
        </w:tc>
      </w:tr>
      <w:tr w:rsidR="009B44F1" w14:paraId="1C66A50E" w14:textId="77777777" w:rsidTr="00A26973">
        <w:tblPrEx>
          <w:jc w:val="left"/>
        </w:tblPrEx>
        <w:tc>
          <w:tcPr>
            <w:tcW w:w="3762" w:type="pct"/>
            <w:vAlign w:val="center"/>
          </w:tcPr>
          <w:p w14:paraId="5E4B0531" w14:textId="2884B7D3" w:rsidR="009B44F1" w:rsidRDefault="009B44F1" w:rsidP="00AD13D3">
            <w:pPr>
              <w:pStyle w:val="BodyText"/>
              <w:jc w:val="center"/>
            </w:pPr>
            <w:r>
              <w:t>Over $</w:t>
            </w:r>
            <w:r w:rsidRPr="003D5EB0">
              <w:t>30</w:t>
            </w:r>
            <w:r>
              <w:t>,000,000 to $</w:t>
            </w:r>
            <w:r w:rsidRPr="003D5EB0">
              <w:t>40</w:t>
            </w:r>
            <w:r>
              <w:t>,000,000</w:t>
            </w:r>
          </w:p>
        </w:tc>
        <w:tc>
          <w:tcPr>
            <w:tcW w:w="1238" w:type="pct"/>
            <w:vAlign w:val="center"/>
          </w:tcPr>
          <w:p w14:paraId="7F13245B" w14:textId="068CD155" w:rsidR="009B44F1" w:rsidRDefault="009B44F1" w:rsidP="00AD13D3">
            <w:pPr>
              <w:pStyle w:val="BodyText"/>
              <w:jc w:val="center"/>
            </w:pPr>
            <w:r w:rsidRPr="003D5EB0">
              <w:t>8</w:t>
            </w:r>
          </w:p>
        </w:tc>
      </w:tr>
      <w:tr w:rsidR="009B44F1" w14:paraId="322406A3" w14:textId="77777777" w:rsidTr="00A26973">
        <w:tblPrEx>
          <w:jc w:val="left"/>
        </w:tblPrEx>
        <w:tc>
          <w:tcPr>
            <w:tcW w:w="3762" w:type="pct"/>
            <w:vAlign w:val="center"/>
          </w:tcPr>
          <w:p w14:paraId="28D6D671" w14:textId="414B9AF5" w:rsidR="009B44F1" w:rsidRDefault="009B44F1" w:rsidP="00AD13D3">
            <w:pPr>
              <w:pStyle w:val="BodyText"/>
              <w:jc w:val="center"/>
            </w:pPr>
            <w:r>
              <w:t>Over $</w:t>
            </w:r>
            <w:r w:rsidRPr="003D5EB0">
              <w:t>40</w:t>
            </w:r>
            <w:r>
              <w:t>,000,000 to $</w:t>
            </w:r>
            <w:r w:rsidRPr="003D5EB0">
              <w:t>60</w:t>
            </w:r>
            <w:r>
              <w:t>,000,000</w:t>
            </w:r>
          </w:p>
        </w:tc>
        <w:tc>
          <w:tcPr>
            <w:tcW w:w="1238" w:type="pct"/>
            <w:vAlign w:val="center"/>
          </w:tcPr>
          <w:p w14:paraId="54ED640C" w14:textId="0C848D09" w:rsidR="009B44F1" w:rsidRDefault="009B44F1" w:rsidP="00AD13D3">
            <w:pPr>
              <w:pStyle w:val="BodyText"/>
              <w:jc w:val="center"/>
            </w:pPr>
            <w:r w:rsidRPr="003D5EB0">
              <w:t>10</w:t>
            </w:r>
          </w:p>
        </w:tc>
      </w:tr>
      <w:tr w:rsidR="009B44F1" w14:paraId="2BDDF842" w14:textId="77777777" w:rsidTr="00A26973">
        <w:tblPrEx>
          <w:jc w:val="left"/>
        </w:tblPrEx>
        <w:tc>
          <w:tcPr>
            <w:tcW w:w="3762" w:type="pct"/>
            <w:vAlign w:val="center"/>
          </w:tcPr>
          <w:p w14:paraId="2B1F72BC" w14:textId="6B090198" w:rsidR="009B44F1" w:rsidRDefault="009B44F1" w:rsidP="00AD13D3">
            <w:pPr>
              <w:pStyle w:val="BodyText"/>
              <w:jc w:val="center"/>
            </w:pPr>
            <w:r>
              <w:t>Over $</w:t>
            </w:r>
            <w:r w:rsidRPr="003D5EB0">
              <w:t>60</w:t>
            </w:r>
            <w:r>
              <w:t>,000,000 to $</w:t>
            </w:r>
            <w:r w:rsidRPr="003D5EB0">
              <w:t>75</w:t>
            </w:r>
            <w:r>
              <w:t>,000,000</w:t>
            </w:r>
          </w:p>
        </w:tc>
        <w:tc>
          <w:tcPr>
            <w:tcW w:w="1238" w:type="pct"/>
            <w:vAlign w:val="center"/>
          </w:tcPr>
          <w:p w14:paraId="70814FC4" w14:textId="77777777" w:rsidR="009B44F1" w:rsidRDefault="009B44F1" w:rsidP="00AD13D3">
            <w:pPr>
              <w:pStyle w:val="BodyText"/>
              <w:jc w:val="center"/>
            </w:pPr>
            <w:r>
              <w:t>12</w:t>
            </w:r>
          </w:p>
        </w:tc>
      </w:tr>
      <w:tr w:rsidR="009B44F1" w14:paraId="1F9A84B8" w14:textId="77777777" w:rsidTr="00A26973">
        <w:tblPrEx>
          <w:jc w:val="left"/>
        </w:tblPrEx>
        <w:tc>
          <w:tcPr>
            <w:tcW w:w="3762" w:type="pct"/>
            <w:vAlign w:val="center"/>
          </w:tcPr>
          <w:p w14:paraId="0861F1FA" w14:textId="359A733A" w:rsidR="009B44F1" w:rsidRDefault="009B44F1" w:rsidP="00AD13D3">
            <w:pPr>
              <w:pStyle w:val="BodyText"/>
              <w:jc w:val="center"/>
            </w:pPr>
            <w:r>
              <w:lastRenderedPageBreak/>
              <w:t>Over $</w:t>
            </w:r>
            <w:r w:rsidRPr="003D5EB0">
              <w:t>75</w:t>
            </w:r>
            <w:r>
              <w:t>,000,000 to $</w:t>
            </w:r>
            <w:r w:rsidRPr="003D5EB0">
              <w:t>90</w:t>
            </w:r>
            <w:r>
              <w:t>,000,000</w:t>
            </w:r>
          </w:p>
        </w:tc>
        <w:tc>
          <w:tcPr>
            <w:tcW w:w="1238" w:type="pct"/>
            <w:vAlign w:val="center"/>
          </w:tcPr>
          <w:p w14:paraId="308CAB75" w14:textId="77777777" w:rsidR="009B44F1" w:rsidRDefault="009B44F1" w:rsidP="00AD13D3">
            <w:pPr>
              <w:pStyle w:val="BodyText"/>
              <w:jc w:val="center"/>
            </w:pPr>
            <w:r>
              <w:t>14</w:t>
            </w:r>
          </w:p>
        </w:tc>
      </w:tr>
      <w:tr w:rsidR="009B44F1" w14:paraId="79309B71" w14:textId="77777777" w:rsidTr="00A26973">
        <w:tblPrEx>
          <w:jc w:val="left"/>
        </w:tblPrEx>
        <w:tc>
          <w:tcPr>
            <w:tcW w:w="3762" w:type="pct"/>
            <w:vAlign w:val="center"/>
          </w:tcPr>
          <w:p w14:paraId="05E238D3" w14:textId="0C516459" w:rsidR="009B44F1" w:rsidRDefault="009B44F1" w:rsidP="00AD13D3">
            <w:pPr>
              <w:pStyle w:val="BodyText"/>
              <w:jc w:val="center"/>
            </w:pPr>
            <w:r>
              <w:t>Over $</w:t>
            </w:r>
            <w:r w:rsidRPr="003D5EB0">
              <w:t>90</w:t>
            </w:r>
            <w:r>
              <w:t>,000,000 to $</w:t>
            </w:r>
            <w:r w:rsidRPr="003D5EB0">
              <w:t>100</w:t>
            </w:r>
            <w:r>
              <w:t>,000,000</w:t>
            </w:r>
          </w:p>
        </w:tc>
        <w:tc>
          <w:tcPr>
            <w:tcW w:w="1238" w:type="pct"/>
            <w:vAlign w:val="center"/>
          </w:tcPr>
          <w:p w14:paraId="52AAB00C" w14:textId="77777777" w:rsidR="009B44F1" w:rsidRDefault="009B44F1" w:rsidP="00AD13D3">
            <w:pPr>
              <w:pStyle w:val="BodyText"/>
              <w:jc w:val="center"/>
            </w:pPr>
            <w:r>
              <w:t>15</w:t>
            </w:r>
          </w:p>
        </w:tc>
      </w:tr>
      <w:tr w:rsidR="009B44F1" w14:paraId="4FC6AE0A" w14:textId="77777777" w:rsidTr="00A26973">
        <w:tblPrEx>
          <w:jc w:val="left"/>
        </w:tblPrEx>
        <w:tc>
          <w:tcPr>
            <w:tcW w:w="3762" w:type="pct"/>
            <w:vAlign w:val="center"/>
          </w:tcPr>
          <w:p w14:paraId="1548572B" w14:textId="32396E47" w:rsidR="009B44F1" w:rsidRDefault="009B44F1" w:rsidP="00AD13D3">
            <w:pPr>
              <w:pStyle w:val="BodyText"/>
              <w:jc w:val="center"/>
            </w:pPr>
            <w:r>
              <w:t>Over $</w:t>
            </w:r>
            <w:r w:rsidRPr="003D5EB0">
              <w:t>100</w:t>
            </w:r>
            <w:r>
              <w:t>,000,000 to $</w:t>
            </w:r>
            <w:r w:rsidRPr="003D5EB0">
              <w:t>125</w:t>
            </w:r>
            <w:r>
              <w:t>,000,000</w:t>
            </w:r>
          </w:p>
        </w:tc>
        <w:tc>
          <w:tcPr>
            <w:tcW w:w="1238" w:type="pct"/>
            <w:vAlign w:val="center"/>
          </w:tcPr>
          <w:p w14:paraId="1344C1AC" w14:textId="77777777" w:rsidR="009B44F1" w:rsidRDefault="009B44F1" w:rsidP="00AD13D3">
            <w:pPr>
              <w:pStyle w:val="BodyText"/>
              <w:jc w:val="center"/>
            </w:pPr>
            <w:r>
              <w:t>17</w:t>
            </w:r>
          </w:p>
        </w:tc>
      </w:tr>
      <w:tr w:rsidR="009B44F1" w14:paraId="31DCF497" w14:textId="77777777" w:rsidTr="00A26973">
        <w:tblPrEx>
          <w:jc w:val="left"/>
        </w:tblPrEx>
        <w:tc>
          <w:tcPr>
            <w:tcW w:w="3762" w:type="pct"/>
            <w:vAlign w:val="center"/>
          </w:tcPr>
          <w:p w14:paraId="4BF2EFCB" w14:textId="51EFC47B" w:rsidR="009B44F1" w:rsidRDefault="009B44F1" w:rsidP="00AD13D3">
            <w:pPr>
              <w:pStyle w:val="BodyText"/>
              <w:jc w:val="center"/>
            </w:pPr>
            <w:r>
              <w:t>Over $</w:t>
            </w:r>
            <w:r w:rsidRPr="003D5EB0">
              <w:t>125</w:t>
            </w:r>
            <w:r>
              <w:t>,000,000 to $</w:t>
            </w:r>
            <w:r w:rsidRPr="003D5EB0">
              <w:t>150</w:t>
            </w:r>
            <w:r>
              <w:t>,000,000</w:t>
            </w:r>
          </w:p>
        </w:tc>
        <w:tc>
          <w:tcPr>
            <w:tcW w:w="1238" w:type="pct"/>
            <w:vAlign w:val="center"/>
          </w:tcPr>
          <w:p w14:paraId="41E60F12" w14:textId="77777777" w:rsidR="009B44F1" w:rsidRDefault="009B44F1" w:rsidP="00AD13D3">
            <w:pPr>
              <w:pStyle w:val="BodyText"/>
              <w:jc w:val="center"/>
            </w:pPr>
            <w:r>
              <w:t>20</w:t>
            </w:r>
          </w:p>
        </w:tc>
      </w:tr>
      <w:tr w:rsidR="009B44F1" w14:paraId="579FB27A" w14:textId="77777777" w:rsidTr="00A26973">
        <w:tblPrEx>
          <w:jc w:val="left"/>
        </w:tblPrEx>
        <w:tc>
          <w:tcPr>
            <w:tcW w:w="3762" w:type="pct"/>
            <w:vAlign w:val="center"/>
          </w:tcPr>
          <w:p w14:paraId="3AA7AEC1" w14:textId="31E332AB" w:rsidR="009B44F1" w:rsidRDefault="009B44F1" w:rsidP="00AD13D3">
            <w:pPr>
              <w:pStyle w:val="BodyText"/>
              <w:jc w:val="center"/>
            </w:pPr>
            <w:r>
              <w:t>Over $</w:t>
            </w:r>
            <w:r w:rsidRPr="003D5EB0">
              <w:t>150</w:t>
            </w:r>
            <w:r>
              <w:t>,000,000 to $</w:t>
            </w:r>
            <w:r w:rsidRPr="003D5EB0">
              <w:t>175</w:t>
            </w:r>
            <w:r>
              <w:t>,000,000</w:t>
            </w:r>
          </w:p>
        </w:tc>
        <w:tc>
          <w:tcPr>
            <w:tcW w:w="1238" w:type="pct"/>
            <w:vAlign w:val="center"/>
          </w:tcPr>
          <w:p w14:paraId="4DE7FB47" w14:textId="77777777" w:rsidR="009B44F1" w:rsidRDefault="009B44F1" w:rsidP="00AD13D3">
            <w:pPr>
              <w:pStyle w:val="BodyText"/>
              <w:jc w:val="center"/>
            </w:pPr>
            <w:r>
              <w:t>22</w:t>
            </w:r>
          </w:p>
        </w:tc>
      </w:tr>
      <w:tr w:rsidR="009B44F1" w14:paraId="6775194A" w14:textId="77777777" w:rsidTr="00A26973">
        <w:tblPrEx>
          <w:jc w:val="left"/>
        </w:tblPrEx>
        <w:tc>
          <w:tcPr>
            <w:tcW w:w="3762" w:type="pct"/>
            <w:vAlign w:val="center"/>
          </w:tcPr>
          <w:p w14:paraId="72161BB2" w14:textId="618AFBC4" w:rsidR="009B44F1" w:rsidRDefault="009B44F1" w:rsidP="00AD13D3">
            <w:pPr>
              <w:pStyle w:val="BodyText"/>
              <w:jc w:val="center"/>
            </w:pPr>
            <w:r>
              <w:t>Over $</w:t>
            </w:r>
            <w:r w:rsidRPr="003D5EB0">
              <w:t>175</w:t>
            </w:r>
            <w:r>
              <w:t>,000,000 to $</w:t>
            </w:r>
            <w:r w:rsidRPr="003D5EB0">
              <w:t>200</w:t>
            </w:r>
            <w:r>
              <w:t>,000,000</w:t>
            </w:r>
          </w:p>
        </w:tc>
        <w:tc>
          <w:tcPr>
            <w:tcW w:w="1238" w:type="pct"/>
            <w:vAlign w:val="center"/>
          </w:tcPr>
          <w:p w14:paraId="553182D5" w14:textId="77777777" w:rsidR="009B44F1" w:rsidRDefault="009B44F1" w:rsidP="00AD13D3">
            <w:pPr>
              <w:pStyle w:val="BodyText"/>
              <w:jc w:val="center"/>
            </w:pPr>
            <w:r>
              <w:t>25</w:t>
            </w:r>
          </w:p>
        </w:tc>
      </w:tr>
      <w:tr w:rsidR="009B44F1" w14:paraId="0C73692D" w14:textId="77777777" w:rsidTr="00AD13D3">
        <w:tblPrEx>
          <w:jc w:val="left"/>
        </w:tblPrEx>
        <w:tc>
          <w:tcPr>
            <w:tcW w:w="5000" w:type="pct"/>
            <w:gridSpan w:val="2"/>
            <w:vAlign w:val="center"/>
          </w:tcPr>
          <w:p w14:paraId="6DD7D781" w14:textId="169CA254" w:rsidR="009B44F1" w:rsidRPr="00EA1F24" w:rsidRDefault="009B44F1" w:rsidP="00AD13D3">
            <w:pPr>
              <w:pStyle w:val="BodyText"/>
              <w:rPr>
                <w:sz w:val="18"/>
              </w:rPr>
            </w:pPr>
            <w:r w:rsidRPr="00A26973">
              <w:rPr>
                <w:sz w:val="18"/>
              </w:rPr>
              <w:t>Over $200,000,000</w:t>
            </w:r>
            <w:r w:rsidRPr="00EA1F24">
              <w:rPr>
                <w:sz w:val="18"/>
              </w:rPr>
              <w:t>* One additional trainee per $</w:t>
            </w:r>
            <w:r w:rsidRPr="00A26973">
              <w:rPr>
                <w:sz w:val="18"/>
              </w:rPr>
              <w:t>10</w:t>
            </w:r>
            <w:r w:rsidRPr="00EA1F24">
              <w:rPr>
                <w:sz w:val="18"/>
              </w:rPr>
              <w:t xml:space="preserve">,000,000 </w:t>
            </w:r>
            <w:r w:rsidRPr="00A26973">
              <w:rPr>
                <w:sz w:val="18"/>
              </w:rPr>
              <w:t>additional</w:t>
            </w:r>
            <w:r w:rsidRPr="00EA1F24">
              <w:rPr>
                <w:sz w:val="18"/>
              </w:rPr>
              <w:t xml:space="preserve"> Construction Contract amount </w:t>
            </w:r>
          </w:p>
        </w:tc>
      </w:tr>
    </w:tbl>
    <w:p w14:paraId="429699D2" w14:textId="77777777" w:rsidR="009B44F1" w:rsidRDefault="009B44F1" w:rsidP="009B44F1">
      <w:pPr>
        <w:pStyle w:val="BodyText"/>
      </w:pPr>
    </w:p>
    <w:p w14:paraId="3AFF8DC2" w14:textId="039C3301" w:rsidR="009B44F1" w:rsidRDefault="009B44F1" w:rsidP="009B44F1">
      <w:pPr>
        <w:pStyle w:val="BodyText"/>
      </w:pPr>
      <w:r>
        <w:tab/>
        <w:t xml:space="preserve">Training and upgrading of </w:t>
      </w:r>
      <w:r>
        <w:rPr>
          <w:rFonts w:eastAsia="Calibri"/>
        </w:rPr>
        <w:t>minority</w:t>
      </w:r>
      <w:r w:rsidRPr="003D5EB0">
        <w:rPr>
          <w:rFonts w:eastAsia="Calibri"/>
        </w:rPr>
        <w:t xml:space="preserve">, </w:t>
      </w:r>
      <w:r>
        <w:rPr>
          <w:rFonts w:eastAsia="Calibri"/>
        </w:rPr>
        <w:t>nonminority</w:t>
      </w:r>
      <w:r>
        <w:t>, women</w:t>
      </w:r>
      <w:r w:rsidRPr="003D5EB0">
        <w:rPr>
          <w:rFonts w:eastAsia="Calibri"/>
        </w:rPr>
        <w:t>,</w:t>
      </w:r>
      <w:r>
        <w:t xml:space="preserve"> and </w:t>
      </w:r>
      <w:proofErr w:type="gramStart"/>
      <w:r>
        <w:t>economically disadvantaged</w:t>
      </w:r>
      <w:proofErr w:type="gramEnd"/>
      <w:r>
        <w:t xml:space="preserve"> persons toward journeyman status is a primary objective of this Section. Accordingly, by conducting systematic and direct recruitment through public and private sources likely to yield minorit</w:t>
      </w:r>
      <w:r>
        <w:rPr>
          <w:rFonts w:eastAsia="Calibri"/>
        </w:rPr>
        <w:t>ies</w:t>
      </w:r>
      <w:r>
        <w:t xml:space="preserve"> and women trainees </w:t>
      </w:r>
      <w:r w:rsidRPr="003D5EB0">
        <w:rPr>
          <w:rFonts w:eastAsia="Calibri"/>
        </w:rPr>
        <w:t>the Contractor shall make every effort to enroll candidates</w:t>
      </w:r>
      <w:r>
        <w:t xml:space="preserve"> to the extent such</w:t>
      </w:r>
      <w:r w:rsidRPr="000E433A">
        <w:rPr>
          <w:rFonts w:eastAsia="Calibri"/>
        </w:rPr>
        <w:t xml:space="preserve"> </w:t>
      </w:r>
      <w:r w:rsidRPr="003D5EB0">
        <w:rPr>
          <w:rFonts w:eastAsia="Calibri"/>
        </w:rPr>
        <w:t>individuals</w:t>
      </w:r>
      <w:r>
        <w:t xml:space="preserve"> are </w:t>
      </w:r>
      <w:r w:rsidRPr="003D5EB0">
        <w:rPr>
          <w:rFonts w:eastAsia="Calibri"/>
        </w:rPr>
        <w:t xml:space="preserve">located </w:t>
      </w:r>
      <w:r>
        <w:rPr>
          <w:rFonts w:eastAsia="Calibri"/>
        </w:rPr>
        <w:t xml:space="preserve">and </w:t>
      </w:r>
      <w:r>
        <w:t xml:space="preserve">available within a reasonable area of recruitment. This training is not intended, and shall not be used, to discriminate against any applicant </w:t>
      </w:r>
      <w:r>
        <w:rPr>
          <w:rFonts w:eastAsia="Calibri"/>
        </w:rPr>
        <w:t>or prevent</w:t>
      </w:r>
      <w:r w:rsidRPr="003D5EB0">
        <w:rPr>
          <w:rFonts w:eastAsia="Calibri"/>
        </w:rPr>
        <w:t xml:space="preserve"> access of</w:t>
      </w:r>
      <w:r>
        <w:t xml:space="preserve">, whether minority, </w:t>
      </w:r>
      <w:r w:rsidRPr="003D5EB0">
        <w:rPr>
          <w:rFonts w:eastAsia="Calibri"/>
        </w:rPr>
        <w:t xml:space="preserve">nonminority, </w:t>
      </w:r>
      <w:r>
        <w:t>woman</w:t>
      </w:r>
      <w:r w:rsidRPr="003D5EB0">
        <w:rPr>
          <w:rFonts w:eastAsia="Calibri"/>
        </w:rPr>
        <w:t>,</w:t>
      </w:r>
      <w:r>
        <w:t xml:space="preserve"> or </w:t>
      </w:r>
      <w:r w:rsidRPr="003D5EB0">
        <w:rPr>
          <w:rFonts w:eastAsia="Calibri"/>
        </w:rPr>
        <w:t xml:space="preserve">persons </w:t>
      </w:r>
      <w:r>
        <w:rPr>
          <w:rFonts w:eastAsia="Calibri"/>
        </w:rPr>
        <w:t xml:space="preserve">believed </w:t>
      </w:r>
      <w:proofErr w:type="gramStart"/>
      <w:r w:rsidRPr="003D5EB0">
        <w:rPr>
          <w:rFonts w:eastAsia="Calibri"/>
        </w:rPr>
        <w:t xml:space="preserve">economically </w:t>
      </w:r>
      <w:r>
        <w:t>disadvantaged</w:t>
      </w:r>
      <w:proofErr w:type="gramEnd"/>
      <w:r>
        <w:t>.</w:t>
      </w:r>
    </w:p>
    <w:p w14:paraId="56D3F89D" w14:textId="0D72C21B" w:rsidR="009B44F1" w:rsidRDefault="009B44F1" w:rsidP="009B44F1">
      <w:pPr>
        <w:pStyle w:val="BodyText"/>
      </w:pPr>
      <w:r>
        <w:tab/>
        <w:t xml:space="preserve">The </w:t>
      </w:r>
      <w:r w:rsidRPr="003D5EB0">
        <w:t>intent</w:t>
      </w:r>
      <w:r>
        <w:t xml:space="preserve"> of these provisions </w:t>
      </w:r>
      <w:r w:rsidRPr="003D5EB0">
        <w:t>is to provide</w:t>
      </w:r>
      <w:r>
        <w:t xml:space="preserve"> training in construction crafts rather than </w:t>
      </w:r>
      <w:r w:rsidRPr="00FA2251">
        <w:t>clerical</w:t>
      </w:r>
      <w:r>
        <w:t xml:space="preserve"> type positions. Training is permissible in lower</w:t>
      </w:r>
      <w:r w:rsidRPr="003D5EB0">
        <w:t>-</w:t>
      </w:r>
      <w:r>
        <w:t xml:space="preserve">level management positions such as </w:t>
      </w:r>
      <w:r w:rsidRPr="003D5EB0">
        <w:t>Office Engineers, Estimators</w:t>
      </w:r>
      <w:r>
        <w:t xml:space="preserve"> etc., where the training is oriented toward construction applications. Training in the laborer classifications, </w:t>
      </w:r>
      <w:r w:rsidRPr="0012730A">
        <w:t xml:space="preserve">except </w:t>
      </w:r>
      <w:r w:rsidRPr="00023400">
        <w:t>C</w:t>
      </w:r>
      <w:r w:rsidRPr="0012730A">
        <w:t>ommon</w:t>
      </w:r>
      <w:r w:rsidRPr="00A4020D">
        <w:t xml:space="preserve"> </w:t>
      </w:r>
      <w:r w:rsidRPr="003D5EB0">
        <w:t xml:space="preserve">or </w:t>
      </w:r>
      <w:r w:rsidRPr="00023400">
        <w:t>G</w:t>
      </w:r>
      <w:r w:rsidRPr="0012730A">
        <w:t xml:space="preserve">eneral </w:t>
      </w:r>
      <w:r w:rsidRPr="00023400">
        <w:t>L</w:t>
      </w:r>
      <w:r w:rsidRPr="0012730A">
        <w:t>aborer</w:t>
      </w:r>
      <w:r>
        <w:t>, may be permitted provided that significant and meaningful training</w:t>
      </w:r>
      <w:r w:rsidRPr="00A4020D">
        <w:t xml:space="preserve"> </w:t>
      </w:r>
      <w:r w:rsidRPr="003D5EB0">
        <w:t>plan</w:t>
      </w:r>
      <w:r>
        <w:t xml:space="preserve"> is provided and approved by the District Contract Compliance </w:t>
      </w:r>
      <w:r w:rsidRPr="003D5EB0">
        <w:t>Manager. Training as a Helper for any position, Rodman/Chainman, and Timekeeper classifications will not be approved for the On-The-Job Training Program.</w:t>
      </w:r>
    </w:p>
    <w:p w14:paraId="1CF57F65" w14:textId="77777777" w:rsidR="009B44F1" w:rsidRPr="003D5EB0" w:rsidRDefault="009B44F1" w:rsidP="00A26973">
      <w:pPr>
        <w:pStyle w:val="BodyText"/>
      </w:pPr>
      <w:r w:rsidRPr="003D5EB0">
        <w:tab/>
        <w:t>The Contractor may incorporate the requirements of this Section, including responsibility for training a portion of trainees, in any such subcontract maintaining continued primary responsibility and satisfaction of requirements imposed by this Section.</w:t>
      </w:r>
    </w:p>
    <w:p w14:paraId="11250FCC" w14:textId="77777777" w:rsidR="009B44F1" w:rsidRPr="003D5EB0" w:rsidRDefault="009B44F1" w:rsidP="00A26973">
      <w:pPr>
        <w:pStyle w:val="BodyText"/>
      </w:pPr>
      <w:r w:rsidRPr="003D5EB0">
        <w:tab/>
        <w:t xml:space="preserve">The Department and the Contractor shall establish a training program which is tied to construction scope of work, length of operations, and satisfy all equal employment opportunity obligations of the Contractor. Other additionally recognized apprenticeship or training programs may be considered acceptable provided </w:t>
      </w:r>
      <w:r>
        <w:t xml:space="preserve">those are </w:t>
      </w:r>
      <w:r w:rsidRPr="003D5EB0">
        <w:t xml:space="preserve">being administered in a manner consistent with the equal employment </w:t>
      </w:r>
      <w:bookmarkStart w:id="27" w:name="_Hlk140823283"/>
      <w:r w:rsidRPr="003D5EB0">
        <w:t xml:space="preserve">obligations of Federal-aid Highway Construction </w:t>
      </w:r>
      <w:bookmarkStart w:id="28" w:name="_Hlk140823317"/>
      <w:bookmarkEnd w:id="27"/>
      <w:r w:rsidRPr="003D5EB0">
        <w:t>C</w:t>
      </w:r>
      <w:bookmarkEnd w:id="28"/>
      <w:r w:rsidRPr="003D5EB0">
        <w:t>ontracts. Approval or acceptance of a training schedule shall be obtained from the Department prior to commencing work with classifications covered by such programs.</w:t>
      </w:r>
    </w:p>
    <w:p w14:paraId="55DBD13C" w14:textId="77777777" w:rsidR="009B44F1" w:rsidRPr="003D5EB0" w:rsidRDefault="009B44F1" w:rsidP="00A26973">
      <w:pPr>
        <w:pStyle w:val="BodyText"/>
      </w:pPr>
      <w:r w:rsidRPr="003D5EB0">
        <w:tab/>
        <w:t xml:space="preserve">The Department and Contractor shall determine the training goal, classification types and minimum total hours needed during the Trainee Evaluation Meeting. An On-the-Job Training Schedule indicating </w:t>
      </w:r>
      <w:proofErr w:type="gramStart"/>
      <w:r w:rsidRPr="003D5EB0">
        <w:t>number</w:t>
      </w:r>
      <w:proofErr w:type="gramEnd"/>
      <w:r w:rsidRPr="003D5EB0">
        <w:t xml:space="preserve"> of training candidates and appropriate Proficiency Standards for each classification must be submitted by the Contractor within ten days after the meeting for approval by the Department.</w:t>
      </w:r>
    </w:p>
    <w:p w14:paraId="6CF6D99D" w14:textId="77777777" w:rsidR="009B44F1" w:rsidRPr="003D5EB0" w:rsidRDefault="009B44F1" w:rsidP="00A26973">
      <w:pPr>
        <w:pStyle w:val="BodyText"/>
      </w:pPr>
      <w:r w:rsidRPr="003D5EB0">
        <w:tab/>
        <w:t>This schedule may be subject to change and a revised schedule shall be submitted for approval by the Department if any of the following occur:</w:t>
      </w:r>
    </w:p>
    <w:p w14:paraId="55074EAD" w14:textId="77777777" w:rsidR="009B44F1" w:rsidRPr="003D5EB0" w:rsidRDefault="009B44F1" w:rsidP="00A26973">
      <w:pPr>
        <w:pStyle w:val="BodyText"/>
      </w:pPr>
      <w:r w:rsidRPr="003D5EB0">
        <w:t>Start date on the approved On-The-Job Training Schedule or Plan has been missed by 14 or more days.</w:t>
      </w:r>
    </w:p>
    <w:p w14:paraId="14621965" w14:textId="77777777" w:rsidR="009B44F1" w:rsidRPr="003D5EB0" w:rsidRDefault="009B44F1" w:rsidP="00A26973">
      <w:pPr>
        <w:pStyle w:val="BodyText"/>
      </w:pPr>
      <w:r w:rsidRPr="003D5EB0">
        <w:lastRenderedPageBreak/>
        <w:tab/>
      </w:r>
      <w:r w:rsidRPr="003D5EB0">
        <w:tab/>
        <w:t>1.</w:t>
      </w:r>
      <w:r>
        <w:t xml:space="preserve"> </w:t>
      </w:r>
      <w:r w:rsidRPr="003D5EB0">
        <w:t>Start date on the approved On-The-Job Training Schedule or Plan is accelerated to commence earlier than 14 or more days.</w:t>
      </w:r>
    </w:p>
    <w:p w14:paraId="1274E34E" w14:textId="77777777" w:rsidR="009B44F1" w:rsidRPr="003D5EB0" w:rsidRDefault="009B44F1" w:rsidP="00A26973">
      <w:pPr>
        <w:pStyle w:val="BodyText"/>
      </w:pPr>
      <w:r w:rsidRPr="003D5EB0">
        <w:tab/>
      </w:r>
      <w:r w:rsidRPr="003D5EB0">
        <w:tab/>
      </w:r>
      <w:r>
        <w:t>2</w:t>
      </w:r>
      <w:r w:rsidRPr="003D5EB0">
        <w:t>.</w:t>
      </w:r>
      <w:r>
        <w:t xml:space="preserve"> </w:t>
      </w:r>
      <w:r w:rsidRPr="003D5EB0">
        <w:t>A change in previously approved classifications.</w:t>
      </w:r>
    </w:p>
    <w:p w14:paraId="2940CFE0" w14:textId="4A7BB1F3" w:rsidR="009B44F1" w:rsidRPr="003D5EB0" w:rsidRDefault="009B44F1" w:rsidP="00A26973">
      <w:pPr>
        <w:pStyle w:val="BodyText"/>
      </w:pPr>
      <w:r w:rsidRPr="003D5EB0">
        <w:tab/>
      </w:r>
      <w:r w:rsidRPr="003D5EB0">
        <w:tab/>
      </w:r>
      <w:r>
        <w:t>3</w:t>
      </w:r>
      <w:r w:rsidRPr="003D5EB0">
        <w:t>.</w:t>
      </w:r>
      <w:r w:rsidRPr="00A4020D" w:rsidDel="00612B22">
        <w:t xml:space="preserve"> </w:t>
      </w:r>
      <w:r w:rsidRPr="003D5EB0">
        <w:t>Replacement trainees are added due to voluntary or involuntary termination.</w:t>
      </w:r>
    </w:p>
    <w:p w14:paraId="6E251F39" w14:textId="5EAAEB5A" w:rsidR="009B44F1" w:rsidRPr="003D5EB0" w:rsidRDefault="009B44F1" w:rsidP="00A26973">
      <w:pPr>
        <w:pStyle w:val="BodyText"/>
      </w:pPr>
      <w:r w:rsidRPr="003D5EB0">
        <w:tab/>
        <w:t>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t xml:space="preserve"> </w:t>
      </w:r>
      <w:r w:rsidRPr="003D5EB0">
        <w:t>Regardless of the method used, the Contractor’s records should document the findings in each case. The Department will gather additional information regarding the proposed Candidates’ previous work experience, training</w:t>
      </w:r>
      <w:r>
        <w:t>,</w:t>
      </w:r>
      <w:r w:rsidRPr="003D5EB0">
        <w:t xml:space="preserve"> as well as understanding of the On-the-Job Program and Proficiency Standards established for the classification.</w:t>
      </w:r>
    </w:p>
    <w:p w14:paraId="212BD002" w14:textId="77777777" w:rsidR="009B44F1" w:rsidRPr="003D5EB0" w:rsidRDefault="009B44F1" w:rsidP="00A26973">
      <w:pPr>
        <w:pStyle w:val="BodyText"/>
      </w:pPr>
      <w:r w:rsidRPr="003D5EB0">
        <w:tab/>
      </w:r>
      <w:bookmarkStart w:id="29" w:name="_Hlk140823476"/>
      <w:r w:rsidRPr="003D5EB0">
        <w:t>The Trainee Enrollment and Notification of Personnel Action form is to be submitted fourteen days prior to the requested enrollment date. To be considered for enrollment, the proposed trainee candidate must meet the following criteria:</w:t>
      </w:r>
    </w:p>
    <w:p w14:paraId="28D7B1C6" w14:textId="77777777" w:rsidR="009B44F1" w:rsidRPr="003D5EB0" w:rsidRDefault="009B44F1" w:rsidP="00A26973">
      <w:pPr>
        <w:pStyle w:val="BodyText"/>
      </w:pPr>
      <w:r w:rsidRPr="003D5EB0">
        <w:tab/>
      </w:r>
      <w:r w:rsidRPr="003D5EB0">
        <w:tab/>
        <w:t>1.</w:t>
      </w:r>
      <w:r>
        <w:t xml:space="preserve"> </w:t>
      </w:r>
      <w:r w:rsidRPr="003D5EB0">
        <w:t>The candidate did not successfully complete a training course leading to journeyman status for the proposed classification.</w:t>
      </w:r>
    </w:p>
    <w:p w14:paraId="75CBB29F" w14:textId="77777777" w:rsidR="009B44F1" w:rsidRPr="003D5EB0" w:rsidRDefault="009B44F1" w:rsidP="00A26973">
      <w:pPr>
        <w:pStyle w:val="BodyText"/>
      </w:pPr>
      <w:r w:rsidRPr="003D5EB0">
        <w:tab/>
      </w:r>
      <w:r w:rsidRPr="003D5EB0">
        <w:tab/>
      </w:r>
      <w:r>
        <w:t>2</w:t>
      </w:r>
      <w:r w:rsidRPr="003D5EB0">
        <w:t>.The candidate did not gain sufficient experience by working in the proposed classification.</w:t>
      </w:r>
    </w:p>
    <w:p w14:paraId="229078B9" w14:textId="77777777" w:rsidR="009B44F1" w:rsidRPr="003D5EB0" w:rsidRDefault="009B44F1" w:rsidP="00A26973">
      <w:pPr>
        <w:pStyle w:val="BodyText"/>
      </w:pPr>
      <w:r w:rsidRPr="003D5EB0">
        <w:tab/>
      </w:r>
      <w:r w:rsidRPr="003D5EB0">
        <w:tab/>
      </w:r>
      <w:r>
        <w:t>3</w:t>
      </w:r>
      <w:r w:rsidRPr="003D5EB0">
        <w:t>.</w:t>
      </w:r>
      <w:r>
        <w:t xml:space="preserve"> </w:t>
      </w:r>
      <w:r w:rsidRPr="003D5EB0">
        <w:t>The candidate was not hired as a journeyman in the proposed classification.</w:t>
      </w:r>
    </w:p>
    <w:p w14:paraId="1B740788" w14:textId="77777777" w:rsidR="009B44F1" w:rsidRPr="003D5EB0" w:rsidRDefault="009B44F1" w:rsidP="00A26973">
      <w:pPr>
        <w:pStyle w:val="BodyText"/>
      </w:pPr>
      <w:r w:rsidRPr="003D5EB0">
        <w:tab/>
      </w:r>
      <w:r w:rsidRPr="003D5EB0">
        <w:tab/>
      </w:r>
      <w:r>
        <w:t>4</w:t>
      </w:r>
      <w:r w:rsidRPr="003D5EB0">
        <w:t>.</w:t>
      </w:r>
      <w:r>
        <w:t xml:space="preserve"> </w:t>
      </w:r>
      <w:r w:rsidRPr="003D5EB0">
        <w:t>The candidate is not currently enrolled in the On-the-Job Program.</w:t>
      </w:r>
    </w:p>
    <w:bookmarkEnd w:id="29"/>
    <w:p w14:paraId="4D51BA55" w14:textId="48D77096" w:rsidR="009B44F1" w:rsidRDefault="009B44F1" w:rsidP="009B44F1">
      <w:pPr>
        <w:pStyle w:val="BodyText"/>
      </w:pPr>
      <w:r>
        <w:tab/>
        <w:t>The Contractor shall compensate the trainee at no less than the laborer rate established in the Contract at the</w:t>
      </w:r>
      <w:r w:rsidRPr="00F70610">
        <w:t xml:space="preserve"> </w:t>
      </w:r>
      <w:r w:rsidRPr="003D5EB0">
        <w:t>commencement</w:t>
      </w:r>
      <w:r>
        <w:t xml:space="preserve"> of training. The compensation rate will be increased to the journeyman’s wage upon graduation from the training program</w:t>
      </w:r>
      <w:r w:rsidRPr="00791A59">
        <w:t xml:space="preserve"> </w:t>
      </w:r>
      <w:r>
        <w:t xml:space="preserve">for the remainder of the time the trainee </w:t>
      </w:r>
      <w:r w:rsidRPr="003D5EB0">
        <w:t>graduate</w:t>
      </w:r>
      <w:r>
        <w:t xml:space="preserve"> works in the classification in which they were trained.</w:t>
      </w:r>
    </w:p>
    <w:p w14:paraId="5366251F" w14:textId="77777777" w:rsidR="009B44F1" w:rsidRPr="003D5EB0" w:rsidRDefault="009B44F1" w:rsidP="00A26973">
      <w:pPr>
        <w:pStyle w:val="BodyText"/>
      </w:pPr>
      <w:r>
        <w:tab/>
      </w:r>
      <w:r w:rsidRPr="003D5EB0">
        <w:t xml:space="preserve">If </w:t>
      </w:r>
      <w:proofErr w:type="gramStart"/>
      <w:r w:rsidRPr="003D5EB0">
        <w:t>an economically disadvantaged</w:t>
      </w:r>
      <w:proofErr w:type="gramEnd"/>
      <w:r w:rsidRPr="003D5EB0">
        <w:t xml:space="preserve"> non-minority </w:t>
      </w:r>
      <w:r w:rsidRPr="00A26973">
        <w:t>person</w:t>
      </w:r>
      <w:r w:rsidRPr="003D5EB0">
        <w:t xml:space="preserve"> is enrolled, such action shall be accompanied by a disadvantaged certification or a justification for such action acceptable to the Department. </w:t>
      </w:r>
      <w:r>
        <w:t>The Contractor</w:t>
      </w:r>
      <w:r w:rsidRPr="00F42B5F">
        <w:t xml:space="preserve"> </w:t>
      </w:r>
      <w:r w:rsidRPr="003D5EB0">
        <w:t xml:space="preserve">will be responsible </w:t>
      </w:r>
      <w:proofErr w:type="gramStart"/>
      <w:r w:rsidRPr="003D5EB0">
        <w:t>for</w:t>
      </w:r>
      <w:r>
        <w:t>,</w:t>
      </w:r>
      <w:r w:rsidRPr="003D5EB0">
        <w:t xml:space="preserve"> and</w:t>
      </w:r>
      <w:proofErr w:type="gramEnd"/>
      <w:r w:rsidRPr="003D5EB0">
        <w:t xml:space="preserve"> provided </w:t>
      </w:r>
      <w:r>
        <w:t xml:space="preserve">an </w:t>
      </w:r>
      <w:r w:rsidRPr="003D5EB0">
        <w:t xml:space="preserve">opportunity to </w:t>
      </w:r>
      <w:proofErr w:type="gramStart"/>
      <w:r w:rsidRPr="003D5EB0">
        <w:t>identify</w:t>
      </w:r>
      <w:proofErr w:type="gramEnd"/>
      <w:r w:rsidRPr="003D5EB0">
        <w:t xml:space="preserve"> actions and steps taken in pursuance thereof, prior to a determination of compliance with this Section </w:t>
      </w:r>
      <w:r>
        <w:t xml:space="preserve">being </w:t>
      </w:r>
      <w:r w:rsidRPr="003D5EB0">
        <w:t>assessed the Contractor.</w:t>
      </w:r>
    </w:p>
    <w:p w14:paraId="10AAF2BA" w14:textId="03D7DC82" w:rsidR="009B44F1" w:rsidRDefault="009B44F1" w:rsidP="009B44F1">
      <w:pPr>
        <w:pStyle w:val="BodyText"/>
      </w:pPr>
      <w:bookmarkStart w:id="30" w:name="_Hlk166152194"/>
      <w:r w:rsidRPr="003D5EB0">
        <w:tab/>
        <w:t>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30"/>
      <w:r>
        <w:t xml:space="preserve"> shall furnish the trainee a copy of the </w:t>
      </w:r>
      <w:r w:rsidRPr="003D5EB0">
        <w:t>scheduled</w:t>
      </w:r>
      <w:r>
        <w:t xml:space="preserve"> program they will follow </w:t>
      </w:r>
      <w:r w:rsidRPr="003D5EB0">
        <w:t>during</w:t>
      </w:r>
      <w:r>
        <w:t xml:space="preserve"> the</w:t>
      </w:r>
      <w:r w:rsidRPr="00F42B5F">
        <w:t xml:space="preserve"> </w:t>
      </w:r>
      <w:r w:rsidRPr="003D5EB0">
        <w:t>intended</w:t>
      </w:r>
      <w:r>
        <w:t xml:space="preserve"> training </w:t>
      </w:r>
      <w:r w:rsidRPr="003D5EB0">
        <w:t xml:space="preserve">period and upon completion, award </w:t>
      </w:r>
      <w:r>
        <w:t xml:space="preserve">certification </w:t>
      </w:r>
      <w:r w:rsidRPr="003D5EB0">
        <w:t>indicating</w:t>
      </w:r>
      <w:r>
        <w:t xml:space="preserve"> type and </w:t>
      </w:r>
      <w:r w:rsidRPr="003D5EB0">
        <w:t xml:space="preserve">total hours </w:t>
      </w:r>
      <w:r>
        <w:t xml:space="preserve">satisfactorily </w:t>
      </w:r>
      <w:r w:rsidRPr="003D5EB0">
        <w:t>achieved.</w:t>
      </w:r>
    </w:p>
    <w:p w14:paraId="092E8298" w14:textId="18926CD5" w:rsidR="009B44F1" w:rsidRDefault="009B44F1" w:rsidP="00A26973">
      <w:pPr>
        <w:pStyle w:val="BodyText"/>
      </w:pPr>
      <w:r>
        <w:tab/>
      </w:r>
      <w:r w:rsidRPr="004612AA">
        <w:t xml:space="preserve">To complete </w:t>
      </w:r>
      <w:proofErr w:type="gramStart"/>
      <w:r>
        <w:t xml:space="preserve">training </w:t>
      </w:r>
      <w:r w:rsidRPr="004612AA">
        <w:t>,</w:t>
      </w:r>
      <w:proofErr w:type="gramEnd"/>
      <w:r w:rsidRPr="004612AA">
        <w:t xml:space="preserve"> the transfer of trainees from project to project and from district to district is permitted. This includes transfers between multiple projects which could include non-FDOT government projects (City, County, etc.) provided there is the existence of an agreement to monitor the OJT Trainees in accordance with the OJT Program with the contractor, FDOT and other participating agencies. A</w:t>
      </w:r>
      <w:r>
        <w:t xml:space="preserve"> trainee </w:t>
      </w:r>
      <w:r w:rsidRPr="004612AA">
        <w:t>is only allowed to</w:t>
      </w:r>
      <w:r>
        <w:t xml:space="preserve"> be enrolled </w:t>
      </w:r>
      <w:r w:rsidRPr="004612AA">
        <w:t>on the original project.</w:t>
      </w:r>
    </w:p>
    <w:p w14:paraId="5854BD76" w14:textId="072B0BEB" w:rsidR="009B44F1" w:rsidRPr="003D5EB0" w:rsidRDefault="009B44F1" w:rsidP="00A26973">
      <w:pPr>
        <w:pStyle w:val="BodyText"/>
      </w:pPr>
      <w:r>
        <w:tab/>
        <w:t xml:space="preserve">The Contractor shall </w:t>
      </w:r>
      <w:r w:rsidRPr="003D5EB0">
        <w:t>generate,</w:t>
      </w:r>
      <w:r>
        <w:t xml:space="preserve"> </w:t>
      </w:r>
      <w:proofErr w:type="gramStart"/>
      <w:r>
        <w:t>maintain</w:t>
      </w:r>
      <w:proofErr w:type="gramEnd"/>
      <w:r>
        <w:t xml:space="preserve"> </w:t>
      </w:r>
      <w:r w:rsidRPr="003D5EB0">
        <w:t xml:space="preserve">and furnish the District Contract Compliance Manager </w:t>
      </w:r>
      <w:r>
        <w:t xml:space="preserve">with </w:t>
      </w:r>
      <w:r w:rsidRPr="003D5EB0">
        <w:t>the Monthly Time Report reflecting known training hours apart from other work hours performed by each individual</w:t>
      </w:r>
      <w:r>
        <w:t xml:space="preserve"> trainee as part of this Contract.</w:t>
      </w:r>
      <w:r w:rsidRPr="008D3051">
        <w:t xml:space="preserve"> </w:t>
      </w:r>
      <w:r w:rsidRPr="003D5EB0">
        <w:t>The report shall be submitted no later than the tenth day of the subsequent month and identify proficiency occurring.</w:t>
      </w:r>
    </w:p>
    <w:p w14:paraId="45F53334" w14:textId="77777777" w:rsidR="009B44F1" w:rsidRPr="003D5EB0" w:rsidRDefault="009B44F1" w:rsidP="00A26973">
      <w:pPr>
        <w:pStyle w:val="BodyText"/>
      </w:pPr>
      <w:r w:rsidRPr="003D5EB0">
        <w:tab/>
        <w:t>Graduation to journeyman status will be based upon satisfactory accomplishment of:</w:t>
      </w:r>
    </w:p>
    <w:p w14:paraId="6ABA3BD6" w14:textId="77777777" w:rsidR="009B44F1" w:rsidRPr="003D5EB0" w:rsidRDefault="009B44F1" w:rsidP="00A26973">
      <w:pPr>
        <w:pStyle w:val="BodyText"/>
      </w:pPr>
      <w:r w:rsidRPr="003D5EB0">
        <w:tab/>
      </w:r>
      <w:r w:rsidRPr="003D5EB0">
        <w:tab/>
        <w:t>1.</w:t>
      </w:r>
      <w:r>
        <w:t xml:space="preserve"> </w:t>
      </w:r>
      <w:r w:rsidRPr="003D5EB0">
        <w:t>Proficiency Demonstration being achieved upon conclusion of training as established for the specific training classification.</w:t>
      </w:r>
    </w:p>
    <w:p w14:paraId="05967ACE" w14:textId="77777777" w:rsidR="009B44F1" w:rsidRPr="003D5EB0" w:rsidRDefault="009B44F1" w:rsidP="00A26973">
      <w:pPr>
        <w:pStyle w:val="BodyText"/>
      </w:pPr>
      <w:r w:rsidRPr="003D5EB0">
        <w:lastRenderedPageBreak/>
        <w:tab/>
      </w:r>
      <w:r w:rsidRPr="003D5EB0">
        <w:tab/>
      </w:r>
      <w:r>
        <w:t>2</w:t>
      </w:r>
      <w:r w:rsidRPr="003D5EB0">
        <w:t>.</w:t>
      </w:r>
      <w:r>
        <w:t xml:space="preserve"> </w:t>
      </w:r>
      <w:r w:rsidRPr="003D5EB0">
        <w:t>Completion of the minimum hours in a training classification range.</w:t>
      </w:r>
    </w:p>
    <w:p w14:paraId="78F1E030" w14:textId="77777777" w:rsidR="009B44F1" w:rsidRPr="003D5EB0" w:rsidRDefault="009B44F1" w:rsidP="00A26973">
      <w:pPr>
        <w:pStyle w:val="BodyText"/>
      </w:pPr>
      <w:r w:rsidRPr="003D5EB0">
        <w:tab/>
      </w:r>
      <w:r w:rsidRPr="003D5EB0">
        <w:tab/>
      </w:r>
      <w:r>
        <w:t>3</w:t>
      </w:r>
      <w:r w:rsidRPr="003D5EB0">
        <w:t>.</w:t>
      </w:r>
      <w:r>
        <w:t xml:space="preserve"> </w:t>
      </w:r>
      <w:r w:rsidRPr="003D5EB0">
        <w:t>The employer’s satisfaction that the trainee does meet journeyman status in the classification of training.</w:t>
      </w:r>
    </w:p>
    <w:p w14:paraId="723289D8" w14:textId="77777777" w:rsidR="009B44F1" w:rsidRPr="003D5EB0" w:rsidRDefault="009B44F1" w:rsidP="00A26973">
      <w:pPr>
        <w:pStyle w:val="BodyText"/>
      </w:pPr>
      <w:r w:rsidRPr="003D5EB0">
        <w:tab/>
        <w:t>The Contractor shall furnish the following documentation to the Department within seven days of successfully demonstrating proficiency:</w:t>
      </w:r>
    </w:p>
    <w:p w14:paraId="17DF1FC7" w14:textId="77777777" w:rsidR="009B44F1" w:rsidRPr="003D5EB0" w:rsidRDefault="009B44F1" w:rsidP="00A26973">
      <w:pPr>
        <w:pStyle w:val="BodyText"/>
      </w:pPr>
      <w:r w:rsidRPr="003D5EB0">
        <w:tab/>
      </w:r>
      <w:r w:rsidRPr="003D5EB0">
        <w:tab/>
        <w:t>1.</w:t>
      </w:r>
      <w:r>
        <w:t xml:space="preserve"> </w:t>
      </w:r>
      <w:r w:rsidRPr="003D5EB0">
        <w:t xml:space="preserve">Trainee Enrollment and Notification of Personnel Action </w:t>
      </w:r>
      <w:r w:rsidRPr="003D5EB0">
        <w:rPr>
          <w:color w:val="000000"/>
        </w:rPr>
        <w:t>form.</w:t>
      </w:r>
    </w:p>
    <w:p w14:paraId="65D2D5F4" w14:textId="77777777" w:rsidR="009B44F1" w:rsidRPr="003D5EB0" w:rsidRDefault="009B44F1" w:rsidP="00A26973">
      <w:pPr>
        <w:pStyle w:val="BodyText"/>
      </w:pPr>
      <w:r w:rsidRPr="003D5EB0">
        <w:tab/>
      </w:r>
      <w:r w:rsidRPr="003D5EB0">
        <w:tab/>
      </w:r>
      <w:r>
        <w:t>2</w:t>
      </w:r>
      <w:r w:rsidRPr="003D5EB0">
        <w:t>.</w:t>
      </w:r>
      <w:r>
        <w:t xml:space="preserve"> </w:t>
      </w:r>
      <w:r w:rsidRPr="003D5EB0">
        <w:t>Proficiency Demonstration Verification Form signed by representatives of both the Contractor and the Department as well as the trainee indicating successful completion of each Proficiency Standard established for the classification.</w:t>
      </w:r>
    </w:p>
    <w:p w14:paraId="6466E87A" w14:textId="7CD7C321" w:rsidR="009B44F1" w:rsidRDefault="009B44F1" w:rsidP="009B44F1">
      <w:pPr>
        <w:pStyle w:val="BodyText"/>
      </w:pPr>
      <w:r>
        <w:tab/>
        <w:t xml:space="preserve">The Contractor shall submit to the </w:t>
      </w:r>
      <w:r w:rsidRPr="003D5EB0">
        <w:rPr>
          <w:rFonts w:eastAsia="Calibri"/>
        </w:rPr>
        <w:t>Department</w:t>
      </w:r>
      <w:r>
        <w:t xml:space="preserve"> a copy of </w:t>
      </w:r>
      <w:r w:rsidRPr="003D5EB0">
        <w:rPr>
          <w:rFonts w:eastAsia="Calibri"/>
        </w:rPr>
        <w:t xml:space="preserve">the Trainee Enrollment and </w:t>
      </w:r>
      <w:r>
        <w:t xml:space="preserve">Notification of Personnel Action form no later than seven days after the effective date when the </w:t>
      </w:r>
      <w:r w:rsidRPr="003D5EB0">
        <w:rPr>
          <w:rFonts w:eastAsia="Calibri"/>
        </w:rPr>
        <w:t xml:space="preserve">candidate is voluntarily </w:t>
      </w:r>
      <w:r>
        <w:t xml:space="preserve">or </w:t>
      </w:r>
      <w:r w:rsidRPr="003D5EB0">
        <w:rPr>
          <w:rFonts w:eastAsia="Calibri"/>
        </w:rPr>
        <w:t>involuntarily</w:t>
      </w:r>
      <w:r>
        <w:t xml:space="preserve"> terminated from the </w:t>
      </w:r>
      <w:r w:rsidRPr="003D5EB0">
        <w:rPr>
          <w:rFonts w:eastAsia="Calibri"/>
        </w:rPr>
        <w:t>program</w:t>
      </w:r>
      <w:r>
        <w:t>.</w:t>
      </w:r>
    </w:p>
    <w:p w14:paraId="5AF16D4E" w14:textId="77777777" w:rsidR="009B44F1" w:rsidRPr="003D5EB0" w:rsidRDefault="009B44F1" w:rsidP="00A26973">
      <w:pPr>
        <w:pStyle w:val="BodyText"/>
      </w:pPr>
      <w:r w:rsidRPr="003D5EB0">
        <w:tab/>
        <w:t>When approved in advance, the Department provides the Contractor the opportunity to</w:t>
      </w:r>
      <w:r>
        <w:t xml:space="preserve"> </w:t>
      </w:r>
      <w:r w:rsidRPr="003D5EB0">
        <w:t>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7AFB3322" w14:textId="77777777" w:rsidR="009B44F1" w:rsidRPr="003D5EB0" w:rsidRDefault="009B44F1" w:rsidP="00A26973">
      <w:pPr>
        <w:pStyle w:val="BodyText"/>
      </w:pPr>
      <w:r w:rsidRPr="003D5EB0">
        <w:tab/>
      </w:r>
      <w:r w:rsidRPr="003D5EB0">
        <w:tab/>
        <w:t>1.</w:t>
      </w:r>
      <w:r>
        <w:t xml:space="preserve"> </w:t>
      </w:r>
      <w:r w:rsidRPr="003D5EB0">
        <w:t xml:space="preserve">Federal-aid Projects – Banking Certificates are issued for training of persons </w:t>
      </w:r>
      <w:proofErr w:type="gramStart"/>
      <w:r w:rsidRPr="003D5EB0">
        <w:t>in excess of</w:t>
      </w:r>
      <w:proofErr w:type="gramEnd"/>
      <w:r w:rsidRPr="003D5EB0">
        <w:t xml:space="preserve"> the required number of candidates based on the awarded Contract amount less items of work for which no training can be afforded.</w:t>
      </w:r>
    </w:p>
    <w:p w14:paraId="11E58B7A" w14:textId="77777777" w:rsidR="009B44F1" w:rsidRPr="003D5EB0" w:rsidRDefault="009B44F1" w:rsidP="00A26973">
      <w:pPr>
        <w:pStyle w:val="BodyText"/>
      </w:pPr>
      <w:r w:rsidRPr="003D5EB0">
        <w:tab/>
      </w:r>
      <w:r w:rsidRPr="003D5EB0">
        <w:tab/>
        <w:t>2.</w:t>
      </w:r>
      <w:r>
        <w:t xml:space="preserve"> </w:t>
      </w:r>
      <w:r w:rsidRPr="003D5EB0">
        <w:t>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2E247EFE" w14:textId="77777777" w:rsidR="009B44F1" w:rsidRPr="003D5EB0" w:rsidRDefault="009B44F1" w:rsidP="00A26973">
      <w:pPr>
        <w:pStyle w:val="BodyText"/>
      </w:pPr>
      <w:r w:rsidRPr="003D5EB0">
        <w:tab/>
        <w:t>The following criteria will be used in determining if the Contractor has complied with the requirements of this specification:</w:t>
      </w:r>
    </w:p>
    <w:p w14:paraId="4928AE8A" w14:textId="77777777" w:rsidR="009B44F1" w:rsidRPr="003D5EB0" w:rsidRDefault="009B44F1" w:rsidP="00A26973">
      <w:pPr>
        <w:pStyle w:val="BodyText"/>
      </w:pPr>
      <w:r w:rsidRPr="003D5EB0">
        <w:tab/>
      </w:r>
      <w:r w:rsidRPr="003D5EB0">
        <w:tab/>
        <w:t>1. Credit will be allowed for each trainee who satisfactorily completes training for the classification in which the trainee is enrolled.</w:t>
      </w:r>
    </w:p>
    <w:p w14:paraId="38BCBCEC" w14:textId="77777777" w:rsidR="009B44F1" w:rsidRPr="003D5EB0" w:rsidRDefault="009B44F1" w:rsidP="00A26973">
      <w:pPr>
        <w:pStyle w:val="BodyText"/>
      </w:pPr>
      <w:r w:rsidRPr="003D5EB0">
        <w:tab/>
      </w:r>
      <w:r w:rsidRPr="003D5EB0">
        <w:tab/>
        <w:t>2. Credit will be allowed for each trainee who continues training in the same job classification and who completes their training on a different contract.</w:t>
      </w:r>
    </w:p>
    <w:p w14:paraId="3BA88CF1" w14:textId="77777777" w:rsidR="009B44F1" w:rsidRPr="003D5EB0" w:rsidRDefault="009B44F1" w:rsidP="00A26973">
      <w:pPr>
        <w:pStyle w:val="BodyText"/>
      </w:pPr>
      <w:r w:rsidRPr="003D5EB0">
        <w:tab/>
      </w:r>
      <w:r w:rsidRPr="003D5EB0">
        <w:tab/>
        <w:t>3. Credit will be allowed for a trainee who is given the greatest practical amount of training on the contract; however, the trainee is unable to complete the training due to insufficient amount of work available in the classification.</w:t>
      </w:r>
    </w:p>
    <w:p w14:paraId="624107E8" w14:textId="6875033E" w:rsidR="009B44F1" w:rsidRPr="003D5EB0" w:rsidRDefault="009B44F1" w:rsidP="00A26973">
      <w:pPr>
        <w:pStyle w:val="BodyText"/>
      </w:pPr>
      <w:r w:rsidRPr="003D5EB0">
        <w:tab/>
      </w:r>
      <w:r w:rsidRPr="003D5EB0">
        <w:tab/>
        <w:t>4. Credit will be allowed for any position indicated in the approved On-the-Job Training Schedule or Plan, for which the Contractor can demonstrate that a good faith effort was made to provide training.</w:t>
      </w:r>
    </w:p>
    <w:p w14:paraId="70F68ECC" w14:textId="6C0A4D1E" w:rsidR="009B44F1" w:rsidRDefault="009B44F1" w:rsidP="00A26973">
      <w:pPr>
        <w:pStyle w:val="BodyText"/>
      </w:pPr>
      <w:r w:rsidRPr="003D5EB0">
        <w:tab/>
      </w:r>
      <w:r w:rsidRPr="003D5EB0">
        <w:tab/>
        <w:t>5. No credit will be allowed for a trainee whose employment by the Contractor is involuntarily terminated unless the Contractor can clearly demonstrate good cause for this action.</w:t>
      </w:r>
      <w:r w:rsidRPr="003D5EB0">
        <w:tab/>
      </w:r>
      <w:r>
        <w:tab/>
      </w:r>
      <w:r>
        <w:tab/>
        <w:t>6.</w:t>
      </w:r>
      <w:r w:rsidRPr="00C26535">
        <w:rPr>
          <w:rFonts w:ascii="Calibri" w:eastAsia="Calibri" w:hAnsi="Calibri" w:cs="Calibri"/>
          <w:b/>
        </w:rPr>
        <w:t xml:space="preserve"> </w:t>
      </w:r>
      <w:r w:rsidRPr="00C26535">
        <w:t>Banking certificates may be redeemed within five (5) years of issuance. The issuance and redemption of banking certificates are tracked by each District and the EEO.</w:t>
      </w:r>
    </w:p>
    <w:p w14:paraId="3DD11521" w14:textId="77777777" w:rsidR="009B44F1" w:rsidRDefault="009B44F1" w:rsidP="00A26973">
      <w:pPr>
        <w:pStyle w:val="BodyText"/>
      </w:pPr>
      <w:r>
        <w:tab/>
      </w:r>
      <w:r>
        <w:tab/>
        <w:t xml:space="preserve">7. </w:t>
      </w:r>
      <w:r w:rsidRPr="00C26535">
        <w:t>Earned banking credits are redeemed by presenting the original banking certificate to the</w:t>
      </w:r>
      <w:r>
        <w:t xml:space="preserve"> </w:t>
      </w:r>
      <w:r w:rsidRPr="00C26535">
        <w:t>DCCM of the district where the project on which the credit is to be applied.</w:t>
      </w:r>
    </w:p>
    <w:p w14:paraId="192477EB" w14:textId="77777777" w:rsidR="009B44F1" w:rsidRDefault="009B44F1" w:rsidP="00A26973">
      <w:pPr>
        <w:pStyle w:val="BodyText"/>
      </w:pPr>
      <w:r>
        <w:tab/>
      </w:r>
      <w:r>
        <w:tab/>
        <w:t xml:space="preserve">8. </w:t>
      </w:r>
      <w:r w:rsidRPr="00C26535">
        <w:t>A contractor utilizing banking credit(s) to fulfill agreed upon trainee requirement(s), must</w:t>
      </w:r>
      <w:r>
        <w:t xml:space="preserve"> </w:t>
      </w:r>
      <w:r w:rsidRPr="00C26535">
        <w:t xml:space="preserve">present the original banking certificate for redemption. If the contractor has </w:t>
      </w:r>
      <w:r w:rsidRPr="00C26535">
        <w:lastRenderedPageBreak/>
        <w:t>determined at</w:t>
      </w:r>
      <w:r>
        <w:t xml:space="preserve"> </w:t>
      </w:r>
      <w:r w:rsidRPr="00C26535">
        <w:t xml:space="preserve">the TEM that banked credits will be used to meet trainee requirements, then the certificate(s) is submitted with the initial training schedule. A prime contractor working as a subcontractor to another </w:t>
      </w:r>
      <w:proofErr w:type="gramStart"/>
      <w:r w:rsidRPr="00C26535">
        <w:t>prime,</w:t>
      </w:r>
      <w:proofErr w:type="gramEnd"/>
      <w:r w:rsidRPr="00C26535">
        <w:t xml:space="preserve"> may redeem their earned banking certificates for the prime.</w:t>
      </w:r>
    </w:p>
    <w:p w14:paraId="27193F8D" w14:textId="77777777" w:rsidR="009B44F1" w:rsidRPr="00C26535" w:rsidRDefault="009B44F1" w:rsidP="00A26973">
      <w:pPr>
        <w:pStyle w:val="BodyText"/>
      </w:pPr>
      <w:r>
        <w:tab/>
      </w:r>
      <w:r>
        <w:tab/>
        <w:t xml:space="preserve">9. </w:t>
      </w:r>
      <w:r w:rsidRPr="00C26535">
        <w:t>If the contractor subsequently determines to use banked credit(s) to meet trainee</w:t>
      </w:r>
      <w:r>
        <w:t xml:space="preserve"> </w:t>
      </w:r>
      <w:r w:rsidRPr="00C26535">
        <w:t>requirements, then the certificate(s) are submitted with the revised training schedule.</w:t>
      </w:r>
    </w:p>
    <w:p w14:paraId="0EA7BB26" w14:textId="77777777" w:rsidR="009B44F1" w:rsidRDefault="009B44F1" w:rsidP="009B44F1">
      <w:pPr>
        <w:pStyle w:val="BodyText"/>
      </w:pPr>
      <w:r>
        <w:tab/>
        <w:t>The Contractor will have fulfilled the responsibilities of this Specification when acceptable training has been provided to the trainee as specified above.</w:t>
      </w:r>
    </w:p>
    <w:p w14:paraId="53C359C0" w14:textId="77777777" w:rsidR="009B44F1" w:rsidRDefault="009B44F1" w:rsidP="009B44F1">
      <w:pPr>
        <w:pStyle w:val="BodyText"/>
      </w:pPr>
    </w:p>
    <w:p w14:paraId="0856F664" w14:textId="77777777" w:rsidR="009B44F1" w:rsidRDefault="009B44F1" w:rsidP="009B44F1">
      <w:pPr>
        <w:pStyle w:val="BodyText"/>
      </w:pPr>
    </w:p>
    <w:p w14:paraId="2C5BC2E5" w14:textId="4D848154" w:rsidR="00BE7D94" w:rsidRDefault="00BE7D94" w:rsidP="00C77162">
      <w:pPr>
        <w:pStyle w:val="SectionHeading"/>
      </w:pPr>
      <w:bookmarkStart w:id="31" w:name="_Toc491766070"/>
      <w:r>
        <w:t>SECTION 8</w:t>
      </w:r>
      <w:r w:rsidR="00713973">
        <w:br/>
      </w:r>
      <w:r>
        <w:t>PROSECUTION AND PROGRESS</w:t>
      </w:r>
      <w:bookmarkEnd w:id="31"/>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Include in the total Contract amount the cost of materials and manufactured component products, and their transportation to the project site. For the purpose of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t>8-2 Work Performed by Equipment-Rental Agreement.</w:t>
      </w:r>
    </w:p>
    <w:p w14:paraId="5BB41A21" w14:textId="77777777" w:rsidR="00BE7D94" w:rsidRDefault="00BE7D94" w:rsidP="00B86F0B">
      <w:pPr>
        <w:pStyle w:val="BodyText"/>
      </w:pPr>
      <w:r>
        <w:tab/>
        <w:t xml:space="preserve">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particular work to be performed with such equipment. As an </w:t>
      </w:r>
      <w:r>
        <w:lastRenderedPageBreak/>
        <w:t>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working schedule and provide sufficient labor, materials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471F5EDE" w:rsidR="005A4BD0" w:rsidRPr="00781C86" w:rsidRDefault="005A4BD0" w:rsidP="00976E6E">
      <w:pPr>
        <w:pStyle w:val="BodyText"/>
      </w:pPr>
      <w:r w:rsidRPr="00781C86">
        <w:tab/>
      </w:r>
      <w:r w:rsidRPr="00781C86">
        <w:tab/>
      </w:r>
      <w:r w:rsidRPr="00781C86">
        <w:tab/>
        <w:t>The Contract Schedule shall include detailed schedule diagrams and schedule data as described below that shows how the Contractor intends to complete the work within the Contract Time. Any weather days that affect the Critical Path will be added as they occur. When the project includes a Maintenance of Traffic plan, the work breakdown structure (WBS)</w:t>
      </w:r>
      <w:r w:rsidR="007073A4">
        <w:t xml:space="preserve"> or project activity codes</w:t>
      </w:r>
      <w:r w:rsidRPr="00781C86">
        <w:t xml:space="preserve"> for the Contract Schedule shall be consistent with the Contract Maintenance of Traffic plan, showing activities for each discrete Contract activity to be accomplished within each Maintenance of Traffic phase. When the project does not include a Maintenance of Traffic plan, the WBS</w:t>
      </w:r>
      <w:r w:rsidR="007073A4">
        <w:t xml:space="preserve"> or project activity codes</w:t>
      </w:r>
      <w:r w:rsidRPr="00781C86">
        <w:t xml:space="preserve">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Contractor and the Department. Show the interdependence (logic) of 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 xml:space="preserve">The Contract Schedule may indicate a completion date in advance of the expiration of Contract Time. However, the Department will not be liable in any way for the </w:t>
      </w:r>
      <w:r w:rsidRPr="00781C86">
        <w:lastRenderedPageBreak/>
        <w:t>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particular construction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19873B0D" w:rsidR="00C30197" w:rsidRPr="00781C86" w:rsidRDefault="00C30197" w:rsidP="00976E6E">
      <w:pPr>
        <w:pStyle w:val="BodyText"/>
      </w:pPr>
      <w:r w:rsidRPr="00781C86">
        <w:tab/>
      </w:r>
      <w:r w:rsidRPr="00781C86">
        <w:tab/>
      </w:r>
      <w:r w:rsidRPr="00781C86">
        <w:tab/>
        <w:t xml:space="preserve">Each schedule submission and monthly update shall include a minimum of the following </w:t>
      </w:r>
      <w:r w:rsidR="007073A4">
        <w:t>six</w:t>
      </w:r>
      <w:r w:rsidRPr="00781C86">
        <w:t xml:space="preserve">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w:t>
      </w:r>
      <w:proofErr w:type="spellStart"/>
      <w:r w:rsidR="00C30197" w:rsidRPr="00781C86">
        <w:t>xer</w:t>
      </w:r>
      <w:proofErr w:type="spellEnd"/>
      <w:r w:rsidR="00C30197" w:rsidRPr="00781C86">
        <w:t xml:space="preserve">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r>
      <w:proofErr w:type="spellStart"/>
      <w:r w:rsidRPr="00781C86">
        <w:t>i</w:t>
      </w:r>
      <w:proofErr w:type="spellEnd"/>
      <w:r w:rsidRPr="00781C86">
        <w:t>.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32"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33" w:name="_Hlk514413356"/>
      <w:r w:rsidR="003360BA" w:rsidRPr="00781C86">
        <w:t>.pdf</w:t>
      </w:r>
      <w:bookmarkEnd w:id="33"/>
      <w:r w:rsidR="003360BA" w:rsidRPr="00781C86">
        <w:t xml:space="preserve"> file and formatted on 11 inch by 17 inch landscape oriented sheets, with the activity table and bars.</w:t>
      </w:r>
      <w:bookmarkEnd w:id="32"/>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4" w:name="_Hlk513360332"/>
      <w:r w:rsidRPr="004575A0">
        <w:t>.pdf file and formatted on 8-1/2 inch by 11 inch portrait oriented sheets.</w:t>
      </w:r>
      <w:bookmarkEnd w:id="34"/>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lastRenderedPageBreak/>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proofErr w:type="spellStart"/>
      <w:r w:rsidR="00DF10A6" w:rsidRPr="00781C86">
        <w:rPr>
          <w:szCs w:val="24"/>
        </w:rPr>
        <w:t>i</w:t>
      </w:r>
      <w:proofErr w:type="spellEnd"/>
      <w:r w:rsidR="00977BC0">
        <w:t>.</w:t>
      </w:r>
      <w:r w:rsidR="00977BC0" w:rsidRPr="006E164A">
        <w:t xml:space="preserve"> </w:t>
      </w:r>
      <w:r w:rsidRPr="006E164A">
        <w:t>Identify any and all activities, either in progress or scheduled to occur within the following 30</w:t>
      </w:r>
      <w:r w:rsidR="003D10BF">
        <w:t> </w:t>
      </w:r>
      <w:r w:rsidRPr="006E164A">
        <w:t>days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DA984F2" w14:textId="13F2F852" w:rsidR="007073A4" w:rsidRDefault="007073A4" w:rsidP="007073A4">
      <w:pPr>
        <w:pStyle w:val="BodyText"/>
      </w:pPr>
    </w:p>
    <w:p w14:paraId="492B4DE3" w14:textId="5B5DF235" w:rsidR="00977BC0" w:rsidRDefault="001425B8" w:rsidP="007073A4">
      <w:pPr>
        <w:pStyle w:val="BodyText"/>
      </w:pPr>
      <w:r>
        <w:tab/>
      </w:r>
      <w:r>
        <w:tab/>
      </w:r>
      <w:r>
        <w:tab/>
      </w:r>
      <w:r w:rsidR="00244D25" w:rsidRPr="00781C86">
        <w:t>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lastRenderedPageBreak/>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Show the sequence, order, and interdependence of activities in which the work is to be accomplished. Include allowance for Department review, acceptance and return of submittals, samples and shop drawings where Department acceptance is specifically required (in accordance with 5-1.4.6 of the standard specifications).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6B2D0DEB"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All activities shall be assigned to a specific project calendar within the software. Specific project calendars will be defined within the software to include planned work days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1A81120F"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351009">
        <w:t>A cost account drawdown schedule depicting amount earned by month through project completion. The sum total of the cost  accounts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649E950D"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 xml:space="preserve">a. </w:t>
      </w:r>
      <w:r w:rsidR="00351009">
        <w:t>Responsibility: for items of work that are not in control of the Contractor including, but not be limited to, Department, Utility, etc.</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lastRenderedPageBreak/>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32C8F821"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351009">
        <w:t>All activities must include adequate detailed activity descriptions to describe the work that is included. In each activity, provide sufficient detail so that the amount of work the activity involves is clearly communicated.</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5" w:name="_Hlk527552738"/>
      <w:r w:rsidR="00DB3CD8" w:rsidRPr="00781C86">
        <w:t xml:space="preserve"> entry</w:t>
      </w:r>
      <w:bookmarkEnd w:id="35"/>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5832B585" w:rsidR="001425B8" w:rsidRDefault="00DB3CD8" w:rsidP="001425B8">
      <w:pPr>
        <w:pStyle w:val="BodyText"/>
      </w:pPr>
      <w:r>
        <w:tab/>
      </w:r>
      <w:r>
        <w:tab/>
      </w:r>
      <w:r>
        <w:tab/>
      </w:r>
      <w:r>
        <w:tab/>
      </w:r>
      <w:r w:rsidRPr="00781C86">
        <w:t xml:space="preserve">13. </w:t>
      </w:r>
      <w:r w:rsidR="00351009">
        <w:t>Activities shall be added to the schedule upon notifying the Engineer when it is determined that a Contract work element was omitted from the previous accepted Contract schedule or update or if work is added to the Contract, or to reflect a time extension in accordance with 8-7.3.2.</w:t>
      </w:r>
    </w:p>
    <w:p w14:paraId="7DFB3564" w14:textId="77777777" w:rsidR="00DB3CD8" w:rsidRPr="00DB3CD8" w:rsidRDefault="00DB3CD8" w:rsidP="00DB3CD8">
      <w:pPr>
        <w:pStyle w:val="BodyText"/>
      </w:pPr>
      <w:r>
        <w:tab/>
      </w:r>
      <w:r>
        <w:tab/>
      </w:r>
      <w:r>
        <w:tab/>
      </w:r>
      <w:r>
        <w:tab/>
      </w:r>
      <w:r w:rsidRPr="00DB3CD8">
        <w:t>14. Activity names shall only be changed to reflect changes to the scope of the work element represented by the activity, not as a way to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 xml:space="preserve">Attend weekly meetings scheduled by the Engineer to discuss Contract progress, near term scheduled activities, including utility relocations, problems and their proposed solutions. Submit a Three-Week Planning Schedule at each weekly meeting, showing the Contract schedule activities completed in the previous week and planned for the </w:t>
      </w:r>
      <w:r w:rsidR="000B3983" w:rsidRPr="00781C86">
        <w:lastRenderedPageBreak/>
        <w:t>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6" w:name="_Hlk2591335"/>
      <w:r w:rsidR="00760996" w:rsidRPr="00781C86">
        <w:t xml:space="preserve">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w:t>
      </w:r>
      <w:proofErr w:type="spellStart"/>
      <w:r w:rsidR="00760996" w:rsidRPr="00781C86">
        <w:t>statused</w:t>
      </w:r>
      <w:proofErr w:type="spellEnd"/>
      <w:r w:rsidR="00760996" w:rsidRPr="00781C86">
        <w:t xml:space="preserve"> (actual start dates added, actual finish dates added, remaining durations adjusted) to the end of the day before the start of the event. The Post-event Schedule is defined as the accepted update of the Contract Schedule just after the end of the event and </w:t>
      </w:r>
      <w:proofErr w:type="spellStart"/>
      <w:r w:rsidR="00760996" w:rsidRPr="00781C86">
        <w:t>destatused</w:t>
      </w:r>
      <w:proofErr w:type="spellEnd"/>
      <w:r w:rsidR="00760996" w:rsidRPr="00781C86">
        <w:t xml:space="preserve"> (actual start dates removed, actual finish dates removed, remaining durations adjusted) to the end of the last day of the event</w:t>
      </w:r>
      <w:bookmarkEnd w:id="36"/>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lastRenderedPageBreak/>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7" w:name="_Hlk527552996"/>
      <w:r w:rsidR="00751A70" w:rsidRPr="00781C86">
        <w:t>S</w:t>
      </w:r>
      <w:bookmarkEnd w:id="37"/>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Time extensions shall not be considered for proposals that do not include full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58087D20"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351009">
        <w:t xml:space="preserve">Submit an as-built schedule </w:t>
      </w:r>
      <w:r w:rsidR="00351009" w:rsidRPr="00FD59DB">
        <w:t>along with the Qualified Acceptance Letter if the Contactor elects the use of the Qualified Acceptance Letter as described in 9-8.1</w:t>
      </w:r>
      <w:r w:rsidR="00351009">
        <w:t>. The as-built schedule shall describe the actual order and start and stop times for all activities by the Contractor.</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Sundays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so as to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construction;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claims between the Department and the Contractor in an effort to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cooperatively and fairly settle their differences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The Board will be used when normal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not succeeding. </w:t>
      </w:r>
      <w:r w:rsidR="0085728A">
        <w:t xml:space="preserve">Referral to the Board is accomplished by providing a position paper outlining the nature and scope of the dispute or claim and describing the basis for </w:t>
      </w:r>
      <w:r w:rsidR="0085728A">
        <w:lastRenderedPageBreak/>
        <w:t xml:space="preserve">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in the area of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lastRenderedPageBreak/>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whether or not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 xml:space="preserve">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w:t>
      </w:r>
      <w:r>
        <w:lastRenderedPageBreak/>
        <w:t>Board. This notice shall be accompanied by the resume and disclosure statement submitted by that person.</w:t>
      </w:r>
    </w:p>
    <w:p w14:paraId="58C02EFE" w14:textId="77777777" w:rsidR="0098555A" w:rsidRDefault="0098555A" w:rsidP="0098555A">
      <w:pPr>
        <w:pStyle w:val="BodyText"/>
      </w:pPr>
      <w:r>
        <w:tab/>
      </w:r>
      <w:r>
        <w:tab/>
      </w:r>
      <w:r>
        <w:tab/>
        <w:t>Within ten days of receiving the notice of selection of a Board member, the Department and the Contractor shall review the accompanying resume and disclosure statement, make such inquires as each deems necessary and notify the other party in writing as to whether or not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Once the Contractor and the Department have agreed upon the first two members of the Board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Within ten days of receiving the notice of selection of a third member of the Board, the Department and the Contractor shall review the accompanying resume and disclosure statement, make such inquires as each deems necessary and notify the first two members in writing as to whether or not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Immediately after agreement is reached on all members of the Board the Contractor, the Department and the members of the Board shall proceed with execution of a Three Party Agreement as provided on the Department’s web site. The execution of this agreement will not modify the requirements, terms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 xml:space="preserve">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w:t>
      </w:r>
      <w:r>
        <w:lastRenderedPageBreak/>
        <w:t>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aforementioned timeframe after Final Acceptance constitutes an irrevocable waiver of the Contractor’s dispute or claim.</w:t>
      </w:r>
    </w:p>
    <w:p w14:paraId="1A32912A" w14:textId="46A0EAD3"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w:t>
      </w:r>
      <w:r w:rsidR="00ED3F09">
        <w:t xml:space="preserve">4,800 </w:t>
      </w:r>
      <w:r>
        <w:t>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w:t>
      </w:r>
      <w:r w:rsidR="00ED3F09">
        <w:t xml:space="preserve">1,600. </w:t>
      </w:r>
      <w:r>
        <w:t>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2AC38A20" w:rsidR="006B609F" w:rsidRDefault="006B609F" w:rsidP="006B609F">
      <w:pPr>
        <w:pStyle w:val="BodyText"/>
      </w:pPr>
      <w:r>
        <w:tab/>
      </w:r>
      <w:r>
        <w:tab/>
      </w:r>
      <w:r>
        <w:tab/>
        <w:t>A per hearing cost of $</w:t>
      </w:r>
      <w:r w:rsidR="00ED3F09">
        <w:t xml:space="preserve">11,500 </w:t>
      </w:r>
      <w:r>
        <w:t>has been established by the Department for providing compensation for all members of the Dispute Review Board for participation in an actual</w:t>
      </w:r>
      <w:r w:rsidR="00ED3562">
        <w:t xml:space="preserve"> </w:t>
      </w:r>
      <w:r>
        <w:t>hearing. The Board chairman will receive $</w:t>
      </w:r>
      <w:r w:rsidR="00ED3F09">
        <w:t xml:space="preserve">4,500 </w:t>
      </w:r>
      <w:r>
        <w:t>for participation in the hearing while the remaining two members will receive $</w:t>
      </w:r>
      <w:r w:rsidR="00ED3F09">
        <w:t xml:space="preserve">3,500 </w:t>
      </w:r>
      <w:r>
        <w:t>each. The Department and the Contractor will equally provide compensation to the Board for participation in an actual hearing. The Department will compensate the Contractor $</w:t>
      </w:r>
      <w:r w:rsidR="00ED3F09">
        <w:t xml:space="preserve">5,750 </w:t>
      </w:r>
      <w:r>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r w:rsidR="00ED3F09">
        <w:t xml:space="preserve">4,800 </w:t>
      </w:r>
      <w:r>
        <w:t>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r w:rsidR="000F2482">
        <w:t xml:space="preserve">  </w:t>
      </w:r>
      <w:r>
        <w:t xml:space="preserve">1 Disputes Review Board meeting - per day. </w:t>
      </w:r>
    </w:p>
    <w:p w14:paraId="073E3018" w14:textId="77777777" w:rsidR="007F1924" w:rsidRDefault="007F1924" w:rsidP="007F1924">
      <w:pPr>
        <w:pStyle w:val="PayItem"/>
      </w:pPr>
      <w:r>
        <w:t xml:space="preserve">Item No. 999- 20- </w:t>
      </w:r>
      <w:r w:rsidR="007357A0">
        <w:t xml:space="preserve"> </w:t>
      </w:r>
      <w:r>
        <w:t>2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lastRenderedPageBreak/>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cooperatively and fairly settle their differences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The Board will be used when normal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not succeeding.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Members on the Board will be pre-qualified as experts of the type of work being referred to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will be considered as quickly as possible, taking into consideration the particular circumstances and the time required to prepare detailed documentation. Steps may be omitted as agreed by the Department and the Contractor and the time periods stated below may be shortened in order to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lastRenderedPageBreak/>
        <w:tab/>
      </w:r>
      <w:r>
        <w:tab/>
      </w:r>
      <w:r>
        <w:tab/>
      </w:r>
      <w:r w:rsidR="00A77CD1">
        <w:t>2</w:t>
      </w:r>
      <w:r>
        <w:t>. The Engineer will consider the written protest and make his decision on the basis of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The Engineer’s decision will be final and conclusive on the subject, unless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The Contractor and the Department will each be afforded an opportunity to be heard by the Board and to offer evidence. Neither the Department nor the Contractor may present information at the hearing that was not previously distributed to both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will be given in writing to both the Department and the Contractor, within 15 days of completion of the hearings. The Board will focus its attention in the written report to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The Contractor shall furnish to each Board member a set of all pertinent documents that are or may become necessary for the Board, except documents furnished by Department,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lastRenderedPageBreak/>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068A1F98"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bookmarkStart w:id="38" w:name="_Hlk161744091"/>
      <w:r w:rsidR="00ED3F09">
        <w:t xml:space="preserve">11,500 </w:t>
      </w:r>
      <w:bookmarkEnd w:id="38"/>
      <w:r w:rsidR="00375336">
        <w:t>has been established by the Department for providing compensation for all members of the Dispute Review Board for participation in an actual hearing. The Board chairman will receive $</w:t>
      </w:r>
      <w:bookmarkStart w:id="39" w:name="_Hlk161744102"/>
      <w:r w:rsidR="00ED3F09">
        <w:t xml:space="preserve">4,500 </w:t>
      </w:r>
      <w:bookmarkEnd w:id="39"/>
      <w:r w:rsidR="00375336">
        <w:t>for participation in the hearing while the remaining two members will receive $</w:t>
      </w:r>
      <w:bookmarkStart w:id="40" w:name="_Hlk161744112"/>
      <w:r w:rsidR="00ED3F09">
        <w:t xml:space="preserve">3,500 </w:t>
      </w:r>
      <w:bookmarkEnd w:id="40"/>
      <w:r w:rsidR="00375336">
        <w:t>each. The Department and the Contractor will equally provide compensation to the Board for participation in an actual hearing. The Department will compensate the Contractor $</w:t>
      </w:r>
      <w:bookmarkStart w:id="41" w:name="_Hlk161744125"/>
      <w:r w:rsidR="00ED3F09">
        <w:t xml:space="preserve">5,750 </w:t>
      </w:r>
      <w:bookmarkEnd w:id="41"/>
      <w:r w:rsidR="00375336">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bookmarkStart w:id="42" w:name="_Hlk161744134"/>
      <w:r w:rsidR="00ED3F09">
        <w:t xml:space="preserve">4,800 </w:t>
      </w:r>
      <w:bookmarkEnd w:id="42"/>
      <w:r w:rsidR="00375336">
        <w:t>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place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Lighting may be accomplished by the use of portable floodlights, standard equipment lights, existing street lights, temporary street lights, or other lighting methods approved by the Engineer.</w:t>
      </w:r>
    </w:p>
    <w:p w14:paraId="5E8FAEC0" w14:textId="77777777" w:rsidR="00AD4C13" w:rsidRDefault="00AD4C13" w:rsidP="00AD4C13">
      <w:pPr>
        <w:pStyle w:val="BodyText"/>
      </w:pPr>
      <w:r>
        <w:tab/>
      </w:r>
      <w:r>
        <w:tab/>
        <w:t>During active nighttime operations, furnish, place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open up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At all times conduct the work in such manner and in such sequence as to ensure the least practicable interference with traffic. Operate all vehicles and other equipment safely and without hindrance to the traveling public. Park all private vehicles </w:t>
      </w:r>
      <w:r>
        <w:lastRenderedPageBreak/>
        <w:t xml:space="preserve">outside the clear zone. Place materials stored along the roadway so as to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where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provide adequate drainage at all times.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lastRenderedPageBreak/>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indemnification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make due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The Design Build Firm is prohibited on the basis of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lastRenderedPageBreak/>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place">
        <w:smartTag w:uri="urn:schemas-microsoft-com:office:smarttags" w:element="Stat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 The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whether or not the </w:t>
      </w:r>
      <w:r>
        <w:rPr>
          <w:szCs w:val="24"/>
        </w:rPr>
        <w:t xml:space="preserve">Contractor’s </w:t>
      </w:r>
      <w:r>
        <w:t xml:space="preserve">operations have been suspended. Contract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 xml:space="preserve">During such suspensions, remove all equipment and materials from the clear zone, except those required for the safety of the traveling public and retain sufficient personnel at the job site to properly meet the requirements of Sections 102 and 104. The Contractor is not </w:t>
      </w:r>
      <w:r>
        <w:lastRenderedPageBreak/>
        <w:t>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The Engineer will continually monitor the effects of weather and, when found justified, grant time extensions on either a bimonthly or monthly basis. The Engineer will not require the Contractor to submit a request for additional time due to the effects of weather.</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work day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w:t>
      </w:r>
      <w:r>
        <w:lastRenderedPageBreak/>
        <w:t xml:space="preserve">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 xml:space="preserve">The Department will consider the </w:t>
      </w:r>
      <w:proofErr w:type="spellStart"/>
      <w:r>
        <w:t>affect</w:t>
      </w:r>
      <w:proofErr w:type="spellEnd"/>
      <w:r>
        <w:t xml:space="preserve">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actually affected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actually </w:t>
      </w:r>
      <w:r>
        <w:t>impacted</w:t>
      </w:r>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 xml:space="preserve">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w:t>
      </w:r>
      <w:r>
        <w:lastRenderedPageBreak/>
        <w:t>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lastRenderedPageBreak/>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time period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fails to begin the work under the Contract within the time specified in the Notice to Proceed;</w:t>
      </w:r>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Contract;</w:t>
      </w:r>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unsuitable;</w:t>
      </w:r>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so;</w:t>
      </w:r>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involuntarily;</w:t>
      </w:r>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days;</w:t>
      </w:r>
    </w:p>
    <w:p w14:paraId="3BB27699" w14:textId="77777777" w:rsidR="00BE7D94" w:rsidRDefault="00BE7D94" w:rsidP="005002A2">
      <w:pPr>
        <w:pStyle w:val="BodyText"/>
      </w:pPr>
      <w:r>
        <w:tab/>
      </w:r>
      <w:r>
        <w:tab/>
      </w:r>
      <w:r w:rsidR="00072DBE">
        <w:t>7</w:t>
      </w:r>
      <w:r w:rsidR="00ED06EF">
        <w:t>.</w:t>
      </w:r>
      <w:r>
        <w:t xml:space="preserve"> makes an assignment for the benefit of creditors;</w:t>
      </w:r>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requirements;</w:t>
      </w:r>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lastRenderedPageBreak/>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 xml:space="preserve">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w:t>
      </w:r>
      <w:r>
        <w:lastRenderedPageBreak/>
        <w:t>termination. Further, the Contractor shall be liable for any and all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lastRenderedPageBreak/>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8-10.2 Amount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1E65B9E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w:t>
      </w:r>
      <w:r w:rsidR="0068350D">
        <w:rPr>
          <w:rStyle w:val="BodyTextChar"/>
          <w:rFonts w:eastAsiaTheme="minorHAnsi"/>
        </w:rPr>
        <w:t>904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 xml:space="preserve">the Department may recover from the Contractor amounts that the Department </w:t>
      </w:r>
      <w:r>
        <w:lastRenderedPageBreak/>
        <w:t>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43" w:name="_Toc491766071"/>
      <w:r>
        <w:t>SECTION 9</w:t>
      </w:r>
      <w:r w:rsidR="00713973">
        <w:br/>
      </w:r>
      <w:r>
        <w:t>MEASUREMENT AND PAYMENT</w:t>
      </w:r>
      <w:bookmarkEnd w:id="43"/>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Failure on the part of the Contractor to construct any item of work to plan or authorized dimensions within the specification tolerances will result in: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in excess of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lastRenderedPageBreak/>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w:t>
      </w:r>
      <w:proofErr w:type="spellStart"/>
      <w:r w:rsidRPr="000E3331">
        <w:t>i</w:t>
      </w:r>
      <w:proofErr w:type="spellEnd"/>
      <w:r w:rsidRPr="000E3331">
        <w:t>.”</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w:t>
      </w:r>
      <w:proofErr w:type="spellStart"/>
      <w:r w:rsidRPr="000E3331">
        <w:t>i</w:t>
      </w:r>
      <w:proofErr w:type="spellEnd"/>
      <w:r w:rsidRPr="000E3331">
        <w:t>.”</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w:t>
      </w:r>
      <w:proofErr w:type="spellStart"/>
      <w:r w:rsidRPr="000E3331">
        <w:t>i</w:t>
      </w:r>
      <w:proofErr w:type="spellEnd"/>
      <w:r w:rsidRPr="000E3331">
        <w:t>.”</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w:t>
      </w:r>
      <w:proofErr w:type="spellStart"/>
      <w:r w:rsidRPr="000E3331">
        <w:t>i</w:t>
      </w:r>
      <w:proofErr w:type="spellEnd"/>
      <w:r w:rsidRPr="000E3331">
        <w:t>.”</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44" w:name="_Hlk16860579"/>
      <w:r w:rsidR="00FB5C86">
        <w:t>The total price adjustment for the Contract is limited to the pay quantity as specified in 9-2.3.2.</w:t>
      </w:r>
      <w:bookmarkEnd w:id="44"/>
    </w:p>
    <w:p w14:paraId="137278F7" w14:textId="20093FB4" w:rsidR="0025048F" w:rsidRDefault="0025048F" w:rsidP="0025048F">
      <w:pPr>
        <w:pStyle w:val="BodyText"/>
      </w:pPr>
      <w:r>
        <w:tab/>
      </w:r>
      <w:r>
        <w:tab/>
      </w:r>
      <w:r>
        <w:tab/>
        <w:t xml:space="preserve">Adjustments will be paid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 xml:space="preserve">Prepare a Contractor’s Certification of Quantities, using the Department’s current approved form for Superpave Asphalt Base, Turnout </w:t>
      </w:r>
      <w:r w:rsidR="005F2D36" w:rsidRPr="002B0DDA">
        <w:lastRenderedPageBreak/>
        <w:t>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For asphalt treated permeable base, the number of gallons will be determined assuming a mix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When a deficiency occurs that results in the acceptance of a material at a reduced payment level as defined in these Specifications, the Engineer will apply a 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lastRenderedPageBreak/>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 xml:space="preserve">he adjusted quantity will be determined by dividing the sum of the quantities from the plan summary boxes (including any Engineer approved quantity revisions) by the design </w:t>
      </w:r>
      <w:proofErr w:type="spellStart"/>
      <w:r w:rsidRPr="00B26CD8">
        <w:t>G</w:t>
      </w:r>
      <w:r w:rsidRPr="00B26CD8">
        <w:rPr>
          <w:vertAlign w:val="subscript"/>
        </w:rPr>
        <w:t>mm</w:t>
      </w:r>
      <w:proofErr w:type="spellEnd"/>
      <w:r w:rsidRPr="00B26CD8">
        <w:t xml:space="preserve"> stated in 334-1.4 (design </w:t>
      </w:r>
      <w:proofErr w:type="spellStart"/>
      <w:r w:rsidRPr="00B26CD8">
        <w:t>G</w:t>
      </w:r>
      <w:r w:rsidRPr="00B26CD8">
        <w:rPr>
          <w:vertAlign w:val="subscript"/>
        </w:rPr>
        <w:t>sb</w:t>
      </w:r>
      <w:proofErr w:type="spellEnd"/>
      <w:r w:rsidRPr="00B26CD8">
        <w:t xml:space="preserve"> </w:t>
      </w:r>
      <w:r>
        <w:t xml:space="preserve">stated </w:t>
      </w:r>
      <w:r w:rsidRPr="00B26CD8">
        <w:t xml:space="preserve">in 337-8.2 for FC-5), and multiplying by the tonnage-weighted average </w:t>
      </w:r>
      <w:proofErr w:type="spellStart"/>
      <w:r w:rsidRPr="00B26CD8">
        <w:t>G</w:t>
      </w:r>
      <w:r w:rsidRPr="00B26CD8">
        <w:rPr>
          <w:vertAlign w:val="subscript"/>
        </w:rPr>
        <w:t>mm</w:t>
      </w:r>
      <w:proofErr w:type="spellEnd"/>
      <w:r w:rsidRPr="00B26CD8">
        <w:t xml:space="preserve"> (tonnage-weighted average </w:t>
      </w:r>
      <w:proofErr w:type="spellStart"/>
      <w:r w:rsidRPr="00B26CD8">
        <w:t>G</w:t>
      </w:r>
      <w:r w:rsidRPr="00B26CD8">
        <w:rPr>
          <w:vertAlign w:val="subscript"/>
        </w:rPr>
        <w:t>sb</w:t>
      </w:r>
      <w:proofErr w:type="spellEnd"/>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lastRenderedPageBreak/>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percent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percent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Retainage will be determined for each job on multiple job Contracts. The Department will not accept Securities, Certificates of Deposit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The Department will withhold progress payments from the Contractor if he fails to comply with any or all of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relating to prevailing wage rate provisions, Equal Employment Opportunity, On-The-Job-Training, and Affirmative Action;</w:t>
      </w:r>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System;</w:t>
      </w:r>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lastRenderedPageBreak/>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 xml:space="preserve">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w:t>
      </w:r>
      <w:proofErr w:type="spellStart"/>
      <w:r>
        <w:t>subarticle</w:t>
      </w:r>
      <w:proofErr w:type="spellEnd"/>
      <w:r>
        <w:t xml:space="preserve"> to each separate project or job in the ratio that the Contract value of the work for the particular job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w:t>
      </w:r>
      <w:r>
        <w:lastRenderedPageBreak/>
        <w:t xml:space="preserve">Under this bond, the Obligor shall be the material supplier and the </w:t>
      </w:r>
      <w:proofErr w:type="spellStart"/>
      <w:r>
        <w:t>Obligees</w:t>
      </w:r>
      <w:proofErr w:type="spellEnd"/>
      <w:r>
        <w:t xml:space="preserve">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w:t>
      </w:r>
      <w:r>
        <w:lastRenderedPageBreak/>
        <w:t>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w:t>
      </w:r>
      <w:r>
        <w:lastRenderedPageBreak/>
        <w:t>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subsequent to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be so notified in writing in the “Notification of Findings Due to Additional Review”. This notification letter will detail the changes made as a result of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The Department will determine and pay any interest due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xml:space="preserve">, </w:t>
      </w:r>
      <w:r>
        <w:lastRenderedPageBreak/>
        <w:t>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r>
        <w:rPr>
          <w:szCs w:val="22"/>
        </w:rPr>
        <w:t xml:space="preserve">Date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r w:rsidR="00351009">
      <w:fldChar w:fldCharType="begin"/>
    </w:r>
    <w:r w:rsidR="00351009">
      <w:instrText xml:space="preserve"> NUMPAGES </w:instrText>
    </w:r>
    <w:r w:rsidR="00351009">
      <w:fldChar w:fldCharType="separate"/>
    </w:r>
    <w:r>
      <w:rPr>
        <w:noProof/>
      </w:rPr>
      <w:t>119</w:t>
    </w:r>
    <w:r w:rsidR="003510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DC10A0"/>
    <w:multiLevelType w:val="multilevel"/>
    <w:tmpl w:val="E410B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7"/>
  </w:num>
  <w:num w:numId="4" w16cid:durableId="1908685990">
    <w:abstractNumId w:val="5"/>
  </w:num>
  <w:num w:numId="5" w16cid:durableId="798957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6"/>
  </w:num>
  <w:num w:numId="7" w16cid:durableId="2299721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8"/>
  </w:num>
  <w:num w:numId="10" w16cid:durableId="1566649775">
    <w:abstractNumId w:val="2"/>
  </w:num>
  <w:num w:numId="11" w16cid:durableId="1750225308">
    <w:abstractNumId w:val="4"/>
  </w:num>
  <w:num w:numId="12" w16cid:durableId="525482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3BB"/>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B695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100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294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073A4"/>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05A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4F1"/>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26973"/>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1535"/>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3F09"/>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1453BB"/>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7073A4"/>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9405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1453BB"/>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2.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3.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4.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126</Pages>
  <Words>63207</Words>
  <Characters>355829</Characters>
  <Application>Microsoft Office Word</Application>
  <DocSecurity>0</DocSecurity>
  <Lines>2965</Lines>
  <Paragraphs>836</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418200</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dc:creator>Burnsed, Jennifer</dc:creator>
  <cp:keywords/>
  <cp:lastModifiedBy>Burnsed, Jennifer</cp:lastModifiedBy>
  <cp:revision>2</cp:revision>
  <cp:lastPrinted>2019-03-04T16:51:00Z</cp:lastPrinted>
  <dcterms:created xsi:type="dcterms:W3CDTF">2024-06-05T11:41:00Z</dcterms:created>
  <dcterms:modified xsi:type="dcterms:W3CDTF">2024-06-05T11:41:00Z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