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PROSECUTION AND PROGRESS</w:t>
      </w:r>
      <w:r>
        <w:rPr/>
        <w:t xml:space="preserve"> – </w:t>
      </w:r>
      <w:r>
        <w:rPr/>
        <w:t xml:space="preserve">A</w:t>
      </w:r>
      <w:r>
        <w:rPr/>
        <w:t xml:space="preserve">LTERNATIVE BIDDING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7-28-97) (1-21)</w:t>
      </w:r>
    </w:p>
    <w:p>
      <w:pPr>
        <w:pStyle w:val="LeadInSentence"/>
        <w:spacing/>
        <w:rPr/>
      </w:pPr>
      <w:r>
        <w:rPr/>
        <w:t xml:space="preserve">SECTION 8 is expanded by the following new Article: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p>
      <w:pPr>
        <w:pStyle w:val="LeadInSentence"/>
        <w:spacing/>
        <w:rPr/>
      </w:pPr>
      <w:r>
        <w:rPr/>
        <w:t xml:space="preserve">ARTICLE 8-13. </w:t>
      </w:r>
      <w:r>
        <w:rPr>
          <w:b/>
        </w:rPr>
        <w:t xml:space="preserve">Alternative Bidding</w:t>
      </w:r>
      <w:r>
        <w:rPr/>
        <w:t xml:space="preserve">. The following new Subarticles are added: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endnotePr>
        <w:numFmt w:val="decimal"/>
      </w:endnotePr>
      <w:type w:val="nextPage"/>
      <w:pgSz w:w="12240" w:h="15840"/>
      <w:pgMar w:top="1440" w:right="1440" w:bottom="1440" w:left="1440" w:header="1440" w:footer="144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96"/>
  <w:embedSystemFonts xmlns:w="http://schemas.openxmlformats.org/wordprocessingml/2006/main"/>
  <w:bordersDoNotSurroundHeader/>
  <w:bordersDoNotSurroundFooter/>
  <w:proofState w:spelling="dirty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tabs>
        <w:tab w:val="left" w:pos="720"/>
      </w:tabs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30</Words>
  <Characters>171</Characters>
  <Application>Microsoft Office Word</Application>
  <DocSecurity>0</DocSecurity>
  <Lines>1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Prosecution &amp; Progress</dc:title>
  <dc:subject/>
  <dc:creator>Shirley Harvey</dc:creator>
  <cp:keywords/>
  <cp:lastModifiedBy>Hunsicker, Darla</cp:lastModifiedBy>
  <cp:revision>2</cp:revision>
  <dcterms:created xsi:type="dcterms:W3CDTF">2020-03-10T04:01:00Z</dcterms:created>
  <dcterms:modified xsi:type="dcterms:W3CDTF">2020-03-10T04:01:00Z</dcterms:modified>
  <cp:category>Construction1 </cp:category>
</cp:coreProperties>
</file>