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CA4E" w14:textId="77777777" w:rsidR="00F82C2D" w:rsidRPr="007E16DA" w:rsidRDefault="00F82C2D" w:rsidP="00F82C2D">
      <w:pPr>
        <w:pStyle w:val="MainTitle"/>
      </w:pPr>
      <w:r w:rsidRPr="007E16DA">
        <w:t xml:space="preserve">Template to Address Performance Management Requirements in </w:t>
      </w:r>
      <w:r>
        <w:t xml:space="preserve">Metropolitan Planning Organization </w:t>
      </w:r>
      <w:r w:rsidRPr="007E16DA">
        <w:t>T</w:t>
      </w:r>
      <w:r>
        <w:t xml:space="preserve">ransportation </w:t>
      </w:r>
      <w:r w:rsidRPr="007E16DA">
        <w:t>I</w:t>
      </w:r>
      <w:r>
        <w:t xml:space="preserve">mprovement </w:t>
      </w:r>
      <w:r w:rsidRPr="007E16DA">
        <w:t>P</w:t>
      </w:r>
      <w:r>
        <w:t>rogram</w:t>
      </w:r>
      <w:r w:rsidRPr="007E16DA">
        <w:t>s</w:t>
      </w:r>
    </w:p>
    <w:p w14:paraId="43F5E881" w14:textId="77777777" w:rsidR="00F82C2D" w:rsidRPr="007E16DA" w:rsidRDefault="00F82C2D" w:rsidP="00F82C2D">
      <w:pPr>
        <w:pStyle w:val="SubmittedBy"/>
      </w:pPr>
      <w:r w:rsidRPr="007E16DA">
        <w:t>Office of Policy Planning</w:t>
      </w:r>
    </w:p>
    <w:p w14:paraId="4BE57DD2" w14:textId="77777777" w:rsidR="00F82C2D" w:rsidRPr="007E16DA" w:rsidRDefault="00F82C2D" w:rsidP="00F82C2D">
      <w:pPr>
        <w:pStyle w:val="SubmittedBy"/>
      </w:pPr>
      <w:r w:rsidRPr="007E16DA">
        <w:t>Florida Department of Transportation</w:t>
      </w:r>
    </w:p>
    <w:p w14:paraId="3E18BCC7" w14:textId="77777777" w:rsidR="00F82C2D" w:rsidRPr="007E16DA" w:rsidRDefault="00F82C2D" w:rsidP="00F82C2D">
      <w:pPr>
        <w:pStyle w:val="BodyText"/>
        <w:jc w:val="center"/>
        <w:rPr>
          <w:b/>
          <w:sz w:val="32"/>
          <w:szCs w:val="32"/>
        </w:rPr>
      </w:pPr>
    </w:p>
    <w:p w14:paraId="560EEFD0" w14:textId="3B726B5F" w:rsidR="00F82C2D" w:rsidRPr="007E16DA" w:rsidRDefault="00AF0CBF" w:rsidP="00F82C2D">
      <w:pPr>
        <w:pStyle w:val="TitleDate"/>
        <w:sectPr w:rsidR="00F82C2D" w:rsidRPr="007E16DA" w:rsidSect="00DE55DB">
          <w:headerReference w:type="even" r:id="rId8"/>
          <w:footerReference w:type="even" r:id="rId9"/>
          <w:footerReference w:type="default" r:id="rId10"/>
          <w:pgSz w:w="12240" w:h="15840" w:code="1"/>
          <w:pgMar w:top="1440" w:right="1440" w:bottom="1440" w:left="1440" w:header="576" w:footer="576" w:gutter="0"/>
          <w:cols w:space="720"/>
          <w:docGrid w:linePitch="360"/>
        </w:sectPr>
      </w:pPr>
      <w:r>
        <w:t>February</w:t>
      </w:r>
      <w:r w:rsidR="00867782">
        <w:t xml:space="preserve"> 2023 </w:t>
      </w:r>
      <w:r w:rsidR="00F82C2D" w:rsidRPr="0000371F">
        <w:t>updates</w:t>
      </w:r>
    </w:p>
    <w:sdt>
      <w:sdtPr>
        <w:rPr>
          <w:rFonts w:ascii="Book Antiqua" w:hAnsi="Book Antiqua"/>
          <w:b w:val="0"/>
          <w:caps w:val="0"/>
          <w:kern w:val="0"/>
          <w:sz w:val="22"/>
          <w:szCs w:val="22"/>
        </w:rPr>
        <w:id w:val="-682818914"/>
        <w:docPartObj>
          <w:docPartGallery w:val="Table of Contents"/>
          <w:docPartUnique/>
        </w:docPartObj>
      </w:sdtPr>
      <w:sdtEndPr>
        <w:rPr>
          <w:rFonts w:ascii="Garamond" w:hAnsi="Garamond"/>
          <w:bCs/>
          <w:noProof/>
          <w:sz w:val="24"/>
        </w:rPr>
      </w:sdtEndPr>
      <w:sdtContent>
        <w:p w14:paraId="1612F062" w14:textId="77777777" w:rsidR="00F82C2D" w:rsidRPr="008423AC" w:rsidRDefault="00F82C2D" w:rsidP="00F82C2D">
          <w:pPr>
            <w:pStyle w:val="ToCHeading0"/>
          </w:pPr>
          <w:r w:rsidRPr="00585C73">
            <w:t>Table of Contents</w:t>
          </w:r>
        </w:p>
        <w:p w14:paraId="05E0CC51" w14:textId="18F774BE" w:rsidR="00CA088C" w:rsidRDefault="00F82C2D">
          <w:pPr>
            <w:pStyle w:val="TOC1"/>
            <w:rPr>
              <w:rFonts w:asciiTheme="minorHAnsi" w:eastAsiaTheme="minorEastAsia" w:hAnsiTheme="minorHAnsi" w:cstheme="minorBidi"/>
              <w:b w:val="0"/>
              <w:caps w:val="0"/>
              <w:noProof/>
              <w:sz w:val="22"/>
            </w:rPr>
          </w:pPr>
          <w:r>
            <w:rPr>
              <w:szCs w:val="24"/>
            </w:rPr>
            <w:fldChar w:fldCharType="begin"/>
          </w:r>
          <w:r>
            <w:rPr>
              <w:szCs w:val="24"/>
            </w:rPr>
            <w:instrText xml:space="preserve"> TOC \o "1-2" \h \z \u </w:instrText>
          </w:r>
          <w:r>
            <w:rPr>
              <w:szCs w:val="24"/>
            </w:rPr>
            <w:fldChar w:fldCharType="separate"/>
          </w:r>
          <w:hyperlink w:anchor="_Toc126264190" w:history="1">
            <w:r w:rsidR="00CA088C" w:rsidRPr="00786B07">
              <w:rPr>
                <w:rStyle w:val="Hyperlink"/>
                <w:noProof/>
              </w:rPr>
              <w:t>1 - Purpose</w:t>
            </w:r>
            <w:r w:rsidR="00CA088C">
              <w:rPr>
                <w:noProof/>
                <w:webHidden/>
              </w:rPr>
              <w:tab/>
            </w:r>
            <w:r w:rsidR="00CA088C">
              <w:rPr>
                <w:noProof/>
                <w:webHidden/>
              </w:rPr>
              <w:fldChar w:fldCharType="begin"/>
            </w:r>
            <w:r w:rsidR="00CA088C">
              <w:rPr>
                <w:noProof/>
                <w:webHidden/>
              </w:rPr>
              <w:instrText xml:space="preserve"> PAGEREF _Toc126264190 \h </w:instrText>
            </w:r>
            <w:r w:rsidR="00CA088C">
              <w:rPr>
                <w:noProof/>
                <w:webHidden/>
              </w:rPr>
            </w:r>
            <w:r w:rsidR="00CA088C">
              <w:rPr>
                <w:noProof/>
                <w:webHidden/>
              </w:rPr>
              <w:fldChar w:fldCharType="separate"/>
            </w:r>
            <w:r w:rsidR="00CA088C">
              <w:rPr>
                <w:noProof/>
                <w:webHidden/>
              </w:rPr>
              <w:t>2</w:t>
            </w:r>
            <w:r w:rsidR="00CA088C">
              <w:rPr>
                <w:noProof/>
                <w:webHidden/>
              </w:rPr>
              <w:fldChar w:fldCharType="end"/>
            </w:r>
          </w:hyperlink>
        </w:p>
        <w:p w14:paraId="1C0B02B7" w14:textId="396199C2" w:rsidR="00CA088C" w:rsidRDefault="00E55C57">
          <w:pPr>
            <w:pStyle w:val="TOC1"/>
            <w:rPr>
              <w:rFonts w:asciiTheme="minorHAnsi" w:eastAsiaTheme="minorEastAsia" w:hAnsiTheme="minorHAnsi" w:cstheme="minorBidi"/>
              <w:b w:val="0"/>
              <w:caps w:val="0"/>
              <w:noProof/>
              <w:sz w:val="22"/>
            </w:rPr>
          </w:pPr>
          <w:hyperlink w:anchor="_Toc126264191" w:history="1">
            <w:r w:rsidR="00CA088C" w:rsidRPr="00786B07">
              <w:rPr>
                <w:rStyle w:val="Hyperlink"/>
                <w:noProof/>
              </w:rPr>
              <w:t>2 - Background</w:t>
            </w:r>
            <w:r w:rsidR="00CA088C">
              <w:rPr>
                <w:noProof/>
                <w:webHidden/>
              </w:rPr>
              <w:tab/>
            </w:r>
            <w:r w:rsidR="00CA088C">
              <w:rPr>
                <w:noProof/>
                <w:webHidden/>
              </w:rPr>
              <w:fldChar w:fldCharType="begin"/>
            </w:r>
            <w:r w:rsidR="00CA088C">
              <w:rPr>
                <w:noProof/>
                <w:webHidden/>
              </w:rPr>
              <w:instrText xml:space="preserve"> PAGEREF _Toc126264191 \h </w:instrText>
            </w:r>
            <w:r w:rsidR="00CA088C">
              <w:rPr>
                <w:noProof/>
                <w:webHidden/>
              </w:rPr>
            </w:r>
            <w:r w:rsidR="00CA088C">
              <w:rPr>
                <w:noProof/>
                <w:webHidden/>
              </w:rPr>
              <w:fldChar w:fldCharType="separate"/>
            </w:r>
            <w:r w:rsidR="00CA088C">
              <w:rPr>
                <w:noProof/>
                <w:webHidden/>
              </w:rPr>
              <w:t>3</w:t>
            </w:r>
            <w:r w:rsidR="00CA088C">
              <w:rPr>
                <w:noProof/>
                <w:webHidden/>
              </w:rPr>
              <w:fldChar w:fldCharType="end"/>
            </w:r>
          </w:hyperlink>
        </w:p>
        <w:p w14:paraId="6D73E9CC" w14:textId="45215930" w:rsidR="00CA088C" w:rsidRDefault="00E55C57">
          <w:pPr>
            <w:pStyle w:val="TOC1"/>
            <w:rPr>
              <w:rFonts w:asciiTheme="minorHAnsi" w:eastAsiaTheme="minorEastAsia" w:hAnsiTheme="minorHAnsi" w:cstheme="minorBidi"/>
              <w:b w:val="0"/>
              <w:caps w:val="0"/>
              <w:noProof/>
              <w:sz w:val="22"/>
            </w:rPr>
          </w:pPr>
          <w:hyperlink w:anchor="_Toc126264192" w:history="1">
            <w:r w:rsidR="00CA088C" w:rsidRPr="00786B07">
              <w:rPr>
                <w:rStyle w:val="Hyperlink"/>
                <w:noProof/>
              </w:rPr>
              <w:t>3 - Highway Safety Measures (PM1)</w:t>
            </w:r>
            <w:r w:rsidR="00CA088C">
              <w:rPr>
                <w:noProof/>
                <w:webHidden/>
              </w:rPr>
              <w:tab/>
            </w:r>
            <w:r w:rsidR="00CA088C">
              <w:rPr>
                <w:noProof/>
                <w:webHidden/>
              </w:rPr>
              <w:fldChar w:fldCharType="begin"/>
            </w:r>
            <w:r w:rsidR="00CA088C">
              <w:rPr>
                <w:noProof/>
                <w:webHidden/>
              </w:rPr>
              <w:instrText xml:space="preserve"> PAGEREF _Toc126264192 \h </w:instrText>
            </w:r>
            <w:r w:rsidR="00CA088C">
              <w:rPr>
                <w:noProof/>
                <w:webHidden/>
              </w:rPr>
            </w:r>
            <w:r w:rsidR="00CA088C">
              <w:rPr>
                <w:noProof/>
                <w:webHidden/>
              </w:rPr>
              <w:fldChar w:fldCharType="separate"/>
            </w:r>
            <w:r w:rsidR="00CA088C">
              <w:rPr>
                <w:noProof/>
                <w:webHidden/>
              </w:rPr>
              <w:t>4</w:t>
            </w:r>
            <w:r w:rsidR="00CA088C">
              <w:rPr>
                <w:noProof/>
                <w:webHidden/>
              </w:rPr>
              <w:fldChar w:fldCharType="end"/>
            </w:r>
          </w:hyperlink>
        </w:p>
        <w:p w14:paraId="12DD2452" w14:textId="17BDF60E" w:rsidR="00CA088C" w:rsidRDefault="00E55C57">
          <w:pPr>
            <w:pStyle w:val="TOC2"/>
            <w:rPr>
              <w:rFonts w:asciiTheme="minorHAnsi" w:eastAsiaTheme="minorEastAsia" w:hAnsiTheme="minorHAnsi" w:cstheme="minorBidi"/>
              <w:noProof/>
              <w:sz w:val="22"/>
            </w:rPr>
          </w:pPr>
          <w:hyperlink w:anchor="_Toc126264193" w:history="1">
            <w:r w:rsidR="00CA088C" w:rsidRPr="00786B07">
              <w:rPr>
                <w:rStyle w:val="Hyperlink"/>
                <w:noProof/>
              </w:rPr>
              <w:t>3.1 Highway Safety Targets</w:t>
            </w:r>
            <w:r w:rsidR="00CA088C">
              <w:rPr>
                <w:noProof/>
                <w:webHidden/>
              </w:rPr>
              <w:tab/>
            </w:r>
            <w:r w:rsidR="00CA088C">
              <w:rPr>
                <w:noProof/>
                <w:webHidden/>
              </w:rPr>
              <w:fldChar w:fldCharType="begin"/>
            </w:r>
            <w:r w:rsidR="00CA088C">
              <w:rPr>
                <w:noProof/>
                <w:webHidden/>
              </w:rPr>
              <w:instrText xml:space="preserve"> PAGEREF _Toc126264193 \h </w:instrText>
            </w:r>
            <w:r w:rsidR="00CA088C">
              <w:rPr>
                <w:noProof/>
                <w:webHidden/>
              </w:rPr>
            </w:r>
            <w:r w:rsidR="00CA088C">
              <w:rPr>
                <w:noProof/>
                <w:webHidden/>
              </w:rPr>
              <w:fldChar w:fldCharType="separate"/>
            </w:r>
            <w:r w:rsidR="00CA088C">
              <w:rPr>
                <w:noProof/>
                <w:webHidden/>
              </w:rPr>
              <w:t>4</w:t>
            </w:r>
            <w:r w:rsidR="00CA088C">
              <w:rPr>
                <w:noProof/>
                <w:webHidden/>
              </w:rPr>
              <w:fldChar w:fldCharType="end"/>
            </w:r>
          </w:hyperlink>
        </w:p>
        <w:p w14:paraId="48C71A8E" w14:textId="194BBB2A" w:rsidR="00CA088C" w:rsidRDefault="00E55C57">
          <w:pPr>
            <w:pStyle w:val="TOC2"/>
            <w:rPr>
              <w:rFonts w:asciiTheme="minorHAnsi" w:eastAsiaTheme="minorEastAsia" w:hAnsiTheme="minorHAnsi" w:cstheme="minorBidi"/>
              <w:noProof/>
              <w:sz w:val="22"/>
            </w:rPr>
          </w:pPr>
          <w:hyperlink w:anchor="_Toc126264194" w:history="1">
            <w:r w:rsidR="00CA088C" w:rsidRPr="00786B07">
              <w:rPr>
                <w:rStyle w:val="Hyperlink"/>
                <w:noProof/>
              </w:rPr>
              <w:t>3.2 Safety Trends in the MPO Area</w:t>
            </w:r>
            <w:r w:rsidR="00CA088C">
              <w:rPr>
                <w:noProof/>
                <w:webHidden/>
              </w:rPr>
              <w:tab/>
            </w:r>
            <w:r w:rsidR="00CA088C">
              <w:rPr>
                <w:noProof/>
                <w:webHidden/>
              </w:rPr>
              <w:fldChar w:fldCharType="begin"/>
            </w:r>
            <w:r w:rsidR="00CA088C">
              <w:rPr>
                <w:noProof/>
                <w:webHidden/>
              </w:rPr>
              <w:instrText xml:space="preserve"> PAGEREF _Toc126264194 \h </w:instrText>
            </w:r>
            <w:r w:rsidR="00CA088C">
              <w:rPr>
                <w:noProof/>
                <w:webHidden/>
              </w:rPr>
            </w:r>
            <w:r w:rsidR="00CA088C">
              <w:rPr>
                <w:noProof/>
                <w:webHidden/>
              </w:rPr>
              <w:fldChar w:fldCharType="separate"/>
            </w:r>
            <w:r w:rsidR="00CA088C">
              <w:rPr>
                <w:noProof/>
                <w:webHidden/>
              </w:rPr>
              <w:t>8</w:t>
            </w:r>
            <w:r w:rsidR="00CA088C">
              <w:rPr>
                <w:noProof/>
                <w:webHidden/>
              </w:rPr>
              <w:fldChar w:fldCharType="end"/>
            </w:r>
          </w:hyperlink>
        </w:p>
        <w:p w14:paraId="19529F57" w14:textId="785F0BF7" w:rsidR="00CA088C" w:rsidRDefault="00E55C57">
          <w:pPr>
            <w:pStyle w:val="TOC2"/>
            <w:rPr>
              <w:rFonts w:asciiTheme="minorHAnsi" w:eastAsiaTheme="minorEastAsia" w:hAnsiTheme="minorHAnsi" w:cstheme="minorBidi"/>
              <w:noProof/>
              <w:sz w:val="22"/>
            </w:rPr>
          </w:pPr>
          <w:hyperlink w:anchor="_Toc126264195" w:history="1">
            <w:r w:rsidR="00CA088C" w:rsidRPr="00786B07">
              <w:rPr>
                <w:rStyle w:val="Hyperlink"/>
                <w:noProof/>
              </w:rPr>
              <w:t>3.3 FDOT Safety Planning and Programming</w:t>
            </w:r>
            <w:r w:rsidR="00CA088C">
              <w:rPr>
                <w:noProof/>
                <w:webHidden/>
              </w:rPr>
              <w:tab/>
            </w:r>
            <w:r w:rsidR="00CA088C">
              <w:rPr>
                <w:noProof/>
                <w:webHidden/>
              </w:rPr>
              <w:fldChar w:fldCharType="begin"/>
            </w:r>
            <w:r w:rsidR="00CA088C">
              <w:rPr>
                <w:noProof/>
                <w:webHidden/>
              </w:rPr>
              <w:instrText xml:space="preserve"> PAGEREF _Toc126264195 \h </w:instrText>
            </w:r>
            <w:r w:rsidR="00CA088C">
              <w:rPr>
                <w:noProof/>
                <w:webHidden/>
              </w:rPr>
            </w:r>
            <w:r w:rsidR="00CA088C">
              <w:rPr>
                <w:noProof/>
                <w:webHidden/>
              </w:rPr>
              <w:fldChar w:fldCharType="separate"/>
            </w:r>
            <w:r w:rsidR="00CA088C">
              <w:rPr>
                <w:noProof/>
                <w:webHidden/>
              </w:rPr>
              <w:t>9</w:t>
            </w:r>
            <w:r w:rsidR="00CA088C">
              <w:rPr>
                <w:noProof/>
                <w:webHidden/>
              </w:rPr>
              <w:fldChar w:fldCharType="end"/>
            </w:r>
          </w:hyperlink>
        </w:p>
        <w:p w14:paraId="11B799B6" w14:textId="4FC344D5" w:rsidR="00CA088C" w:rsidRDefault="00E55C57">
          <w:pPr>
            <w:pStyle w:val="TOC2"/>
            <w:rPr>
              <w:rFonts w:asciiTheme="minorHAnsi" w:eastAsiaTheme="minorEastAsia" w:hAnsiTheme="minorHAnsi" w:cstheme="minorBidi"/>
              <w:noProof/>
              <w:sz w:val="22"/>
            </w:rPr>
          </w:pPr>
          <w:hyperlink w:anchor="_Toc126264196" w:history="1">
            <w:r w:rsidR="00CA088C" w:rsidRPr="00786B07">
              <w:rPr>
                <w:rStyle w:val="Hyperlink"/>
                <w:noProof/>
              </w:rPr>
              <w:t>3.4 Safety Investments in the TIP</w:t>
            </w:r>
            <w:r w:rsidR="00CA088C">
              <w:rPr>
                <w:noProof/>
                <w:webHidden/>
              </w:rPr>
              <w:tab/>
            </w:r>
            <w:r w:rsidR="00CA088C">
              <w:rPr>
                <w:noProof/>
                <w:webHidden/>
              </w:rPr>
              <w:fldChar w:fldCharType="begin"/>
            </w:r>
            <w:r w:rsidR="00CA088C">
              <w:rPr>
                <w:noProof/>
                <w:webHidden/>
              </w:rPr>
              <w:instrText xml:space="preserve"> PAGEREF _Toc126264196 \h </w:instrText>
            </w:r>
            <w:r w:rsidR="00CA088C">
              <w:rPr>
                <w:noProof/>
                <w:webHidden/>
              </w:rPr>
            </w:r>
            <w:r w:rsidR="00CA088C">
              <w:rPr>
                <w:noProof/>
                <w:webHidden/>
              </w:rPr>
              <w:fldChar w:fldCharType="separate"/>
            </w:r>
            <w:r w:rsidR="00CA088C">
              <w:rPr>
                <w:noProof/>
                <w:webHidden/>
              </w:rPr>
              <w:t>12</w:t>
            </w:r>
            <w:r w:rsidR="00CA088C">
              <w:rPr>
                <w:noProof/>
                <w:webHidden/>
              </w:rPr>
              <w:fldChar w:fldCharType="end"/>
            </w:r>
          </w:hyperlink>
        </w:p>
        <w:p w14:paraId="4B908B12" w14:textId="0C564186" w:rsidR="00CA088C" w:rsidRDefault="00E55C57">
          <w:pPr>
            <w:pStyle w:val="TOC1"/>
            <w:rPr>
              <w:rFonts w:asciiTheme="minorHAnsi" w:eastAsiaTheme="minorEastAsia" w:hAnsiTheme="minorHAnsi" w:cstheme="minorBidi"/>
              <w:b w:val="0"/>
              <w:caps w:val="0"/>
              <w:noProof/>
              <w:sz w:val="22"/>
            </w:rPr>
          </w:pPr>
          <w:hyperlink w:anchor="_Toc126264197" w:history="1">
            <w:r w:rsidR="00CA088C" w:rsidRPr="00786B07">
              <w:rPr>
                <w:rStyle w:val="Hyperlink"/>
                <w:noProof/>
              </w:rPr>
              <w:t>4 – Pavement &amp; Bridge Condition Measures (PM2)</w:t>
            </w:r>
            <w:r w:rsidR="00CA088C">
              <w:rPr>
                <w:noProof/>
                <w:webHidden/>
              </w:rPr>
              <w:tab/>
            </w:r>
            <w:r w:rsidR="00CA088C">
              <w:rPr>
                <w:noProof/>
                <w:webHidden/>
              </w:rPr>
              <w:fldChar w:fldCharType="begin"/>
            </w:r>
            <w:r w:rsidR="00CA088C">
              <w:rPr>
                <w:noProof/>
                <w:webHidden/>
              </w:rPr>
              <w:instrText xml:space="preserve"> PAGEREF _Toc126264197 \h </w:instrText>
            </w:r>
            <w:r w:rsidR="00CA088C">
              <w:rPr>
                <w:noProof/>
                <w:webHidden/>
              </w:rPr>
            </w:r>
            <w:r w:rsidR="00CA088C">
              <w:rPr>
                <w:noProof/>
                <w:webHidden/>
              </w:rPr>
              <w:fldChar w:fldCharType="separate"/>
            </w:r>
            <w:r w:rsidR="00CA088C">
              <w:rPr>
                <w:noProof/>
                <w:webHidden/>
              </w:rPr>
              <w:t>18</w:t>
            </w:r>
            <w:r w:rsidR="00CA088C">
              <w:rPr>
                <w:noProof/>
                <w:webHidden/>
              </w:rPr>
              <w:fldChar w:fldCharType="end"/>
            </w:r>
          </w:hyperlink>
        </w:p>
        <w:p w14:paraId="033414F9" w14:textId="7C598A97" w:rsidR="00CA088C" w:rsidRDefault="00E55C57">
          <w:pPr>
            <w:pStyle w:val="TOC2"/>
            <w:rPr>
              <w:rFonts w:asciiTheme="minorHAnsi" w:eastAsiaTheme="minorEastAsia" w:hAnsiTheme="minorHAnsi" w:cstheme="minorBidi"/>
              <w:noProof/>
              <w:sz w:val="22"/>
            </w:rPr>
          </w:pPr>
          <w:hyperlink w:anchor="_Toc126264198" w:history="1">
            <w:r w:rsidR="00CA088C" w:rsidRPr="00786B07">
              <w:rPr>
                <w:rStyle w:val="Hyperlink"/>
                <w:noProof/>
              </w:rPr>
              <w:t>4.1 Bridge &amp; Pavement Condition Targets</w:t>
            </w:r>
            <w:r w:rsidR="00CA088C">
              <w:rPr>
                <w:noProof/>
                <w:webHidden/>
              </w:rPr>
              <w:tab/>
            </w:r>
            <w:r w:rsidR="00CA088C">
              <w:rPr>
                <w:noProof/>
                <w:webHidden/>
              </w:rPr>
              <w:fldChar w:fldCharType="begin"/>
            </w:r>
            <w:r w:rsidR="00CA088C">
              <w:rPr>
                <w:noProof/>
                <w:webHidden/>
              </w:rPr>
              <w:instrText xml:space="preserve"> PAGEREF _Toc126264198 \h </w:instrText>
            </w:r>
            <w:r w:rsidR="00CA088C">
              <w:rPr>
                <w:noProof/>
                <w:webHidden/>
              </w:rPr>
            </w:r>
            <w:r w:rsidR="00CA088C">
              <w:rPr>
                <w:noProof/>
                <w:webHidden/>
              </w:rPr>
              <w:fldChar w:fldCharType="separate"/>
            </w:r>
            <w:r w:rsidR="00CA088C">
              <w:rPr>
                <w:noProof/>
                <w:webHidden/>
              </w:rPr>
              <w:t>18</w:t>
            </w:r>
            <w:r w:rsidR="00CA088C">
              <w:rPr>
                <w:noProof/>
                <w:webHidden/>
              </w:rPr>
              <w:fldChar w:fldCharType="end"/>
            </w:r>
          </w:hyperlink>
        </w:p>
        <w:p w14:paraId="0015495C" w14:textId="6A53D828" w:rsidR="00CA088C" w:rsidRDefault="00E55C57">
          <w:pPr>
            <w:pStyle w:val="TOC2"/>
            <w:rPr>
              <w:rFonts w:asciiTheme="minorHAnsi" w:eastAsiaTheme="minorEastAsia" w:hAnsiTheme="minorHAnsi" w:cstheme="minorBidi"/>
              <w:noProof/>
              <w:sz w:val="22"/>
            </w:rPr>
          </w:pPr>
          <w:hyperlink w:anchor="_Toc126264199" w:history="1">
            <w:r w:rsidR="00CA088C" w:rsidRPr="00786B07">
              <w:rPr>
                <w:rStyle w:val="Hyperlink"/>
                <w:noProof/>
              </w:rPr>
              <w:t>4.2 Bridge &amp; Pavement Investments in the TIP</w:t>
            </w:r>
            <w:r w:rsidR="00CA088C">
              <w:rPr>
                <w:noProof/>
                <w:webHidden/>
              </w:rPr>
              <w:tab/>
            </w:r>
            <w:r w:rsidR="00CA088C">
              <w:rPr>
                <w:noProof/>
                <w:webHidden/>
              </w:rPr>
              <w:fldChar w:fldCharType="begin"/>
            </w:r>
            <w:r w:rsidR="00CA088C">
              <w:rPr>
                <w:noProof/>
                <w:webHidden/>
              </w:rPr>
              <w:instrText xml:space="preserve"> PAGEREF _Toc126264199 \h </w:instrText>
            </w:r>
            <w:r w:rsidR="00CA088C">
              <w:rPr>
                <w:noProof/>
                <w:webHidden/>
              </w:rPr>
            </w:r>
            <w:r w:rsidR="00CA088C">
              <w:rPr>
                <w:noProof/>
                <w:webHidden/>
              </w:rPr>
              <w:fldChar w:fldCharType="separate"/>
            </w:r>
            <w:r w:rsidR="00CA088C">
              <w:rPr>
                <w:noProof/>
                <w:webHidden/>
              </w:rPr>
              <w:t>21</w:t>
            </w:r>
            <w:r w:rsidR="00CA088C">
              <w:rPr>
                <w:noProof/>
                <w:webHidden/>
              </w:rPr>
              <w:fldChar w:fldCharType="end"/>
            </w:r>
          </w:hyperlink>
        </w:p>
        <w:p w14:paraId="4BAC0B0A" w14:textId="145A30CA" w:rsidR="00CA088C" w:rsidRDefault="00E55C57">
          <w:pPr>
            <w:pStyle w:val="TOC1"/>
            <w:rPr>
              <w:rFonts w:asciiTheme="minorHAnsi" w:eastAsiaTheme="minorEastAsia" w:hAnsiTheme="minorHAnsi" w:cstheme="minorBidi"/>
              <w:b w:val="0"/>
              <w:caps w:val="0"/>
              <w:noProof/>
              <w:sz w:val="22"/>
            </w:rPr>
          </w:pPr>
          <w:hyperlink w:anchor="_Toc126264200" w:history="1">
            <w:r w:rsidR="00CA088C" w:rsidRPr="00786B07">
              <w:rPr>
                <w:rStyle w:val="Hyperlink"/>
                <w:noProof/>
              </w:rPr>
              <w:t>5 - System Performance, Freight, &amp; Congestion Mitigation &amp; Air Quality Improvement Program Measures (PM3)</w:t>
            </w:r>
            <w:r w:rsidR="00CA088C">
              <w:rPr>
                <w:noProof/>
                <w:webHidden/>
              </w:rPr>
              <w:tab/>
            </w:r>
            <w:r w:rsidR="00CA088C">
              <w:rPr>
                <w:noProof/>
                <w:webHidden/>
              </w:rPr>
              <w:fldChar w:fldCharType="begin"/>
            </w:r>
            <w:r w:rsidR="00CA088C">
              <w:rPr>
                <w:noProof/>
                <w:webHidden/>
              </w:rPr>
              <w:instrText xml:space="preserve"> PAGEREF _Toc126264200 \h </w:instrText>
            </w:r>
            <w:r w:rsidR="00CA088C">
              <w:rPr>
                <w:noProof/>
                <w:webHidden/>
              </w:rPr>
            </w:r>
            <w:r w:rsidR="00CA088C">
              <w:rPr>
                <w:noProof/>
                <w:webHidden/>
              </w:rPr>
              <w:fldChar w:fldCharType="separate"/>
            </w:r>
            <w:r w:rsidR="00CA088C">
              <w:rPr>
                <w:noProof/>
                <w:webHidden/>
              </w:rPr>
              <w:t>23</w:t>
            </w:r>
            <w:r w:rsidR="00CA088C">
              <w:rPr>
                <w:noProof/>
                <w:webHidden/>
              </w:rPr>
              <w:fldChar w:fldCharType="end"/>
            </w:r>
          </w:hyperlink>
        </w:p>
        <w:p w14:paraId="22306D73" w14:textId="48FEA023" w:rsidR="00CA088C" w:rsidRDefault="00E55C57">
          <w:pPr>
            <w:pStyle w:val="TOC2"/>
            <w:rPr>
              <w:rFonts w:asciiTheme="minorHAnsi" w:eastAsiaTheme="minorEastAsia" w:hAnsiTheme="minorHAnsi" w:cstheme="minorBidi"/>
              <w:noProof/>
              <w:sz w:val="22"/>
            </w:rPr>
          </w:pPr>
          <w:hyperlink w:anchor="_Toc126264201" w:history="1">
            <w:r w:rsidR="00CA088C" w:rsidRPr="00786B07">
              <w:rPr>
                <w:rStyle w:val="Hyperlink"/>
                <w:noProof/>
              </w:rPr>
              <w:t>5.1 System Performance and Freight Targets</w:t>
            </w:r>
            <w:r w:rsidR="00CA088C">
              <w:rPr>
                <w:noProof/>
                <w:webHidden/>
              </w:rPr>
              <w:tab/>
            </w:r>
            <w:r w:rsidR="00CA088C">
              <w:rPr>
                <w:noProof/>
                <w:webHidden/>
              </w:rPr>
              <w:fldChar w:fldCharType="begin"/>
            </w:r>
            <w:r w:rsidR="00CA088C">
              <w:rPr>
                <w:noProof/>
                <w:webHidden/>
              </w:rPr>
              <w:instrText xml:space="preserve"> PAGEREF _Toc126264201 \h </w:instrText>
            </w:r>
            <w:r w:rsidR="00CA088C">
              <w:rPr>
                <w:noProof/>
                <w:webHidden/>
              </w:rPr>
            </w:r>
            <w:r w:rsidR="00CA088C">
              <w:rPr>
                <w:noProof/>
                <w:webHidden/>
              </w:rPr>
              <w:fldChar w:fldCharType="separate"/>
            </w:r>
            <w:r w:rsidR="00CA088C">
              <w:rPr>
                <w:noProof/>
                <w:webHidden/>
              </w:rPr>
              <w:t>23</w:t>
            </w:r>
            <w:r w:rsidR="00CA088C">
              <w:rPr>
                <w:noProof/>
                <w:webHidden/>
              </w:rPr>
              <w:fldChar w:fldCharType="end"/>
            </w:r>
          </w:hyperlink>
        </w:p>
        <w:p w14:paraId="36E3901F" w14:textId="6070F1E6" w:rsidR="00CA088C" w:rsidRDefault="00E55C57">
          <w:pPr>
            <w:pStyle w:val="TOC2"/>
            <w:rPr>
              <w:rFonts w:asciiTheme="minorHAnsi" w:eastAsiaTheme="minorEastAsia" w:hAnsiTheme="minorHAnsi" w:cstheme="minorBidi"/>
              <w:noProof/>
              <w:sz w:val="22"/>
            </w:rPr>
          </w:pPr>
          <w:hyperlink w:anchor="_Toc126264202" w:history="1">
            <w:r w:rsidR="00CA088C" w:rsidRPr="00786B07">
              <w:rPr>
                <w:rStyle w:val="Hyperlink"/>
                <w:noProof/>
              </w:rPr>
              <w:t>5.2 System Performance and Freight Investments in the TIP</w:t>
            </w:r>
            <w:r w:rsidR="00CA088C">
              <w:rPr>
                <w:noProof/>
                <w:webHidden/>
              </w:rPr>
              <w:tab/>
            </w:r>
            <w:r w:rsidR="00CA088C">
              <w:rPr>
                <w:noProof/>
                <w:webHidden/>
              </w:rPr>
              <w:fldChar w:fldCharType="begin"/>
            </w:r>
            <w:r w:rsidR="00CA088C">
              <w:rPr>
                <w:noProof/>
                <w:webHidden/>
              </w:rPr>
              <w:instrText xml:space="preserve"> PAGEREF _Toc126264202 \h </w:instrText>
            </w:r>
            <w:r w:rsidR="00CA088C">
              <w:rPr>
                <w:noProof/>
                <w:webHidden/>
              </w:rPr>
            </w:r>
            <w:r w:rsidR="00CA088C">
              <w:rPr>
                <w:noProof/>
                <w:webHidden/>
              </w:rPr>
              <w:fldChar w:fldCharType="separate"/>
            </w:r>
            <w:r w:rsidR="00CA088C">
              <w:rPr>
                <w:noProof/>
                <w:webHidden/>
              </w:rPr>
              <w:t>26</w:t>
            </w:r>
            <w:r w:rsidR="00CA088C">
              <w:rPr>
                <w:noProof/>
                <w:webHidden/>
              </w:rPr>
              <w:fldChar w:fldCharType="end"/>
            </w:r>
          </w:hyperlink>
        </w:p>
        <w:p w14:paraId="531CC9B4" w14:textId="561063CC" w:rsidR="00CA088C" w:rsidRDefault="00E55C57">
          <w:pPr>
            <w:pStyle w:val="TOC1"/>
            <w:rPr>
              <w:rFonts w:asciiTheme="minorHAnsi" w:eastAsiaTheme="minorEastAsia" w:hAnsiTheme="minorHAnsi" w:cstheme="minorBidi"/>
              <w:b w:val="0"/>
              <w:caps w:val="0"/>
              <w:noProof/>
              <w:sz w:val="22"/>
            </w:rPr>
          </w:pPr>
          <w:hyperlink w:anchor="_Toc126264203" w:history="1">
            <w:r w:rsidR="00CA088C" w:rsidRPr="00786B07">
              <w:rPr>
                <w:rStyle w:val="Hyperlink"/>
                <w:noProof/>
              </w:rPr>
              <w:t>6 - Transit Asset Management Measures</w:t>
            </w:r>
            <w:r w:rsidR="00CA088C">
              <w:rPr>
                <w:noProof/>
                <w:webHidden/>
              </w:rPr>
              <w:tab/>
            </w:r>
            <w:r w:rsidR="00CA088C">
              <w:rPr>
                <w:noProof/>
                <w:webHidden/>
              </w:rPr>
              <w:fldChar w:fldCharType="begin"/>
            </w:r>
            <w:r w:rsidR="00CA088C">
              <w:rPr>
                <w:noProof/>
                <w:webHidden/>
              </w:rPr>
              <w:instrText xml:space="preserve"> PAGEREF _Toc126264203 \h </w:instrText>
            </w:r>
            <w:r w:rsidR="00CA088C">
              <w:rPr>
                <w:noProof/>
                <w:webHidden/>
              </w:rPr>
            </w:r>
            <w:r w:rsidR="00CA088C">
              <w:rPr>
                <w:noProof/>
                <w:webHidden/>
              </w:rPr>
              <w:fldChar w:fldCharType="separate"/>
            </w:r>
            <w:r w:rsidR="00CA088C">
              <w:rPr>
                <w:noProof/>
                <w:webHidden/>
              </w:rPr>
              <w:t>29</w:t>
            </w:r>
            <w:r w:rsidR="00CA088C">
              <w:rPr>
                <w:noProof/>
                <w:webHidden/>
              </w:rPr>
              <w:fldChar w:fldCharType="end"/>
            </w:r>
          </w:hyperlink>
        </w:p>
        <w:p w14:paraId="1272F36F" w14:textId="01347AB0" w:rsidR="00CA088C" w:rsidRDefault="00E55C57">
          <w:pPr>
            <w:pStyle w:val="TOC2"/>
            <w:rPr>
              <w:rFonts w:asciiTheme="minorHAnsi" w:eastAsiaTheme="minorEastAsia" w:hAnsiTheme="minorHAnsi" w:cstheme="minorBidi"/>
              <w:noProof/>
              <w:sz w:val="22"/>
            </w:rPr>
          </w:pPr>
          <w:hyperlink w:anchor="_Toc126264204" w:history="1">
            <w:r w:rsidR="00CA088C" w:rsidRPr="00786B07">
              <w:rPr>
                <w:rStyle w:val="Hyperlink"/>
                <w:noProof/>
              </w:rPr>
              <w:t>6.1 FDOT Group TAM Plan Participants</w:t>
            </w:r>
            <w:r w:rsidR="00CA088C">
              <w:rPr>
                <w:noProof/>
                <w:webHidden/>
              </w:rPr>
              <w:tab/>
            </w:r>
            <w:r w:rsidR="00CA088C">
              <w:rPr>
                <w:noProof/>
                <w:webHidden/>
              </w:rPr>
              <w:fldChar w:fldCharType="begin"/>
            </w:r>
            <w:r w:rsidR="00CA088C">
              <w:rPr>
                <w:noProof/>
                <w:webHidden/>
              </w:rPr>
              <w:instrText xml:space="preserve"> PAGEREF _Toc126264204 \h </w:instrText>
            </w:r>
            <w:r w:rsidR="00CA088C">
              <w:rPr>
                <w:noProof/>
                <w:webHidden/>
              </w:rPr>
            </w:r>
            <w:r w:rsidR="00CA088C">
              <w:rPr>
                <w:noProof/>
                <w:webHidden/>
              </w:rPr>
              <w:fldChar w:fldCharType="separate"/>
            </w:r>
            <w:r w:rsidR="00CA088C">
              <w:rPr>
                <w:noProof/>
                <w:webHidden/>
              </w:rPr>
              <w:t>30</w:t>
            </w:r>
            <w:r w:rsidR="00CA088C">
              <w:rPr>
                <w:noProof/>
                <w:webHidden/>
              </w:rPr>
              <w:fldChar w:fldCharType="end"/>
            </w:r>
          </w:hyperlink>
        </w:p>
        <w:p w14:paraId="5EF19229" w14:textId="28B3D566" w:rsidR="00CA088C" w:rsidRDefault="00E55C57">
          <w:pPr>
            <w:pStyle w:val="TOC2"/>
            <w:rPr>
              <w:rFonts w:asciiTheme="minorHAnsi" w:eastAsiaTheme="minorEastAsia" w:hAnsiTheme="minorHAnsi" w:cstheme="minorBidi"/>
              <w:noProof/>
              <w:sz w:val="22"/>
            </w:rPr>
          </w:pPr>
          <w:hyperlink w:anchor="_Toc126264205" w:history="1">
            <w:r w:rsidR="00CA088C" w:rsidRPr="00786B07">
              <w:rPr>
                <w:rStyle w:val="Hyperlink"/>
                <w:noProof/>
              </w:rPr>
              <w:t>6.2 Transit Asset Management Targets</w:t>
            </w:r>
            <w:r w:rsidR="00CA088C">
              <w:rPr>
                <w:noProof/>
                <w:webHidden/>
              </w:rPr>
              <w:tab/>
            </w:r>
            <w:r w:rsidR="00CA088C">
              <w:rPr>
                <w:noProof/>
                <w:webHidden/>
              </w:rPr>
              <w:fldChar w:fldCharType="begin"/>
            </w:r>
            <w:r w:rsidR="00CA088C">
              <w:rPr>
                <w:noProof/>
                <w:webHidden/>
              </w:rPr>
              <w:instrText xml:space="preserve"> PAGEREF _Toc126264205 \h </w:instrText>
            </w:r>
            <w:r w:rsidR="00CA088C">
              <w:rPr>
                <w:noProof/>
                <w:webHidden/>
              </w:rPr>
            </w:r>
            <w:r w:rsidR="00CA088C">
              <w:rPr>
                <w:noProof/>
                <w:webHidden/>
              </w:rPr>
              <w:fldChar w:fldCharType="separate"/>
            </w:r>
            <w:r w:rsidR="00CA088C">
              <w:rPr>
                <w:noProof/>
                <w:webHidden/>
              </w:rPr>
              <w:t>31</w:t>
            </w:r>
            <w:r w:rsidR="00CA088C">
              <w:rPr>
                <w:noProof/>
                <w:webHidden/>
              </w:rPr>
              <w:fldChar w:fldCharType="end"/>
            </w:r>
          </w:hyperlink>
        </w:p>
        <w:p w14:paraId="74810882" w14:textId="2A0CEB8C" w:rsidR="00CA088C" w:rsidRDefault="00E55C57">
          <w:pPr>
            <w:pStyle w:val="TOC2"/>
            <w:rPr>
              <w:rFonts w:asciiTheme="minorHAnsi" w:eastAsiaTheme="minorEastAsia" w:hAnsiTheme="minorHAnsi" w:cstheme="minorBidi"/>
              <w:noProof/>
              <w:sz w:val="22"/>
            </w:rPr>
          </w:pPr>
          <w:hyperlink w:anchor="_Toc126264206" w:history="1">
            <w:r w:rsidR="00CA088C" w:rsidRPr="00786B07">
              <w:rPr>
                <w:rStyle w:val="Hyperlink"/>
                <w:noProof/>
              </w:rPr>
              <w:t>6.3 Transit Asset Management Investments in the TIP</w:t>
            </w:r>
            <w:r w:rsidR="00CA088C">
              <w:rPr>
                <w:noProof/>
                <w:webHidden/>
              </w:rPr>
              <w:tab/>
            </w:r>
            <w:r w:rsidR="00CA088C">
              <w:rPr>
                <w:noProof/>
                <w:webHidden/>
              </w:rPr>
              <w:fldChar w:fldCharType="begin"/>
            </w:r>
            <w:r w:rsidR="00CA088C">
              <w:rPr>
                <w:noProof/>
                <w:webHidden/>
              </w:rPr>
              <w:instrText xml:space="preserve"> PAGEREF _Toc126264206 \h </w:instrText>
            </w:r>
            <w:r w:rsidR="00CA088C">
              <w:rPr>
                <w:noProof/>
                <w:webHidden/>
              </w:rPr>
            </w:r>
            <w:r w:rsidR="00CA088C">
              <w:rPr>
                <w:noProof/>
                <w:webHidden/>
              </w:rPr>
              <w:fldChar w:fldCharType="separate"/>
            </w:r>
            <w:r w:rsidR="00CA088C">
              <w:rPr>
                <w:noProof/>
                <w:webHidden/>
              </w:rPr>
              <w:t>36</w:t>
            </w:r>
            <w:r w:rsidR="00CA088C">
              <w:rPr>
                <w:noProof/>
                <w:webHidden/>
              </w:rPr>
              <w:fldChar w:fldCharType="end"/>
            </w:r>
          </w:hyperlink>
        </w:p>
        <w:p w14:paraId="1530465C" w14:textId="45FAB0BC" w:rsidR="00CA088C" w:rsidRDefault="00E55C57">
          <w:pPr>
            <w:pStyle w:val="TOC1"/>
            <w:rPr>
              <w:rFonts w:asciiTheme="minorHAnsi" w:eastAsiaTheme="minorEastAsia" w:hAnsiTheme="minorHAnsi" w:cstheme="minorBidi"/>
              <w:b w:val="0"/>
              <w:caps w:val="0"/>
              <w:noProof/>
              <w:sz w:val="22"/>
            </w:rPr>
          </w:pPr>
          <w:hyperlink w:anchor="_Toc126264207" w:history="1">
            <w:r w:rsidR="00CA088C" w:rsidRPr="00786B07">
              <w:rPr>
                <w:rStyle w:val="Hyperlink"/>
                <w:noProof/>
              </w:rPr>
              <w:t>7 - Transit Safety Performance</w:t>
            </w:r>
            <w:r w:rsidR="00CA088C">
              <w:rPr>
                <w:noProof/>
                <w:webHidden/>
              </w:rPr>
              <w:tab/>
            </w:r>
            <w:r w:rsidR="00CA088C">
              <w:rPr>
                <w:noProof/>
                <w:webHidden/>
              </w:rPr>
              <w:fldChar w:fldCharType="begin"/>
            </w:r>
            <w:r w:rsidR="00CA088C">
              <w:rPr>
                <w:noProof/>
                <w:webHidden/>
              </w:rPr>
              <w:instrText xml:space="preserve"> PAGEREF _Toc126264207 \h </w:instrText>
            </w:r>
            <w:r w:rsidR="00CA088C">
              <w:rPr>
                <w:noProof/>
                <w:webHidden/>
              </w:rPr>
            </w:r>
            <w:r w:rsidR="00CA088C">
              <w:rPr>
                <w:noProof/>
                <w:webHidden/>
              </w:rPr>
              <w:fldChar w:fldCharType="separate"/>
            </w:r>
            <w:r w:rsidR="00CA088C">
              <w:rPr>
                <w:noProof/>
                <w:webHidden/>
              </w:rPr>
              <w:t>39</w:t>
            </w:r>
            <w:r w:rsidR="00CA088C">
              <w:rPr>
                <w:noProof/>
                <w:webHidden/>
              </w:rPr>
              <w:fldChar w:fldCharType="end"/>
            </w:r>
          </w:hyperlink>
        </w:p>
        <w:p w14:paraId="7807F6E2" w14:textId="30B7DAF1" w:rsidR="00CA088C" w:rsidRDefault="00E55C57">
          <w:pPr>
            <w:pStyle w:val="TOC2"/>
            <w:rPr>
              <w:rFonts w:asciiTheme="minorHAnsi" w:eastAsiaTheme="minorEastAsia" w:hAnsiTheme="minorHAnsi" w:cstheme="minorBidi"/>
              <w:noProof/>
              <w:sz w:val="22"/>
            </w:rPr>
          </w:pPr>
          <w:hyperlink w:anchor="_Toc126264208" w:history="1">
            <w:r w:rsidR="00CA088C" w:rsidRPr="00786B07">
              <w:rPr>
                <w:rStyle w:val="Hyperlink"/>
                <w:noProof/>
              </w:rPr>
              <w:t>7.1 Transit Safety Targets</w:t>
            </w:r>
            <w:r w:rsidR="00CA088C">
              <w:rPr>
                <w:noProof/>
                <w:webHidden/>
              </w:rPr>
              <w:tab/>
            </w:r>
            <w:r w:rsidR="00CA088C">
              <w:rPr>
                <w:noProof/>
                <w:webHidden/>
              </w:rPr>
              <w:fldChar w:fldCharType="begin"/>
            </w:r>
            <w:r w:rsidR="00CA088C">
              <w:rPr>
                <w:noProof/>
                <w:webHidden/>
              </w:rPr>
              <w:instrText xml:space="preserve"> PAGEREF _Toc126264208 \h </w:instrText>
            </w:r>
            <w:r w:rsidR="00CA088C">
              <w:rPr>
                <w:noProof/>
                <w:webHidden/>
              </w:rPr>
            </w:r>
            <w:r w:rsidR="00CA088C">
              <w:rPr>
                <w:noProof/>
                <w:webHidden/>
              </w:rPr>
              <w:fldChar w:fldCharType="separate"/>
            </w:r>
            <w:r w:rsidR="00CA088C">
              <w:rPr>
                <w:noProof/>
                <w:webHidden/>
              </w:rPr>
              <w:t>40</w:t>
            </w:r>
            <w:r w:rsidR="00CA088C">
              <w:rPr>
                <w:noProof/>
                <w:webHidden/>
              </w:rPr>
              <w:fldChar w:fldCharType="end"/>
            </w:r>
          </w:hyperlink>
        </w:p>
        <w:p w14:paraId="64973688" w14:textId="78A45F4C" w:rsidR="00CA088C" w:rsidRDefault="00E55C57">
          <w:pPr>
            <w:pStyle w:val="TOC2"/>
            <w:rPr>
              <w:rFonts w:asciiTheme="minorHAnsi" w:eastAsiaTheme="minorEastAsia" w:hAnsiTheme="minorHAnsi" w:cstheme="minorBidi"/>
              <w:noProof/>
              <w:sz w:val="22"/>
            </w:rPr>
          </w:pPr>
          <w:hyperlink w:anchor="_Toc126264209" w:history="1">
            <w:r w:rsidR="00CA088C" w:rsidRPr="00786B07">
              <w:rPr>
                <w:rStyle w:val="Hyperlink"/>
                <w:noProof/>
              </w:rPr>
              <w:t>7.2 Transit Safety Investments in the TIP</w:t>
            </w:r>
            <w:r w:rsidR="00CA088C">
              <w:rPr>
                <w:noProof/>
                <w:webHidden/>
              </w:rPr>
              <w:tab/>
            </w:r>
            <w:r w:rsidR="00CA088C">
              <w:rPr>
                <w:noProof/>
                <w:webHidden/>
              </w:rPr>
              <w:fldChar w:fldCharType="begin"/>
            </w:r>
            <w:r w:rsidR="00CA088C">
              <w:rPr>
                <w:noProof/>
                <w:webHidden/>
              </w:rPr>
              <w:instrText xml:space="preserve"> PAGEREF _Toc126264209 \h </w:instrText>
            </w:r>
            <w:r w:rsidR="00CA088C">
              <w:rPr>
                <w:noProof/>
                <w:webHidden/>
              </w:rPr>
            </w:r>
            <w:r w:rsidR="00CA088C">
              <w:rPr>
                <w:noProof/>
                <w:webHidden/>
              </w:rPr>
              <w:fldChar w:fldCharType="separate"/>
            </w:r>
            <w:r w:rsidR="00CA088C">
              <w:rPr>
                <w:noProof/>
                <w:webHidden/>
              </w:rPr>
              <w:t>42</w:t>
            </w:r>
            <w:r w:rsidR="00CA088C">
              <w:rPr>
                <w:noProof/>
                <w:webHidden/>
              </w:rPr>
              <w:fldChar w:fldCharType="end"/>
            </w:r>
          </w:hyperlink>
        </w:p>
        <w:p w14:paraId="3C0C5597" w14:textId="1813F81E" w:rsidR="00F82C2D" w:rsidRPr="001B3ED3" w:rsidRDefault="00F82C2D" w:rsidP="00E058A0">
          <w:pPr>
            <w:pStyle w:val="TOC2"/>
            <w:rPr>
              <w:rFonts w:asciiTheme="minorHAnsi" w:eastAsiaTheme="minorEastAsia" w:hAnsiTheme="minorHAnsi" w:cstheme="minorBidi"/>
              <w:noProof/>
              <w:sz w:val="22"/>
            </w:rPr>
          </w:pPr>
          <w:r>
            <w:rPr>
              <w:caps/>
            </w:rPr>
            <w:fldChar w:fldCharType="end"/>
          </w:r>
        </w:p>
      </w:sdtContent>
    </w:sdt>
    <w:p w14:paraId="403C466A" w14:textId="77777777" w:rsidR="00F82C2D" w:rsidRDefault="00F82C2D" w:rsidP="00F82C2D">
      <w:pPr>
        <w:pStyle w:val="BodyText"/>
      </w:pPr>
      <w:r>
        <w:br w:type="page"/>
      </w:r>
    </w:p>
    <w:p w14:paraId="63663210" w14:textId="77777777" w:rsidR="00F82C2D" w:rsidRPr="005267DD" w:rsidRDefault="00F82C2D" w:rsidP="00F82C2D">
      <w:pPr>
        <w:pStyle w:val="Heading1"/>
      </w:pPr>
      <w:bookmarkStart w:id="0" w:name="_Toc519178409"/>
      <w:bookmarkStart w:id="1" w:name="_Toc126264190"/>
      <w:r>
        <w:lastRenderedPageBreak/>
        <w:t>1 - P</w:t>
      </w:r>
      <w:bookmarkEnd w:id="0"/>
      <w:r>
        <w:t>urpose</w:t>
      </w:r>
      <w:bookmarkEnd w:id="1"/>
    </w:p>
    <w:p w14:paraId="58412303" w14:textId="7A1DCA54" w:rsidR="00F82C2D" w:rsidRDefault="00F82C2D" w:rsidP="00795362">
      <w:pPr>
        <w:pStyle w:val="BodyText"/>
        <w:rPr>
          <w:rFonts w:cs="Arial"/>
          <w:szCs w:val="24"/>
        </w:rPr>
      </w:pPr>
      <w:r>
        <w:rPr>
          <w:rFonts w:cs="Arial"/>
          <w:szCs w:val="24"/>
        </w:rPr>
        <w:t>This document provides language that Florida’s metropolitan planning organizations (MPO) may incorporate in Transportation Improvement Programs (TIP) to meet the federal transportation performance management rules</w:t>
      </w:r>
      <w:r w:rsidR="00124F3A">
        <w:rPr>
          <w:rFonts w:cs="Arial"/>
          <w:szCs w:val="24"/>
        </w:rPr>
        <w:t xml:space="preserve">. </w:t>
      </w:r>
    </w:p>
    <w:p w14:paraId="55E9171C" w14:textId="06293E09" w:rsidR="00F82C2D" w:rsidRDefault="00F82C2D" w:rsidP="00F82C2D">
      <w:pPr>
        <w:pStyle w:val="BodyText"/>
        <w:rPr>
          <w:rFonts w:cs="Arial"/>
          <w:szCs w:val="24"/>
        </w:rPr>
      </w:pPr>
      <w:r>
        <w:rPr>
          <w:rFonts w:cs="Arial"/>
          <w:szCs w:val="24"/>
        </w:rPr>
        <w:t xml:space="preserve">MPOs may </w:t>
      </w:r>
      <w:r w:rsidR="00D922E7">
        <w:rPr>
          <w:rFonts w:cs="Arial"/>
          <w:szCs w:val="24"/>
        </w:rPr>
        <w:t xml:space="preserve">adapt </w:t>
      </w:r>
      <w:r>
        <w:rPr>
          <w:rFonts w:cs="Arial"/>
          <w:szCs w:val="24"/>
        </w:rPr>
        <w:t>this template language as needed as they update their TIPs. In most sections, there are two options for the text, to be used by MPOs supporting statewide targets or MPOs establishing their own targets</w:t>
      </w:r>
      <w:r w:rsidR="00124F3A">
        <w:rPr>
          <w:rFonts w:cs="Arial"/>
          <w:szCs w:val="24"/>
        </w:rPr>
        <w:t xml:space="preserve">. </w:t>
      </w:r>
      <w:r>
        <w:rPr>
          <w:rFonts w:cs="Arial"/>
          <w:szCs w:val="24"/>
        </w:rPr>
        <w:t xml:space="preserve">Areas that require MPO input are </w:t>
      </w:r>
      <w:r w:rsidRPr="00924C97">
        <w:rPr>
          <w:rFonts w:cs="Arial"/>
          <w:szCs w:val="24"/>
          <w:highlight w:val="yellow"/>
        </w:rPr>
        <w:t>highlighted in yellow</w:t>
      </w:r>
      <w:r w:rsidR="00124F3A">
        <w:rPr>
          <w:rFonts w:cs="Arial"/>
          <w:szCs w:val="24"/>
        </w:rPr>
        <w:t xml:space="preserve">. </w:t>
      </w:r>
      <w:r>
        <w:rPr>
          <w:rFonts w:cs="Arial"/>
          <w:szCs w:val="24"/>
        </w:rPr>
        <w:t>This can range from simply adding the MPO name and adoption dates to providing MPO-specific background information and relevant strategies and prioritization processes.</w:t>
      </w:r>
    </w:p>
    <w:p w14:paraId="6A287206" w14:textId="3CDB5277" w:rsidR="00F82C2D" w:rsidRDefault="00F82C2D" w:rsidP="00F82C2D">
      <w:pPr>
        <w:pStyle w:val="BodyText"/>
        <w:rPr>
          <w:rFonts w:cs="Arial"/>
          <w:szCs w:val="24"/>
        </w:rPr>
      </w:pPr>
      <w:r>
        <w:rPr>
          <w:rFonts w:cs="Arial"/>
          <w:szCs w:val="24"/>
        </w:rPr>
        <w:t xml:space="preserve">The document is consistent with the </w:t>
      </w:r>
      <w:r w:rsidRPr="00023F99">
        <w:rPr>
          <w:rFonts w:cs="Arial"/>
          <w:szCs w:val="24"/>
        </w:rPr>
        <w:t xml:space="preserve">Transportation Performance Measures </w:t>
      </w:r>
      <w:r>
        <w:rPr>
          <w:rFonts w:cs="Arial"/>
          <w:szCs w:val="24"/>
        </w:rPr>
        <w:t xml:space="preserve">(TPM) </w:t>
      </w:r>
      <w:r w:rsidRPr="00023F99">
        <w:rPr>
          <w:rFonts w:cs="Arial"/>
          <w:szCs w:val="24"/>
        </w:rPr>
        <w:t>Consensus Planning Document</w:t>
      </w:r>
      <w:r>
        <w:rPr>
          <w:rFonts w:cs="Arial"/>
          <w:szCs w:val="24"/>
        </w:rPr>
        <w:t xml:space="preserve"> developed jointly by the Florida Department of Transportation (FDOT) and the Metropolitan Planning Organization Advisory Council (MPOAC)</w:t>
      </w:r>
      <w:r w:rsidR="00124F3A">
        <w:rPr>
          <w:rFonts w:cs="Arial"/>
          <w:szCs w:val="24"/>
        </w:rPr>
        <w:t xml:space="preserve">. </w:t>
      </w:r>
      <w:r w:rsidR="00D922E7">
        <w:rPr>
          <w:rFonts w:cs="Arial"/>
          <w:szCs w:val="24"/>
        </w:rPr>
        <w:t>The Consensus Planning</w:t>
      </w:r>
      <w:r w:rsidRPr="00023F99">
        <w:rPr>
          <w:rFonts w:cs="Arial"/>
          <w:szCs w:val="24"/>
        </w:rPr>
        <w:t xml:space="preserve"> </w:t>
      </w:r>
      <w:r w:rsidR="00D922E7">
        <w:rPr>
          <w:rFonts w:cs="Arial"/>
          <w:szCs w:val="24"/>
        </w:rPr>
        <w:t>D</w:t>
      </w:r>
      <w:r w:rsidRPr="00023F99">
        <w:rPr>
          <w:rFonts w:cs="Arial"/>
          <w:szCs w:val="24"/>
        </w:rPr>
        <w:t>ocument outline</w:t>
      </w:r>
      <w:r>
        <w:rPr>
          <w:rFonts w:cs="Arial"/>
          <w:szCs w:val="24"/>
        </w:rPr>
        <w:t>s</w:t>
      </w:r>
      <w:r w:rsidRPr="00023F99">
        <w:rPr>
          <w:rFonts w:cs="Arial"/>
          <w:szCs w:val="24"/>
        </w:rPr>
        <w:t xml:space="preserve"> the minimum roles of FDOT, the MPOs, and the </w:t>
      </w:r>
      <w:r>
        <w:rPr>
          <w:rFonts w:cs="Arial"/>
          <w:szCs w:val="24"/>
        </w:rPr>
        <w:t>p</w:t>
      </w:r>
      <w:r w:rsidRPr="00023F99">
        <w:rPr>
          <w:rFonts w:cs="Arial"/>
          <w:szCs w:val="24"/>
        </w:rPr>
        <w:t>ublic transportation</w:t>
      </w:r>
      <w:r>
        <w:rPr>
          <w:rFonts w:cs="Arial"/>
          <w:szCs w:val="24"/>
        </w:rPr>
        <w:t xml:space="preserve"> providers</w:t>
      </w:r>
      <w:r w:rsidRPr="00023F99">
        <w:rPr>
          <w:rFonts w:cs="Arial"/>
          <w:szCs w:val="24"/>
        </w:rPr>
        <w:t xml:space="preserve"> in the MPO planning areas to ensure consistency to the maximum extent practicable in satisfying the </w:t>
      </w:r>
      <w:r w:rsidR="00E672DB">
        <w:rPr>
          <w:rFonts w:cs="Arial"/>
          <w:szCs w:val="24"/>
        </w:rPr>
        <w:t xml:space="preserve">federal </w:t>
      </w:r>
      <w:r w:rsidRPr="00023F99">
        <w:rPr>
          <w:rFonts w:cs="Arial"/>
          <w:szCs w:val="24"/>
        </w:rPr>
        <w:t>transportation performance management requirements</w:t>
      </w:r>
      <w:r w:rsidR="00124F3A">
        <w:rPr>
          <w:rFonts w:cs="Arial"/>
          <w:szCs w:val="24"/>
        </w:rPr>
        <w:t xml:space="preserve">. </w:t>
      </w:r>
    </w:p>
    <w:p w14:paraId="2CAB3CC1" w14:textId="77777777" w:rsidR="00F82C2D" w:rsidRDefault="00F82C2D" w:rsidP="00F82C2D">
      <w:pPr>
        <w:pStyle w:val="BodyText"/>
        <w:rPr>
          <w:rFonts w:cs="Arial"/>
          <w:szCs w:val="24"/>
        </w:rPr>
      </w:pPr>
      <w:r>
        <w:rPr>
          <w:rFonts w:cs="Arial"/>
          <w:szCs w:val="24"/>
        </w:rPr>
        <w:t>The document is organized as follows:</w:t>
      </w:r>
    </w:p>
    <w:p w14:paraId="40467328" w14:textId="185690F9" w:rsidR="00F82C2D" w:rsidRDefault="00E55C57" w:rsidP="0000371F">
      <w:pPr>
        <w:pStyle w:val="ListBullet"/>
      </w:pPr>
      <w:hyperlink w:anchor="_2_-_Background" w:history="1">
        <w:r w:rsidR="00F82C2D" w:rsidRPr="00BE7CD6">
          <w:rPr>
            <w:rStyle w:val="Hyperlink"/>
            <w:rFonts w:cs="Arial"/>
          </w:rPr>
          <w:t>Section 2 provides a brief background on transportation performance management</w:t>
        </w:r>
      </w:hyperlink>
      <w:r w:rsidR="00F82C2D">
        <w:t>;</w:t>
      </w:r>
    </w:p>
    <w:p w14:paraId="69BCA477" w14:textId="0F60DD35" w:rsidR="00F82C2D" w:rsidRDefault="00E55C57" w:rsidP="0000371F">
      <w:pPr>
        <w:pStyle w:val="ListBullet"/>
      </w:pPr>
      <w:hyperlink w:anchor="_3_-_Highway" w:history="1">
        <w:r w:rsidR="00F82C2D" w:rsidRPr="00BE7CD6">
          <w:rPr>
            <w:rStyle w:val="Hyperlink"/>
            <w:rFonts w:cs="Arial"/>
          </w:rPr>
          <w:t>Section 3 covers the Highway Safety measures (PM1)</w:t>
        </w:r>
      </w:hyperlink>
      <w:r w:rsidR="00F82C2D">
        <w:t>;</w:t>
      </w:r>
      <w:r w:rsidR="00F82C2D" w:rsidRPr="002D2DD0">
        <w:t xml:space="preserve"> </w:t>
      </w:r>
    </w:p>
    <w:p w14:paraId="04FE4865" w14:textId="6B961C33" w:rsidR="00F82C2D" w:rsidRDefault="00E55C57" w:rsidP="0000371F">
      <w:pPr>
        <w:pStyle w:val="ListBullet"/>
      </w:pPr>
      <w:hyperlink w:anchor="_4_-_Bridge" w:history="1">
        <w:r w:rsidR="00F82C2D" w:rsidRPr="00BE7CD6">
          <w:rPr>
            <w:rStyle w:val="Hyperlink"/>
            <w:rFonts w:cs="Arial"/>
          </w:rPr>
          <w:t xml:space="preserve">Section 4 covers the </w:t>
        </w:r>
        <w:r w:rsidR="00F75898" w:rsidRPr="00BE7CD6">
          <w:rPr>
            <w:rStyle w:val="Hyperlink"/>
            <w:rFonts w:cs="Arial"/>
          </w:rPr>
          <w:t>B</w:t>
        </w:r>
        <w:r w:rsidR="00D922E7" w:rsidRPr="00BE7CD6">
          <w:rPr>
            <w:rStyle w:val="Hyperlink"/>
            <w:rFonts w:cs="Arial"/>
          </w:rPr>
          <w:t>r</w:t>
        </w:r>
        <w:r w:rsidR="00F75898" w:rsidRPr="00BE7CD6">
          <w:rPr>
            <w:rStyle w:val="Hyperlink"/>
            <w:rFonts w:cs="Arial"/>
          </w:rPr>
          <w:t xml:space="preserve">idge and </w:t>
        </w:r>
        <w:r w:rsidR="00653195" w:rsidRPr="00BE7CD6">
          <w:rPr>
            <w:rStyle w:val="Hyperlink"/>
            <w:rFonts w:cs="Arial"/>
          </w:rPr>
          <w:t>Pavement Condition</w:t>
        </w:r>
        <w:r w:rsidR="00F82C2D" w:rsidRPr="00BE7CD6">
          <w:rPr>
            <w:rStyle w:val="Hyperlink"/>
            <w:rFonts w:cs="Arial"/>
          </w:rPr>
          <w:t xml:space="preserve"> measures (PM2)</w:t>
        </w:r>
      </w:hyperlink>
      <w:r w:rsidR="00F82C2D">
        <w:t xml:space="preserve">; </w:t>
      </w:r>
    </w:p>
    <w:p w14:paraId="2A2BF208" w14:textId="4B270E77" w:rsidR="00F82C2D" w:rsidRDefault="00E55C57" w:rsidP="0000371F">
      <w:pPr>
        <w:pStyle w:val="ListBullet"/>
      </w:pPr>
      <w:hyperlink w:anchor="_5_-_System" w:history="1">
        <w:r w:rsidR="00F82C2D" w:rsidRPr="00BE7CD6">
          <w:rPr>
            <w:rStyle w:val="Hyperlink"/>
            <w:rFonts w:cs="Arial"/>
          </w:rPr>
          <w:t xml:space="preserve">Section 5 covers System Performance </w:t>
        </w:r>
        <w:r w:rsidR="009F0954" w:rsidRPr="00BE7CD6">
          <w:rPr>
            <w:rStyle w:val="Hyperlink"/>
            <w:rFonts w:cs="Arial"/>
          </w:rPr>
          <w:t xml:space="preserve">and Freight Movement </w:t>
        </w:r>
        <w:r w:rsidR="00F82C2D" w:rsidRPr="00BE7CD6">
          <w:rPr>
            <w:rStyle w:val="Hyperlink"/>
            <w:rFonts w:cs="Arial"/>
          </w:rPr>
          <w:t>measures (PM3)</w:t>
        </w:r>
      </w:hyperlink>
      <w:r w:rsidR="00F82C2D">
        <w:t>;</w:t>
      </w:r>
    </w:p>
    <w:p w14:paraId="72F0DE3E" w14:textId="5B806A5A" w:rsidR="00F82C2D" w:rsidRDefault="00E55C57" w:rsidP="0000371F">
      <w:pPr>
        <w:pStyle w:val="ListBullet"/>
      </w:pPr>
      <w:hyperlink w:anchor="_6_-_Transit" w:history="1">
        <w:r w:rsidR="00F82C2D" w:rsidRPr="00BE7CD6">
          <w:rPr>
            <w:rStyle w:val="Hyperlink"/>
            <w:rFonts w:cs="Arial"/>
          </w:rPr>
          <w:t>Section 6 covers Transit Asset Management (TAM) measures</w:t>
        </w:r>
      </w:hyperlink>
      <w:r w:rsidR="00F82C2D" w:rsidRPr="00EA55C7">
        <w:t>;</w:t>
      </w:r>
      <w:r w:rsidR="00F82C2D">
        <w:t xml:space="preserve"> and</w:t>
      </w:r>
    </w:p>
    <w:p w14:paraId="1D8AD95A" w14:textId="570EDEF5" w:rsidR="00F82C2D" w:rsidRDefault="00E55C57" w:rsidP="0000371F">
      <w:pPr>
        <w:pStyle w:val="ListBullet"/>
      </w:pPr>
      <w:hyperlink w:anchor="_7_-_Transit" w:history="1">
        <w:r w:rsidR="00F82C2D" w:rsidRPr="00BE7CD6">
          <w:rPr>
            <w:rStyle w:val="Hyperlink"/>
            <w:rFonts w:cs="Arial"/>
          </w:rPr>
          <w:t>Section 7 covers Transit Safety measures</w:t>
        </w:r>
      </w:hyperlink>
      <w:r w:rsidR="00F82C2D">
        <w:t xml:space="preserve">. </w:t>
      </w:r>
    </w:p>
    <w:p w14:paraId="72C109AA" w14:textId="77777777" w:rsidR="00F82C2D" w:rsidRDefault="00F82C2D" w:rsidP="00F82C2D">
      <w:pPr>
        <w:spacing w:after="200" w:line="276" w:lineRule="auto"/>
        <w:jc w:val="left"/>
        <w:rPr>
          <w:b/>
          <w:caps/>
          <w:kern w:val="28"/>
          <w:sz w:val="36"/>
          <w:szCs w:val="36"/>
        </w:rPr>
      </w:pPr>
      <w:r>
        <w:br w:type="page"/>
      </w:r>
    </w:p>
    <w:p w14:paraId="729CB2E5" w14:textId="77777777" w:rsidR="00F82C2D" w:rsidRPr="007E16DA" w:rsidRDefault="00F82C2D" w:rsidP="00F82C2D">
      <w:pPr>
        <w:pStyle w:val="Heading1"/>
      </w:pPr>
      <w:bookmarkStart w:id="2" w:name="_2_-_Background"/>
      <w:bookmarkStart w:id="3" w:name="_Toc126264191"/>
      <w:bookmarkEnd w:id="2"/>
      <w:r>
        <w:lastRenderedPageBreak/>
        <w:t xml:space="preserve">2 - </w:t>
      </w:r>
      <w:r w:rsidRPr="007E16DA">
        <w:t>Background</w:t>
      </w:r>
      <w:bookmarkEnd w:id="3"/>
    </w:p>
    <w:p w14:paraId="0087EA04" w14:textId="45CE7960" w:rsidR="00F82C2D" w:rsidRPr="007E16DA" w:rsidRDefault="00387562" w:rsidP="00F82C2D">
      <w:pPr>
        <w:tabs>
          <w:tab w:val="left" w:pos="2250"/>
        </w:tabs>
        <w:rPr>
          <w:rFonts w:cs="Calibri"/>
          <w:szCs w:val="24"/>
        </w:rPr>
      </w:pPr>
      <w:r>
        <w:rPr>
          <w:rFonts w:cs="Calibri"/>
          <w:kern w:val="28"/>
          <w:szCs w:val="24"/>
        </w:rPr>
        <w:t xml:space="preserve">Transportation </w:t>
      </w:r>
      <w:r w:rsidR="00F82C2D" w:rsidRPr="007E16DA">
        <w:rPr>
          <w:rFonts w:cs="Calibri"/>
          <w:kern w:val="28"/>
          <w:szCs w:val="24"/>
        </w:rPr>
        <w:t xml:space="preserve">Performance </w:t>
      </w:r>
      <w:r>
        <w:rPr>
          <w:rFonts w:cs="Calibri"/>
          <w:kern w:val="28"/>
          <w:szCs w:val="24"/>
        </w:rPr>
        <w:t>M</w:t>
      </w:r>
      <w:r w:rsidR="00F82C2D" w:rsidRPr="007E16DA">
        <w:rPr>
          <w:rFonts w:cs="Calibri"/>
          <w:kern w:val="28"/>
          <w:szCs w:val="24"/>
        </w:rPr>
        <w:t>anagement</w:t>
      </w:r>
      <w:r>
        <w:rPr>
          <w:rFonts w:cs="Calibri"/>
          <w:kern w:val="28"/>
          <w:szCs w:val="24"/>
        </w:rPr>
        <w:t xml:space="preserve"> (TPM)</w:t>
      </w:r>
      <w:r w:rsidR="00F82C2D" w:rsidRPr="007E16DA">
        <w:rPr>
          <w:rFonts w:cs="Calibri"/>
          <w:kern w:val="28"/>
          <w:szCs w:val="24"/>
        </w:rPr>
        <w:t xml:space="preserve"> is a strategic approach to connect </w:t>
      </w:r>
      <w:r>
        <w:rPr>
          <w:rFonts w:cs="Calibri"/>
          <w:kern w:val="28"/>
          <w:szCs w:val="24"/>
        </w:rPr>
        <w:t xml:space="preserve">transportation </w:t>
      </w:r>
      <w:r w:rsidR="00F82C2D" w:rsidRPr="007E16DA">
        <w:rPr>
          <w:rFonts w:cs="Calibri"/>
          <w:kern w:val="28"/>
          <w:szCs w:val="24"/>
        </w:rPr>
        <w:t>investment and policy decisions to help achieve performance goals</w:t>
      </w:r>
      <w:r w:rsidR="00124F3A" w:rsidRPr="007E16DA">
        <w:rPr>
          <w:rFonts w:cs="Calibri"/>
          <w:kern w:val="28"/>
          <w:szCs w:val="24"/>
        </w:rPr>
        <w:t xml:space="preserve">. </w:t>
      </w:r>
      <w:r w:rsidR="00F82C2D" w:rsidRPr="007E16DA">
        <w:rPr>
          <w:rFonts w:cs="Calibri"/>
          <w:kern w:val="28"/>
          <w:szCs w:val="24"/>
        </w:rPr>
        <w:t xml:space="preserve">Performance measures are quantitative </w:t>
      </w:r>
      <w:r w:rsidR="00064F6E">
        <w:rPr>
          <w:rFonts w:cs="Calibri"/>
          <w:kern w:val="28"/>
          <w:szCs w:val="24"/>
        </w:rPr>
        <w:t xml:space="preserve">expressions </w:t>
      </w:r>
      <w:r w:rsidR="00F82C2D" w:rsidRPr="007E16DA">
        <w:rPr>
          <w:rFonts w:cs="Calibri"/>
          <w:kern w:val="28"/>
          <w:szCs w:val="24"/>
        </w:rPr>
        <w:t>used to evaluate progress</w:t>
      </w:r>
      <w:r w:rsidR="00064F6E">
        <w:rPr>
          <w:rFonts w:cs="Calibri"/>
          <w:kern w:val="28"/>
          <w:szCs w:val="24"/>
        </w:rPr>
        <w:t xml:space="preserve"> toward goals</w:t>
      </w:r>
      <w:r w:rsidR="00124F3A" w:rsidRPr="007E16DA">
        <w:rPr>
          <w:rFonts w:cs="Calibri"/>
          <w:kern w:val="28"/>
          <w:szCs w:val="24"/>
        </w:rPr>
        <w:t xml:space="preserve">. </w:t>
      </w:r>
      <w:r w:rsidR="00F82C2D" w:rsidRPr="007E16DA">
        <w:rPr>
          <w:rFonts w:cs="Calibri"/>
          <w:kern w:val="28"/>
          <w:szCs w:val="24"/>
        </w:rPr>
        <w:t xml:space="preserve">Performance targets are </w:t>
      </w:r>
      <w:r w:rsidR="00064F6E">
        <w:rPr>
          <w:rFonts w:cs="Calibri"/>
          <w:kern w:val="28"/>
          <w:szCs w:val="24"/>
        </w:rPr>
        <w:t>quant</w:t>
      </w:r>
      <w:r w:rsidR="000C0E09">
        <w:rPr>
          <w:rFonts w:cs="Calibri"/>
          <w:kern w:val="28"/>
          <w:szCs w:val="24"/>
        </w:rPr>
        <w:t>ifiable levels of performance to be achieved within a time period</w:t>
      </w:r>
      <w:r w:rsidR="00124F3A" w:rsidRPr="007E16DA">
        <w:rPr>
          <w:rFonts w:cs="Calibri"/>
          <w:kern w:val="28"/>
          <w:szCs w:val="24"/>
        </w:rPr>
        <w:t xml:space="preserve">. </w:t>
      </w:r>
      <w:r w:rsidR="008032EB">
        <w:rPr>
          <w:rFonts w:cs="Calibri"/>
          <w:szCs w:val="24"/>
        </w:rPr>
        <w:t>F</w:t>
      </w:r>
      <w:r w:rsidR="000C0E09">
        <w:rPr>
          <w:rFonts w:cs="Calibri"/>
          <w:szCs w:val="24"/>
        </w:rPr>
        <w:t xml:space="preserve">ederal transportation law requires </w:t>
      </w:r>
      <w:r w:rsidR="00F82C2D">
        <w:rPr>
          <w:rFonts w:cs="Calibri"/>
          <w:szCs w:val="24"/>
        </w:rPr>
        <w:t>s</w:t>
      </w:r>
      <w:r w:rsidR="00F82C2D" w:rsidRPr="007E16DA">
        <w:rPr>
          <w:rFonts w:cs="Calibri"/>
          <w:szCs w:val="24"/>
        </w:rPr>
        <w:t xml:space="preserve">tate </w:t>
      </w:r>
      <w:r w:rsidR="00F82C2D">
        <w:rPr>
          <w:rFonts w:cs="Calibri"/>
          <w:szCs w:val="24"/>
        </w:rPr>
        <w:t>departments of transportation (</w:t>
      </w:r>
      <w:r w:rsidR="00F82C2D" w:rsidRPr="007E16DA">
        <w:rPr>
          <w:rFonts w:cs="Calibri"/>
          <w:szCs w:val="24"/>
        </w:rPr>
        <w:t>DOT</w:t>
      </w:r>
      <w:r w:rsidR="00F82C2D">
        <w:rPr>
          <w:rFonts w:cs="Calibri"/>
          <w:szCs w:val="24"/>
        </w:rPr>
        <w:t>)</w:t>
      </w:r>
      <w:r w:rsidR="000C0E09">
        <w:rPr>
          <w:rFonts w:cs="Calibri"/>
          <w:szCs w:val="24"/>
        </w:rPr>
        <w:t xml:space="preserve">, </w:t>
      </w:r>
      <w:r w:rsidR="00F82C2D" w:rsidRPr="007E16DA">
        <w:rPr>
          <w:rFonts w:cs="Calibri"/>
          <w:szCs w:val="24"/>
        </w:rPr>
        <w:t>MPO</w:t>
      </w:r>
      <w:r w:rsidR="00F82C2D">
        <w:rPr>
          <w:rFonts w:cs="Calibri"/>
          <w:szCs w:val="24"/>
        </w:rPr>
        <w:t>s</w:t>
      </w:r>
      <w:r w:rsidR="000C0E09">
        <w:rPr>
          <w:rFonts w:cs="Calibri"/>
          <w:szCs w:val="24"/>
        </w:rPr>
        <w:t>, and public transportation providers</w:t>
      </w:r>
      <w:r w:rsidR="00F82C2D" w:rsidRPr="007E16DA">
        <w:rPr>
          <w:rFonts w:cs="Calibri"/>
          <w:szCs w:val="24"/>
        </w:rPr>
        <w:t xml:space="preserve"> to conduct performance-based planning by tracking performance and </w:t>
      </w:r>
      <w:r w:rsidR="00F82C2D">
        <w:rPr>
          <w:rFonts w:cs="Calibri"/>
          <w:szCs w:val="24"/>
        </w:rPr>
        <w:t>establishing</w:t>
      </w:r>
      <w:r w:rsidR="00F82C2D" w:rsidRPr="007E16DA">
        <w:rPr>
          <w:rFonts w:cs="Calibri"/>
          <w:szCs w:val="24"/>
        </w:rPr>
        <w:t xml:space="preserve"> data-driven targets to </w:t>
      </w:r>
      <w:r w:rsidR="000C0E09">
        <w:rPr>
          <w:rFonts w:cs="Calibri"/>
          <w:szCs w:val="24"/>
        </w:rPr>
        <w:t>assess progress toward achieving goals</w:t>
      </w:r>
      <w:r w:rsidR="00124F3A" w:rsidRPr="007E16DA">
        <w:rPr>
          <w:rFonts w:cs="Calibri"/>
          <w:szCs w:val="24"/>
        </w:rPr>
        <w:t xml:space="preserve">. </w:t>
      </w:r>
      <w:r w:rsidR="00F82C2D" w:rsidRPr="007E16DA">
        <w:rPr>
          <w:rFonts w:cs="Calibri"/>
          <w:szCs w:val="24"/>
        </w:rPr>
        <w:t xml:space="preserve">Performance-based planning </w:t>
      </w:r>
      <w:r w:rsidR="000C0E09">
        <w:rPr>
          <w:rFonts w:cs="Calibri"/>
          <w:szCs w:val="24"/>
        </w:rPr>
        <w:t>supports the</w:t>
      </w:r>
      <w:r w:rsidR="00F82C2D" w:rsidRPr="007E16DA">
        <w:rPr>
          <w:rFonts w:cs="Calibri"/>
          <w:szCs w:val="24"/>
        </w:rPr>
        <w:t xml:space="preserve"> efficient investment of transportation funds by increasing accountability, </w:t>
      </w:r>
      <w:r w:rsidR="00F82C2D">
        <w:rPr>
          <w:rFonts w:cs="Calibri"/>
          <w:szCs w:val="24"/>
        </w:rPr>
        <w:t xml:space="preserve">providing </w:t>
      </w:r>
      <w:r w:rsidR="00F82C2D" w:rsidRPr="007E16DA">
        <w:rPr>
          <w:rFonts w:cs="Calibri"/>
          <w:szCs w:val="24"/>
        </w:rPr>
        <w:t xml:space="preserve">transparency, and </w:t>
      </w:r>
      <w:r w:rsidR="00F82C2D">
        <w:rPr>
          <w:rFonts w:cs="Calibri"/>
          <w:szCs w:val="24"/>
        </w:rPr>
        <w:t xml:space="preserve">linking </w:t>
      </w:r>
      <w:r w:rsidR="00F82C2D" w:rsidRPr="007E16DA">
        <w:rPr>
          <w:rFonts w:cs="Calibri"/>
          <w:szCs w:val="24"/>
        </w:rPr>
        <w:t xml:space="preserve">investment decisions </w:t>
      </w:r>
      <w:r w:rsidR="00F82C2D">
        <w:rPr>
          <w:rFonts w:cs="Calibri"/>
          <w:szCs w:val="24"/>
        </w:rPr>
        <w:t>to</w:t>
      </w:r>
      <w:r w:rsidR="00F82C2D" w:rsidRPr="007E16DA">
        <w:rPr>
          <w:rFonts w:cs="Calibri"/>
          <w:szCs w:val="24"/>
        </w:rPr>
        <w:t xml:space="preserve"> key outcomes related to seven national goals</w:t>
      </w:r>
      <w:r w:rsidR="000B773A">
        <w:rPr>
          <w:rFonts w:cs="Calibri"/>
          <w:szCs w:val="24"/>
        </w:rPr>
        <w:t xml:space="preserve"> established by Congress</w:t>
      </w:r>
      <w:r w:rsidR="00F82C2D" w:rsidRPr="007E16DA">
        <w:rPr>
          <w:rFonts w:cs="Calibri"/>
          <w:szCs w:val="24"/>
        </w:rPr>
        <w:t>:</w:t>
      </w:r>
    </w:p>
    <w:p w14:paraId="79294170" w14:textId="77777777" w:rsidR="00F82C2D" w:rsidRPr="000C0470" w:rsidRDefault="00F82C2D" w:rsidP="0000371F">
      <w:pPr>
        <w:pStyle w:val="ListBullet"/>
      </w:pPr>
      <w:r w:rsidRPr="000C0470">
        <w:t>Improving safety;</w:t>
      </w:r>
    </w:p>
    <w:p w14:paraId="3EC0696A" w14:textId="77777777" w:rsidR="00F82C2D" w:rsidRPr="000C0470" w:rsidRDefault="00F82C2D" w:rsidP="0000371F">
      <w:pPr>
        <w:pStyle w:val="ListBullet"/>
      </w:pPr>
      <w:r w:rsidRPr="000C0470">
        <w:t>Maintaining infrastructure condition;</w:t>
      </w:r>
    </w:p>
    <w:p w14:paraId="7698D2F5" w14:textId="77777777" w:rsidR="00F82C2D" w:rsidRPr="000C0470" w:rsidRDefault="00F82C2D" w:rsidP="0000371F">
      <w:pPr>
        <w:pStyle w:val="ListBullet"/>
      </w:pPr>
      <w:r w:rsidRPr="000C0470">
        <w:t>Reducing traffic congestion;</w:t>
      </w:r>
    </w:p>
    <w:p w14:paraId="5FE1FDD5" w14:textId="77777777" w:rsidR="00F82C2D" w:rsidRPr="000C0470" w:rsidRDefault="00F82C2D" w:rsidP="0000371F">
      <w:pPr>
        <w:pStyle w:val="ListBullet"/>
      </w:pPr>
      <w:r w:rsidRPr="000C0470">
        <w:t>Improving the efficiency of the system and freight movement;</w:t>
      </w:r>
    </w:p>
    <w:p w14:paraId="7BD3C5E4" w14:textId="77777777" w:rsidR="00F82C2D" w:rsidRPr="000C0470" w:rsidRDefault="00F82C2D" w:rsidP="0000371F">
      <w:pPr>
        <w:pStyle w:val="ListBullet"/>
      </w:pPr>
      <w:r w:rsidRPr="000C0470">
        <w:t>Protecting the environment; and</w:t>
      </w:r>
    </w:p>
    <w:p w14:paraId="065BC327" w14:textId="77777777" w:rsidR="00F82C2D" w:rsidRPr="000C0470" w:rsidRDefault="00F82C2D" w:rsidP="0000371F">
      <w:pPr>
        <w:pStyle w:val="ListBullet"/>
      </w:pPr>
      <w:r w:rsidRPr="000C0470">
        <w:t>Reducing delays in project delivery.</w:t>
      </w:r>
    </w:p>
    <w:p w14:paraId="095A6472" w14:textId="44BB7F8A" w:rsidR="00F82C2D" w:rsidRPr="00924C97" w:rsidRDefault="000B773A" w:rsidP="00F82C2D">
      <w:pPr>
        <w:tabs>
          <w:tab w:val="left" w:pos="2250"/>
        </w:tabs>
        <w:rPr>
          <w:rFonts w:cs="Calibri"/>
          <w:szCs w:val="24"/>
        </w:rPr>
      </w:pPr>
      <w:r>
        <w:rPr>
          <w:rFonts w:cs="Calibri"/>
          <w:szCs w:val="24"/>
        </w:rPr>
        <w:t>Federal law requires FDOT, the MPOs, and public transportation providers to coordinate when selecting performance targets.</w:t>
      </w:r>
      <w:r w:rsidR="00F82C2D" w:rsidRPr="00924C97">
        <w:rPr>
          <w:rFonts w:cs="Calibri"/>
          <w:szCs w:val="24"/>
        </w:rPr>
        <w:t xml:space="preserve"> FDOT and the MPOAC developed the TPM Consensus Planning Document to describe the processes through which </w:t>
      </w:r>
      <w:r>
        <w:rPr>
          <w:rFonts w:cs="Calibri"/>
          <w:szCs w:val="24"/>
        </w:rPr>
        <w:t xml:space="preserve">these agencies </w:t>
      </w:r>
      <w:r w:rsidR="00F82C2D" w:rsidRPr="00924C97">
        <w:rPr>
          <w:rFonts w:cs="Calibri"/>
          <w:szCs w:val="24"/>
        </w:rPr>
        <w:t xml:space="preserve">will cooperatively develop and share information related to transportation performance management and target setting. </w:t>
      </w:r>
    </w:p>
    <w:p w14:paraId="24C102A4" w14:textId="6818A101" w:rsidR="00DA1384" w:rsidRDefault="00DA1384" w:rsidP="00DA1384">
      <w:pPr>
        <w:pStyle w:val="BodyText"/>
      </w:pPr>
    </w:p>
    <w:p w14:paraId="36C2CE5D" w14:textId="77777777" w:rsidR="009A5CC6" w:rsidRDefault="009A5CC6" w:rsidP="00B56E4A">
      <w:pPr>
        <w:pStyle w:val="Heading1"/>
        <w:rPr>
          <w:b w:val="0"/>
          <w:caps w:val="0"/>
          <w:sz w:val="24"/>
          <w:szCs w:val="24"/>
        </w:rPr>
      </w:pPr>
      <w:r>
        <w:rPr>
          <w:b w:val="0"/>
          <w:caps w:val="0"/>
          <w:sz w:val="24"/>
          <w:szCs w:val="24"/>
        </w:rPr>
        <w:br w:type="page"/>
      </w:r>
    </w:p>
    <w:bookmarkStart w:id="4" w:name="_Toc126264192"/>
    <w:p w14:paraId="17034449" w14:textId="279841E8" w:rsidR="00F82C2D" w:rsidRPr="007E16DA" w:rsidRDefault="003570A9" w:rsidP="0000371F">
      <w:pPr>
        <w:pStyle w:val="Heading1"/>
      </w:pPr>
      <w:r>
        <w:rPr>
          <w:noProof/>
        </w:rPr>
        <w:lastRenderedPageBreak/>
        <mc:AlternateContent>
          <mc:Choice Requires="wps">
            <w:drawing>
              <wp:anchor distT="0" distB="0" distL="114300" distR="114300" simplePos="0" relativeHeight="251660288" behindDoc="1" locked="0" layoutInCell="1" allowOverlap="1" wp14:anchorId="02BD7C67" wp14:editId="263735F7">
                <wp:simplePos x="0" y="0"/>
                <wp:positionH relativeFrom="margin">
                  <wp:posOffset>2423160</wp:posOffset>
                </wp:positionH>
                <wp:positionV relativeFrom="paragraph">
                  <wp:posOffset>2177034</wp:posOffset>
                </wp:positionV>
                <wp:extent cx="1718945" cy="1033145"/>
                <wp:effectExtent l="0" t="0" r="0" b="0"/>
                <wp:wrapNone/>
                <wp:docPr id="1" name="Rectangle 1"/>
                <wp:cNvGraphicFramePr/>
                <a:graphic xmlns:a="http://schemas.openxmlformats.org/drawingml/2006/main">
                  <a:graphicData uri="http://schemas.microsoft.com/office/word/2010/wordprocessingShape">
                    <wps:wsp>
                      <wps:cNvSpPr/>
                      <wps:spPr>
                        <a:xfrm>
                          <a:off x="0" y="0"/>
                          <a:ext cx="1718945" cy="1033145"/>
                        </a:xfrm>
                        <a:prstGeom prst="rect">
                          <a:avLst/>
                        </a:prstGeom>
                        <a:solidFill>
                          <a:schemeClr val="bg2">
                            <a:alpha val="5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2CD76" id="Rectangle 1" o:spid="_x0000_s1026" style="position:absolute;margin-left:190.8pt;margin-top:171.4pt;width:135.35pt;height:81.3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" fillcolor="white [3214]" stroked="f" strokeweight="2pt">
                <v:fill opacity="38036f"/>
                <w10:wrap anchorx="margin"/>
              </v:rect>
            </w:pict>
          </mc:Fallback>
        </mc:AlternateContent>
      </w:r>
      <w:bookmarkStart w:id="5" w:name="_3_-_Highway"/>
      <w:bookmarkStart w:id="6" w:name="_Toc97743200"/>
      <w:bookmarkEnd w:id="5"/>
      <w:r w:rsidR="00F82C2D">
        <w:t>3 - Highway Safety Measures (PM1)</w:t>
      </w:r>
      <w:bookmarkEnd w:id="4"/>
    </w:p>
    <w:p w14:paraId="735F74C4" w14:textId="71DDA571" w:rsidR="00F82C2D" w:rsidRPr="007E16DA" w:rsidRDefault="006577B3" w:rsidP="00F82C2D">
      <w:pPr>
        <w:tabs>
          <w:tab w:val="left" w:pos="2250"/>
        </w:tabs>
        <w:rPr>
          <w:rFonts w:cs="Calibri"/>
          <w:szCs w:val="24"/>
        </w:rPr>
      </w:pPr>
      <w:r w:rsidRPr="006577B3">
        <w:rPr>
          <w:rFonts w:cs="Calibri"/>
          <w:szCs w:val="24"/>
        </w:rPr>
        <w:t>The first of FHWA</w:t>
      </w:r>
      <w:r>
        <w:rPr>
          <w:rFonts w:cs="Calibri"/>
          <w:szCs w:val="24"/>
        </w:rPr>
        <w:t>’s</w:t>
      </w:r>
      <w:r w:rsidRPr="006577B3">
        <w:rPr>
          <w:rFonts w:cs="Calibri"/>
          <w:szCs w:val="24"/>
        </w:rPr>
        <w:t xml:space="preserve"> performance management rules establishes measures to</w:t>
      </w:r>
      <w:r>
        <w:rPr>
          <w:rFonts w:cs="Calibri"/>
          <w:szCs w:val="24"/>
        </w:rPr>
        <w:t xml:space="preserve"> </w:t>
      </w:r>
      <w:r w:rsidRPr="006577B3">
        <w:rPr>
          <w:rFonts w:cs="Calibri"/>
          <w:szCs w:val="24"/>
        </w:rPr>
        <w:t>assess fatalities and serious injuries on all public roads</w:t>
      </w:r>
      <w:r>
        <w:rPr>
          <w:rFonts w:cs="Calibri"/>
          <w:szCs w:val="24"/>
        </w:rPr>
        <w:t xml:space="preserve">. </w:t>
      </w:r>
      <w:r w:rsidR="00F82C2D" w:rsidRPr="006577B3">
        <w:rPr>
          <w:rFonts w:cs="Calibri"/>
          <w:szCs w:val="24"/>
        </w:rPr>
        <w:t>T</w:t>
      </w:r>
      <w:r w:rsidR="00F82C2D" w:rsidRPr="007E16DA">
        <w:rPr>
          <w:rFonts w:cs="Calibri"/>
          <w:szCs w:val="24"/>
        </w:rPr>
        <w:t xml:space="preserve">he rule requires </w:t>
      </w:r>
      <w:r w:rsidR="00F82C2D">
        <w:rPr>
          <w:rFonts w:cs="Calibri"/>
          <w:szCs w:val="24"/>
        </w:rPr>
        <w:t xml:space="preserve">state DOTs and </w:t>
      </w:r>
      <w:r w:rsidR="00F82C2D" w:rsidRPr="007E16DA">
        <w:rPr>
          <w:rFonts w:cs="Calibri"/>
          <w:szCs w:val="24"/>
        </w:rPr>
        <w:t xml:space="preserve">MPOs to </w:t>
      </w:r>
      <w:r w:rsidR="00F82C2D">
        <w:rPr>
          <w:rFonts w:cs="Calibri"/>
          <w:szCs w:val="24"/>
        </w:rPr>
        <w:t>annually establish</w:t>
      </w:r>
      <w:r w:rsidR="00F82C2D" w:rsidRPr="007E16DA">
        <w:rPr>
          <w:rFonts w:cs="Calibri"/>
          <w:szCs w:val="24"/>
        </w:rPr>
        <w:t xml:space="preserve"> targets </w:t>
      </w:r>
      <w:r w:rsidR="00F82C2D">
        <w:rPr>
          <w:rFonts w:cs="Calibri"/>
          <w:szCs w:val="24"/>
        </w:rPr>
        <w:t xml:space="preserve">and report performance and progress toward targets to FHWA </w:t>
      </w:r>
      <w:r w:rsidR="00F82C2D" w:rsidRPr="007E16DA">
        <w:rPr>
          <w:rFonts w:cs="Calibri"/>
          <w:szCs w:val="24"/>
        </w:rPr>
        <w:t>for the following safety-related performance measures</w:t>
      </w:r>
      <w:r w:rsidR="00F82C2D">
        <w:rPr>
          <w:rFonts w:cs="Calibri"/>
          <w:szCs w:val="24"/>
        </w:rPr>
        <w:t>:</w:t>
      </w:r>
    </w:p>
    <w:p w14:paraId="300F71A6" w14:textId="77777777" w:rsidR="00F82C2D" w:rsidRPr="007E16DA" w:rsidRDefault="00F82C2D" w:rsidP="0000371F">
      <w:pPr>
        <w:pStyle w:val="ListNumber"/>
      </w:pPr>
      <w:r>
        <w:t xml:space="preserve">Number of </w:t>
      </w:r>
      <w:r w:rsidRPr="007E16DA">
        <w:t>Fatalities;</w:t>
      </w:r>
    </w:p>
    <w:p w14:paraId="5B87BD40" w14:textId="77777777" w:rsidR="00F82C2D" w:rsidRPr="007E16DA" w:rsidRDefault="00F82C2D" w:rsidP="0000371F">
      <w:pPr>
        <w:pStyle w:val="ListNumber"/>
      </w:pPr>
      <w:r w:rsidRPr="007E16DA">
        <w:t>Rate of Fatalities per 100</w:t>
      </w:r>
      <w:r>
        <w:t xml:space="preserve"> million</w:t>
      </w:r>
      <w:r w:rsidRPr="007E16DA">
        <w:t xml:space="preserve"> Vehicle Miles Traveled (VMT); </w:t>
      </w:r>
    </w:p>
    <w:p w14:paraId="01743930" w14:textId="77777777" w:rsidR="00F82C2D" w:rsidRPr="007E16DA" w:rsidRDefault="00F82C2D" w:rsidP="0000371F">
      <w:pPr>
        <w:pStyle w:val="ListNumber"/>
      </w:pPr>
      <w:r>
        <w:t xml:space="preserve">Number of </w:t>
      </w:r>
      <w:r w:rsidRPr="007E16DA">
        <w:t>Serious Injuries;</w:t>
      </w:r>
    </w:p>
    <w:p w14:paraId="62C2A05B" w14:textId="77777777" w:rsidR="00F82C2D" w:rsidRPr="007E16DA" w:rsidRDefault="00F82C2D" w:rsidP="0000371F">
      <w:pPr>
        <w:pStyle w:val="ListNumber"/>
      </w:pPr>
      <w:r w:rsidRPr="007E16DA">
        <w:t>Rate of Serious Injuries per 100</w:t>
      </w:r>
      <w:r>
        <w:t xml:space="preserve"> million </w:t>
      </w:r>
      <w:r w:rsidRPr="007E16DA">
        <w:t>VMT</w:t>
      </w:r>
      <w:r>
        <w:t>; and</w:t>
      </w:r>
    </w:p>
    <w:p w14:paraId="5F8EAC8F" w14:textId="77777777" w:rsidR="00F82C2D" w:rsidRDefault="00F82C2D" w:rsidP="0000371F">
      <w:pPr>
        <w:pStyle w:val="ListNumber"/>
      </w:pPr>
      <w:r>
        <w:t xml:space="preserve">Number of </w:t>
      </w:r>
      <w:r w:rsidRPr="007E16DA">
        <w:t>Nonmotorized Fatalities and Serious Injuries</w:t>
      </w:r>
      <w:r>
        <w:t>.</w:t>
      </w:r>
    </w:p>
    <w:p w14:paraId="7F7EC5A8" w14:textId="77777777" w:rsidR="00F82C2D" w:rsidRPr="00A10901" w:rsidRDefault="00F82C2D" w:rsidP="00F82C2D">
      <w:pPr>
        <w:pStyle w:val="Heading2"/>
      </w:pPr>
      <w:bookmarkStart w:id="7" w:name="_Toc126264193"/>
      <w:r>
        <w:t xml:space="preserve">3.1 </w:t>
      </w:r>
      <w:r w:rsidRPr="00A10901">
        <w:t>Highway Safety Targets</w:t>
      </w:r>
      <w:bookmarkEnd w:id="7"/>
    </w:p>
    <w:p w14:paraId="3D71CAD2" w14:textId="77777777" w:rsidR="00F82C2D" w:rsidRPr="005639AD" w:rsidRDefault="00F82C2D" w:rsidP="00F82C2D">
      <w:pPr>
        <w:tabs>
          <w:tab w:val="left" w:pos="2250"/>
        </w:tabs>
        <w:rPr>
          <w:rFonts w:cs="Calibri"/>
          <w:b/>
          <w:bCs/>
          <w:kern w:val="28"/>
          <w:szCs w:val="24"/>
          <w:u w:val="single"/>
        </w:rPr>
      </w:pPr>
      <w:r w:rsidRPr="005639AD">
        <w:rPr>
          <w:rFonts w:cs="Calibri"/>
          <w:b/>
          <w:bCs/>
          <w:kern w:val="28"/>
          <w:szCs w:val="24"/>
          <w:u w:val="single"/>
        </w:rPr>
        <w:t>3.1.1 Statewide Targets</w:t>
      </w:r>
    </w:p>
    <w:p w14:paraId="517EBFD1" w14:textId="08BC91C2" w:rsidR="00F82C2D" w:rsidRPr="007E16DA" w:rsidRDefault="00F82C2D" w:rsidP="00F82C2D">
      <w:pPr>
        <w:tabs>
          <w:tab w:val="left" w:pos="2250"/>
        </w:tabs>
        <w:rPr>
          <w:rFonts w:cs="Calibri"/>
          <w:szCs w:val="24"/>
        </w:rPr>
      </w:pPr>
      <w:r w:rsidRPr="00BB3F9B">
        <w:rPr>
          <w:rFonts w:cs="Calibri"/>
          <w:kern w:val="28"/>
          <w:szCs w:val="24"/>
        </w:rPr>
        <w:t>Safety performance measure targets are required to be adopted on an annual basis</w:t>
      </w:r>
      <w:r w:rsidR="00124F3A" w:rsidRPr="00BB3F9B">
        <w:rPr>
          <w:rFonts w:cs="Calibri"/>
          <w:kern w:val="28"/>
          <w:szCs w:val="24"/>
        </w:rPr>
        <w:t xml:space="preserve">. </w:t>
      </w:r>
      <w:r w:rsidRPr="00BB3F9B">
        <w:rPr>
          <w:rFonts w:cs="Calibri"/>
          <w:kern w:val="28"/>
          <w:szCs w:val="24"/>
        </w:rPr>
        <w:t xml:space="preserve">In August of each calendar year, FDOT reports targets </w:t>
      </w:r>
      <w:r>
        <w:rPr>
          <w:rFonts w:cs="Calibri"/>
          <w:kern w:val="28"/>
          <w:szCs w:val="24"/>
        </w:rPr>
        <w:t xml:space="preserve">to FHWA for the following calendar year. </w:t>
      </w:r>
      <w:r w:rsidRPr="00C85900">
        <w:rPr>
          <w:rFonts w:cs="Calibri"/>
          <w:kern w:val="28"/>
          <w:szCs w:val="24"/>
        </w:rPr>
        <w:t xml:space="preserve">On </w:t>
      </w:r>
      <w:r w:rsidRPr="00E25EAD">
        <w:rPr>
          <w:rFonts w:cs="Calibri"/>
          <w:kern w:val="28"/>
          <w:szCs w:val="24"/>
        </w:rPr>
        <w:t>August 31, 202</w:t>
      </w:r>
      <w:r w:rsidR="00E25EAD">
        <w:rPr>
          <w:rFonts w:cs="Calibri"/>
          <w:kern w:val="28"/>
          <w:szCs w:val="24"/>
        </w:rPr>
        <w:t>2</w:t>
      </w:r>
      <w:r w:rsidRPr="00E25EAD">
        <w:rPr>
          <w:rFonts w:cs="Calibri"/>
          <w:kern w:val="28"/>
          <w:szCs w:val="24"/>
        </w:rPr>
        <w:t>,</w:t>
      </w:r>
      <w:r w:rsidRPr="00C85900">
        <w:rPr>
          <w:rFonts w:cs="Calibri"/>
          <w:kern w:val="28"/>
          <w:szCs w:val="24"/>
        </w:rPr>
        <w:t xml:space="preserve"> FDOT established statewide safety performance targets for calendar </w:t>
      </w:r>
      <w:r w:rsidRPr="00E25EAD">
        <w:rPr>
          <w:rFonts w:cs="Calibri"/>
          <w:kern w:val="28"/>
          <w:szCs w:val="24"/>
        </w:rPr>
        <w:t>year 202</w:t>
      </w:r>
      <w:r w:rsidR="00E25EAD">
        <w:rPr>
          <w:rFonts w:cs="Calibri"/>
          <w:kern w:val="28"/>
          <w:szCs w:val="24"/>
        </w:rPr>
        <w:t>3</w:t>
      </w:r>
      <w:r w:rsidR="00124F3A" w:rsidRPr="00C85900">
        <w:rPr>
          <w:rFonts w:cs="Calibri"/>
          <w:kern w:val="28"/>
          <w:szCs w:val="24"/>
        </w:rPr>
        <w:t xml:space="preserve">. </w:t>
      </w:r>
      <w:r w:rsidRPr="00C85900">
        <w:rPr>
          <w:rFonts w:cs="Calibri"/>
          <w:kern w:val="28"/>
          <w:szCs w:val="24"/>
        </w:rPr>
        <w:t>Table</w:t>
      </w:r>
      <w:r>
        <w:rPr>
          <w:rFonts w:cs="Calibri"/>
          <w:kern w:val="28"/>
          <w:szCs w:val="24"/>
        </w:rPr>
        <w:t xml:space="preserve"> 3.1 presents FDOT’s statewide targets.</w:t>
      </w:r>
    </w:p>
    <w:p w14:paraId="0691937D" w14:textId="77777777" w:rsidR="00F82C2D" w:rsidRPr="00342667" w:rsidRDefault="00F82C2D" w:rsidP="00F82C2D">
      <w:pPr>
        <w:keepNext/>
        <w:spacing w:after="120" w:line="288" w:lineRule="auto"/>
        <w:ind w:left="1440" w:hanging="1440"/>
        <w:jc w:val="left"/>
        <w:rPr>
          <w:rFonts w:cs="Arial"/>
          <w:b/>
          <w:szCs w:val="24"/>
        </w:rPr>
      </w:pPr>
      <w:r w:rsidRPr="00342667">
        <w:rPr>
          <w:rFonts w:cs="Arial"/>
          <w:b/>
          <w:szCs w:val="24"/>
        </w:rPr>
        <w:t>Table </w:t>
      </w:r>
      <w:r>
        <w:rPr>
          <w:rFonts w:cs="Arial"/>
          <w:b/>
          <w:szCs w:val="24"/>
        </w:rPr>
        <w:t>3</w:t>
      </w:r>
      <w:r w:rsidRPr="00342667">
        <w:rPr>
          <w:rFonts w:cs="Arial"/>
          <w:b/>
          <w:szCs w:val="24"/>
        </w:rPr>
        <w:t xml:space="preserve">.1. </w:t>
      </w:r>
      <w:r>
        <w:rPr>
          <w:rFonts w:cs="Arial"/>
          <w:b/>
          <w:szCs w:val="24"/>
        </w:rPr>
        <w:t>Statewide Highway Safety Performance Targets</w:t>
      </w:r>
    </w:p>
    <w:tbl>
      <w:tblPr>
        <w:tblStyle w:val="GridTable4"/>
        <w:tblW w:w="0" w:type="auto"/>
        <w:tblLook w:val="04A0" w:firstRow="1" w:lastRow="0" w:firstColumn="1" w:lastColumn="0" w:noHBand="0" w:noVBand="1"/>
      </w:tblPr>
      <w:tblGrid>
        <w:gridCol w:w="6385"/>
        <w:gridCol w:w="1710"/>
      </w:tblGrid>
      <w:tr w:rsidR="00F82C2D" w:rsidRPr="00F4642E" w14:paraId="59E1E234" w14:textId="77777777" w:rsidTr="000C0E09">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6385" w:type="dxa"/>
            <w:tcBorders>
              <w:right w:val="single" w:sz="4" w:space="0" w:color="auto"/>
            </w:tcBorders>
            <w:shd w:val="clear" w:color="auto" w:fill="auto"/>
            <w:vAlign w:val="center"/>
          </w:tcPr>
          <w:p w14:paraId="19D3DEBB" w14:textId="77777777" w:rsidR="00F82C2D" w:rsidRPr="00F4642E" w:rsidRDefault="00F82C2D" w:rsidP="0000371F">
            <w:pPr>
              <w:pStyle w:val="TableHeadText"/>
            </w:pPr>
            <w:r>
              <w:t>Performance Measure</w:t>
            </w:r>
          </w:p>
        </w:tc>
        <w:tc>
          <w:tcPr>
            <w:tcW w:w="1710" w:type="dxa"/>
            <w:tcBorders>
              <w:left w:val="single" w:sz="4" w:space="0" w:color="auto"/>
            </w:tcBorders>
            <w:shd w:val="clear" w:color="auto" w:fill="auto"/>
            <w:vAlign w:val="center"/>
          </w:tcPr>
          <w:p w14:paraId="701467E0" w14:textId="453084C9" w:rsidR="00F82C2D" w:rsidRPr="00F4642E" w:rsidRDefault="00F82C2D" w:rsidP="0000371F">
            <w:pPr>
              <w:pStyle w:val="TableHeadText"/>
              <w:cnfStyle w:val="100000000000" w:firstRow="1" w:lastRow="0" w:firstColumn="0" w:lastColumn="0" w:oddVBand="0" w:evenVBand="0" w:oddHBand="0" w:evenHBand="0" w:firstRowFirstColumn="0" w:firstRowLastColumn="0" w:lastRowFirstColumn="0" w:lastRowLastColumn="0"/>
            </w:pPr>
            <w:r>
              <w:t>Calendar Year 202</w:t>
            </w:r>
            <w:r w:rsidR="005D6282">
              <w:t>3</w:t>
            </w:r>
            <w:r>
              <w:t xml:space="preserve"> Statewide Target</w:t>
            </w:r>
          </w:p>
        </w:tc>
      </w:tr>
      <w:tr w:rsidR="00F82C2D" w:rsidRPr="00F4642E" w14:paraId="283EED02" w14:textId="77777777" w:rsidTr="000C0E0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6385" w:type="dxa"/>
            <w:shd w:val="clear" w:color="auto" w:fill="F2F2F2" w:themeFill="background2" w:themeFillShade="F2"/>
            <w:vAlign w:val="center"/>
          </w:tcPr>
          <w:p w14:paraId="49AFB909" w14:textId="77777777" w:rsidR="00F82C2D" w:rsidRPr="00F4642E" w:rsidRDefault="00F82C2D" w:rsidP="0000371F">
            <w:pPr>
              <w:pStyle w:val="TableBodyText"/>
            </w:pPr>
            <w:r w:rsidRPr="00F4642E">
              <w:t>Number of fatalities</w:t>
            </w:r>
          </w:p>
        </w:tc>
        <w:tc>
          <w:tcPr>
            <w:tcW w:w="1710" w:type="dxa"/>
            <w:shd w:val="clear" w:color="auto" w:fill="F2F2F2" w:themeFill="background2" w:themeFillShade="F2"/>
            <w:vAlign w:val="center"/>
          </w:tcPr>
          <w:p w14:paraId="755A676E" w14:textId="77777777" w:rsidR="00F82C2D" w:rsidRPr="00F4642E" w:rsidRDefault="00F82C2D" w:rsidP="0000371F">
            <w:pPr>
              <w:pStyle w:val="TableBodyText"/>
              <w:cnfStyle w:val="000000100000" w:firstRow="0" w:lastRow="0" w:firstColumn="0" w:lastColumn="0" w:oddVBand="0" w:evenVBand="0" w:oddHBand="1" w:evenHBand="0" w:firstRowFirstColumn="0" w:firstRowLastColumn="0" w:lastRowFirstColumn="0" w:lastRowLastColumn="0"/>
            </w:pPr>
            <w:r w:rsidRPr="00F4642E">
              <w:t>0</w:t>
            </w:r>
          </w:p>
        </w:tc>
      </w:tr>
      <w:tr w:rsidR="00F82C2D" w:rsidRPr="00F4642E" w14:paraId="33256921" w14:textId="77777777" w:rsidTr="000C0E09">
        <w:trPr>
          <w:trHeight w:val="391"/>
        </w:trPr>
        <w:tc>
          <w:tcPr>
            <w:cnfStyle w:val="001000000000" w:firstRow="0" w:lastRow="0" w:firstColumn="1" w:lastColumn="0" w:oddVBand="0" w:evenVBand="0" w:oddHBand="0" w:evenHBand="0" w:firstRowFirstColumn="0" w:firstRowLastColumn="0" w:lastRowFirstColumn="0" w:lastRowLastColumn="0"/>
            <w:tcW w:w="6385" w:type="dxa"/>
            <w:vAlign w:val="center"/>
          </w:tcPr>
          <w:p w14:paraId="11173DEC" w14:textId="77777777" w:rsidR="00F82C2D" w:rsidRPr="00F4642E" w:rsidRDefault="00F82C2D" w:rsidP="0000371F">
            <w:pPr>
              <w:pStyle w:val="TableBodyText"/>
            </w:pPr>
            <w:r w:rsidRPr="00F4642E">
              <w:t>Rate of fatalities per 100 million vehicle miles traveled (VMT)</w:t>
            </w:r>
          </w:p>
        </w:tc>
        <w:tc>
          <w:tcPr>
            <w:tcW w:w="1710" w:type="dxa"/>
            <w:vAlign w:val="center"/>
          </w:tcPr>
          <w:p w14:paraId="43AF3231" w14:textId="77777777" w:rsidR="00F82C2D" w:rsidRPr="00F4642E" w:rsidRDefault="00F82C2D" w:rsidP="0000371F">
            <w:pPr>
              <w:pStyle w:val="TableBodyText"/>
              <w:cnfStyle w:val="000000000000" w:firstRow="0" w:lastRow="0" w:firstColumn="0" w:lastColumn="0" w:oddVBand="0" w:evenVBand="0" w:oddHBand="0" w:evenHBand="0" w:firstRowFirstColumn="0" w:firstRowLastColumn="0" w:lastRowFirstColumn="0" w:lastRowLastColumn="0"/>
            </w:pPr>
            <w:r w:rsidRPr="00F4642E">
              <w:t>0</w:t>
            </w:r>
          </w:p>
        </w:tc>
      </w:tr>
      <w:tr w:rsidR="00F82C2D" w:rsidRPr="00F4642E" w14:paraId="0F548A4E" w14:textId="77777777" w:rsidTr="000C0E0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6385" w:type="dxa"/>
            <w:shd w:val="clear" w:color="auto" w:fill="F2F2F2" w:themeFill="background2" w:themeFillShade="F2"/>
            <w:vAlign w:val="center"/>
          </w:tcPr>
          <w:p w14:paraId="3D3EDCF9" w14:textId="77777777" w:rsidR="00F82C2D" w:rsidRPr="00F4642E" w:rsidRDefault="00F82C2D" w:rsidP="0000371F">
            <w:pPr>
              <w:pStyle w:val="TableBodyText"/>
            </w:pPr>
            <w:r w:rsidRPr="00F4642E">
              <w:t xml:space="preserve">Number of serious </w:t>
            </w:r>
            <w:r>
              <w:t>i</w:t>
            </w:r>
            <w:r w:rsidRPr="00F4642E">
              <w:t>njuries</w:t>
            </w:r>
          </w:p>
        </w:tc>
        <w:tc>
          <w:tcPr>
            <w:tcW w:w="1710" w:type="dxa"/>
            <w:shd w:val="clear" w:color="auto" w:fill="F2F2F2" w:themeFill="background2" w:themeFillShade="F2"/>
            <w:vAlign w:val="center"/>
          </w:tcPr>
          <w:p w14:paraId="2FB008F6" w14:textId="77777777" w:rsidR="00F82C2D" w:rsidRPr="00F4642E" w:rsidRDefault="00F82C2D" w:rsidP="0000371F">
            <w:pPr>
              <w:pStyle w:val="TableBodyText"/>
              <w:cnfStyle w:val="000000100000" w:firstRow="0" w:lastRow="0" w:firstColumn="0" w:lastColumn="0" w:oddVBand="0" w:evenVBand="0" w:oddHBand="1" w:evenHBand="0" w:firstRowFirstColumn="0" w:firstRowLastColumn="0" w:lastRowFirstColumn="0" w:lastRowLastColumn="0"/>
            </w:pPr>
            <w:r w:rsidRPr="00F4642E">
              <w:t>0</w:t>
            </w:r>
          </w:p>
        </w:tc>
      </w:tr>
      <w:tr w:rsidR="00F82C2D" w:rsidRPr="00F4642E" w14:paraId="5BB95710" w14:textId="77777777" w:rsidTr="000C0E09">
        <w:trPr>
          <w:trHeight w:val="391"/>
        </w:trPr>
        <w:tc>
          <w:tcPr>
            <w:cnfStyle w:val="001000000000" w:firstRow="0" w:lastRow="0" w:firstColumn="1" w:lastColumn="0" w:oddVBand="0" w:evenVBand="0" w:oddHBand="0" w:evenHBand="0" w:firstRowFirstColumn="0" w:firstRowLastColumn="0" w:lastRowFirstColumn="0" w:lastRowLastColumn="0"/>
            <w:tcW w:w="6385" w:type="dxa"/>
            <w:vAlign w:val="center"/>
          </w:tcPr>
          <w:p w14:paraId="394A8A02" w14:textId="77777777" w:rsidR="00F82C2D" w:rsidRPr="00F4642E" w:rsidRDefault="00F82C2D" w:rsidP="0000371F">
            <w:pPr>
              <w:pStyle w:val="TableBodyText"/>
            </w:pPr>
            <w:r w:rsidRPr="00F4642E">
              <w:t>Rate of serious injures per 100 million vehicle miles traveled (VMT)</w:t>
            </w:r>
          </w:p>
        </w:tc>
        <w:tc>
          <w:tcPr>
            <w:tcW w:w="1710" w:type="dxa"/>
            <w:vAlign w:val="center"/>
          </w:tcPr>
          <w:p w14:paraId="7B9D46FD" w14:textId="77777777" w:rsidR="00F82C2D" w:rsidRPr="00F4642E" w:rsidRDefault="00F82C2D" w:rsidP="0000371F">
            <w:pPr>
              <w:pStyle w:val="TableBodyText"/>
              <w:cnfStyle w:val="000000000000" w:firstRow="0" w:lastRow="0" w:firstColumn="0" w:lastColumn="0" w:oddVBand="0" w:evenVBand="0" w:oddHBand="0" w:evenHBand="0" w:firstRowFirstColumn="0" w:firstRowLastColumn="0" w:lastRowFirstColumn="0" w:lastRowLastColumn="0"/>
            </w:pPr>
            <w:r w:rsidRPr="00F4642E">
              <w:t>0</w:t>
            </w:r>
          </w:p>
        </w:tc>
      </w:tr>
      <w:tr w:rsidR="00F82C2D" w:rsidRPr="00F4642E" w14:paraId="29A3A338" w14:textId="77777777" w:rsidTr="000C0E0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6385" w:type="dxa"/>
            <w:shd w:val="clear" w:color="auto" w:fill="F2F2F2" w:themeFill="background2" w:themeFillShade="F2"/>
            <w:vAlign w:val="center"/>
          </w:tcPr>
          <w:p w14:paraId="704DE417" w14:textId="77777777" w:rsidR="00F82C2D" w:rsidRPr="00F4642E" w:rsidRDefault="00F82C2D" w:rsidP="0000371F">
            <w:pPr>
              <w:pStyle w:val="TableBodyText"/>
            </w:pPr>
            <w:r w:rsidRPr="00F4642E">
              <w:t>Number of non-motorized fatalities and serious injuries</w:t>
            </w:r>
          </w:p>
        </w:tc>
        <w:tc>
          <w:tcPr>
            <w:tcW w:w="1710" w:type="dxa"/>
            <w:shd w:val="clear" w:color="auto" w:fill="F2F2F2" w:themeFill="background2" w:themeFillShade="F2"/>
            <w:vAlign w:val="center"/>
          </w:tcPr>
          <w:p w14:paraId="77343A0B" w14:textId="77777777" w:rsidR="00F82C2D" w:rsidRPr="00F4642E" w:rsidRDefault="00F82C2D" w:rsidP="0000371F">
            <w:pPr>
              <w:pStyle w:val="TableBodyText"/>
              <w:cnfStyle w:val="000000100000" w:firstRow="0" w:lastRow="0" w:firstColumn="0" w:lastColumn="0" w:oddVBand="0" w:evenVBand="0" w:oddHBand="1" w:evenHBand="0" w:firstRowFirstColumn="0" w:firstRowLastColumn="0" w:lastRowFirstColumn="0" w:lastRowLastColumn="0"/>
            </w:pPr>
            <w:r w:rsidRPr="00F4642E">
              <w:t>0</w:t>
            </w:r>
          </w:p>
        </w:tc>
      </w:tr>
    </w:tbl>
    <w:p w14:paraId="05B9727D" w14:textId="77777777" w:rsidR="00F82C2D" w:rsidRDefault="00F82C2D" w:rsidP="00F82C2D"/>
    <w:p w14:paraId="3669E267" w14:textId="7162ED88" w:rsidR="00F82C2D" w:rsidRPr="00C1612F" w:rsidRDefault="00F82C2D" w:rsidP="00F82C2D">
      <w:pPr>
        <w:rPr>
          <w:szCs w:val="24"/>
        </w:rPr>
      </w:pPr>
      <w:r w:rsidRPr="00C1612F">
        <w:rPr>
          <w:szCs w:val="24"/>
        </w:rPr>
        <w:t xml:space="preserve">FDOT adopted </w:t>
      </w:r>
      <w:r>
        <w:rPr>
          <w:szCs w:val="24"/>
        </w:rPr>
        <w:t xml:space="preserve">a vision of zero traffic-related fatalities </w:t>
      </w:r>
      <w:r w:rsidRPr="00C1612F">
        <w:rPr>
          <w:szCs w:val="24"/>
        </w:rPr>
        <w:t>in 2012</w:t>
      </w:r>
      <w:r w:rsidR="00124F3A" w:rsidRPr="00C1612F">
        <w:rPr>
          <w:szCs w:val="24"/>
        </w:rPr>
        <w:t xml:space="preserve">. </w:t>
      </w:r>
      <w:r w:rsidRPr="00C1612F">
        <w:rPr>
          <w:szCs w:val="24"/>
        </w:rPr>
        <w:t>This, in effect, became FDOT’s target for zero traffic fatalities and quantified the policy set by Florida’s Legislature more than 35 years ago (Section 334.046(2), Florida Statutes, emphasis added):</w:t>
      </w:r>
    </w:p>
    <w:p w14:paraId="171F5DB7" w14:textId="77777777" w:rsidR="00F82C2D" w:rsidRPr="00C1612F" w:rsidRDefault="00F82C2D" w:rsidP="00F82C2D">
      <w:pPr>
        <w:ind w:left="720"/>
        <w:rPr>
          <w:i/>
          <w:szCs w:val="24"/>
        </w:rPr>
      </w:pPr>
      <w:r w:rsidRPr="00C1612F">
        <w:rPr>
          <w:i/>
          <w:szCs w:val="24"/>
        </w:rPr>
        <w:t xml:space="preserve">“The mission of the Department of Transportation shall be to provide a </w:t>
      </w:r>
      <w:r w:rsidRPr="00C1612F">
        <w:rPr>
          <w:b/>
          <w:i/>
          <w:szCs w:val="24"/>
          <w:u w:val="single"/>
        </w:rPr>
        <w:t>safe</w:t>
      </w:r>
      <w:r w:rsidRPr="00C1612F">
        <w:rPr>
          <w:i/>
          <w:szCs w:val="24"/>
        </w:rPr>
        <w:t xml:space="preserve"> statewide transportation system…”</w:t>
      </w:r>
    </w:p>
    <w:p w14:paraId="295AF638" w14:textId="7B3F646D" w:rsidR="00F82C2D" w:rsidRDefault="00F82C2D" w:rsidP="00F82C2D">
      <w:pPr>
        <w:rPr>
          <w:rFonts w:cs="Proxima Nova"/>
          <w:color w:val="000000"/>
          <w:szCs w:val="24"/>
        </w:rPr>
      </w:pPr>
      <w:r w:rsidRPr="00C82A0D">
        <w:rPr>
          <w:rFonts w:cs="Proxima Nova"/>
          <w:color w:val="000000"/>
          <w:szCs w:val="24"/>
        </w:rPr>
        <w:lastRenderedPageBreak/>
        <w:t xml:space="preserve">FDOT and Florida’s traffic safety partners are committed to eliminating fatalities and serious injuries. As stated in the Safe System approach promoted by the </w:t>
      </w:r>
      <w:r>
        <w:rPr>
          <w:rFonts w:cs="Proxima Nova"/>
          <w:color w:val="000000"/>
          <w:szCs w:val="24"/>
        </w:rPr>
        <w:t>FHWA</w:t>
      </w:r>
      <w:r w:rsidRPr="00C82A0D">
        <w:rPr>
          <w:rFonts w:cs="Proxima Nova"/>
          <w:color w:val="000000"/>
          <w:szCs w:val="24"/>
        </w:rPr>
        <w:t xml:space="preserve">, the death or serious injury of any person is unacceptable. </w:t>
      </w:r>
      <w:r w:rsidRPr="00C82A0D">
        <w:rPr>
          <w:szCs w:val="24"/>
        </w:rPr>
        <w:t>The Florida Transportation Plan (FTP), the state’s long-range transportation plan, identifies eliminating transportation</w:t>
      </w:r>
      <w:r>
        <w:rPr>
          <w:szCs w:val="24"/>
        </w:rPr>
        <w:t>-</w:t>
      </w:r>
      <w:r w:rsidRPr="00C82A0D">
        <w:rPr>
          <w:szCs w:val="24"/>
        </w:rPr>
        <w:t>related fatalities and serious injuries as the state’s highest transportation priority</w:t>
      </w:r>
      <w:r w:rsidR="00124F3A" w:rsidRPr="00AB1FD3">
        <w:rPr>
          <w:szCs w:val="24"/>
        </w:rPr>
        <w:t xml:space="preserve">. </w:t>
      </w:r>
      <w:r w:rsidRPr="00C82A0D">
        <w:rPr>
          <w:rFonts w:cs="Proxima Nova"/>
          <w:color w:val="000000"/>
          <w:szCs w:val="24"/>
        </w:rPr>
        <w:t xml:space="preserve">Therefore, FDOT established 0 as the only acceptable target for all five federal safety performance measures. </w:t>
      </w:r>
    </w:p>
    <w:p w14:paraId="21A499CA" w14:textId="77777777" w:rsidR="00F82C2D" w:rsidRPr="00A10F80" w:rsidRDefault="00F82C2D" w:rsidP="00F82C2D">
      <w:pPr>
        <w:keepNext/>
        <w:tabs>
          <w:tab w:val="left" w:pos="2250"/>
        </w:tabs>
        <w:rPr>
          <w:rFonts w:cs="Calibri"/>
          <w:b/>
          <w:bCs/>
          <w:kern w:val="28"/>
          <w:szCs w:val="24"/>
          <w:u w:val="single"/>
        </w:rPr>
      </w:pPr>
      <w:r>
        <w:rPr>
          <w:rFonts w:cs="Calibri"/>
          <w:b/>
          <w:bCs/>
          <w:kern w:val="28"/>
          <w:szCs w:val="24"/>
          <w:u w:val="single"/>
        </w:rPr>
        <w:t xml:space="preserve">3.1.2 </w:t>
      </w:r>
      <w:r w:rsidRPr="00A10F80">
        <w:rPr>
          <w:rFonts w:cs="Calibri"/>
          <w:b/>
          <w:bCs/>
          <w:kern w:val="28"/>
          <w:szCs w:val="24"/>
          <w:u w:val="single"/>
        </w:rPr>
        <w:t>MPO Safety Targets</w:t>
      </w:r>
    </w:p>
    <w:p w14:paraId="42AC8CE2" w14:textId="77777777" w:rsidR="00F82C2D" w:rsidRDefault="00F82C2D" w:rsidP="00F82C2D">
      <w:pPr>
        <w:keepNext/>
        <w:rPr>
          <w:rFonts w:cs="Proxima Nova"/>
          <w:color w:val="000000"/>
          <w:szCs w:val="24"/>
        </w:rPr>
      </w:pPr>
      <w:r w:rsidRPr="001F53EC">
        <w:rPr>
          <w:rFonts w:cs="Proxima Nova"/>
          <w:color w:val="000000"/>
          <w:szCs w:val="24"/>
        </w:rPr>
        <w:t xml:space="preserve">MPOs are required to establish safety targets annually within 180 days of when FDOT established targets. MPOs establish targets by either agreeing to program projects that will support the statewide targets or establish their own quantitative targets for the MPO planning area. </w:t>
      </w:r>
    </w:p>
    <w:p w14:paraId="70A5A446" w14:textId="52D50E64" w:rsidR="00F82C2D" w:rsidRDefault="00F82C2D" w:rsidP="00F82C2D">
      <w:pPr>
        <w:keepNext/>
        <w:rPr>
          <w:rFonts w:cs="Proxima Nova"/>
          <w:color w:val="000000"/>
          <w:szCs w:val="24"/>
        </w:rPr>
      </w:pPr>
      <w:r w:rsidRPr="00A10F80">
        <w:rPr>
          <w:rFonts w:cs="Proxima Nova"/>
          <w:color w:val="000000"/>
          <w:szCs w:val="24"/>
          <w:highlight w:val="yellow"/>
        </w:rPr>
        <w:t>[Use</w:t>
      </w:r>
      <w:r>
        <w:rPr>
          <w:rFonts w:cs="Proxima Nova"/>
          <w:color w:val="000000"/>
          <w:szCs w:val="24"/>
          <w:highlight w:val="yellow"/>
        </w:rPr>
        <w:t xml:space="preserve"> either Option A or Option B below. </w:t>
      </w:r>
      <w:r w:rsidRPr="00A10F80">
        <w:rPr>
          <w:rFonts w:cs="Proxima Nova"/>
          <w:color w:val="000000"/>
          <w:szCs w:val="24"/>
          <w:highlight w:val="yellow"/>
        </w:rPr>
        <w:t xml:space="preserve">Option A </w:t>
      </w:r>
      <w:r w:rsidR="006577B3">
        <w:rPr>
          <w:rFonts w:cs="Proxima Nova"/>
          <w:color w:val="000000"/>
          <w:szCs w:val="24"/>
          <w:highlight w:val="yellow"/>
        </w:rPr>
        <w:t>is for</w:t>
      </w:r>
      <w:r>
        <w:rPr>
          <w:rFonts w:cs="Proxima Nova"/>
          <w:color w:val="000000"/>
          <w:szCs w:val="24"/>
          <w:highlight w:val="yellow"/>
        </w:rPr>
        <w:t xml:space="preserve"> MPOs that </w:t>
      </w:r>
      <w:r w:rsidRPr="00A10F80">
        <w:rPr>
          <w:rFonts w:cs="Proxima Nova"/>
          <w:color w:val="000000"/>
          <w:szCs w:val="24"/>
          <w:highlight w:val="yellow"/>
        </w:rPr>
        <w:t>support all five state safety targets</w:t>
      </w:r>
      <w:r w:rsidR="00124F3A" w:rsidRPr="00A10F80">
        <w:rPr>
          <w:rFonts w:cs="Proxima Nova"/>
          <w:color w:val="000000"/>
          <w:szCs w:val="24"/>
          <w:highlight w:val="yellow"/>
        </w:rPr>
        <w:t xml:space="preserve">. </w:t>
      </w:r>
      <w:r>
        <w:rPr>
          <w:rFonts w:cs="Proxima Nova"/>
          <w:color w:val="000000"/>
          <w:szCs w:val="24"/>
          <w:highlight w:val="yellow"/>
        </w:rPr>
        <w:t>O</w:t>
      </w:r>
      <w:r w:rsidRPr="00A10F80">
        <w:rPr>
          <w:rFonts w:cs="Proxima Nova"/>
          <w:color w:val="000000"/>
          <w:szCs w:val="24"/>
          <w:highlight w:val="yellow"/>
        </w:rPr>
        <w:t xml:space="preserve">ption B </w:t>
      </w:r>
      <w:r w:rsidR="006577B3">
        <w:rPr>
          <w:rFonts w:cs="Proxima Nova"/>
          <w:color w:val="000000"/>
          <w:szCs w:val="24"/>
          <w:highlight w:val="yellow"/>
        </w:rPr>
        <w:t>is for</w:t>
      </w:r>
      <w:r>
        <w:rPr>
          <w:rFonts w:cs="Proxima Nova"/>
          <w:color w:val="000000"/>
          <w:szCs w:val="24"/>
          <w:highlight w:val="yellow"/>
        </w:rPr>
        <w:t xml:space="preserve"> MPOs that </w:t>
      </w:r>
      <w:r w:rsidRPr="00A10F80">
        <w:rPr>
          <w:rFonts w:cs="Proxima Nova"/>
          <w:color w:val="000000"/>
          <w:szCs w:val="24"/>
          <w:highlight w:val="yellow"/>
        </w:rPr>
        <w:t xml:space="preserve">establish </w:t>
      </w:r>
      <w:r>
        <w:rPr>
          <w:rFonts w:cs="Proxima Nova"/>
          <w:color w:val="000000"/>
          <w:szCs w:val="24"/>
          <w:highlight w:val="yellow"/>
        </w:rPr>
        <w:t xml:space="preserve">their </w:t>
      </w:r>
      <w:r w:rsidRPr="00A10F80">
        <w:rPr>
          <w:rFonts w:cs="Proxima Nova"/>
          <w:color w:val="000000"/>
          <w:szCs w:val="24"/>
          <w:highlight w:val="yellow"/>
        </w:rPr>
        <w:t>own safety target or targets.]</w:t>
      </w:r>
    </w:p>
    <w:p w14:paraId="682EE729" w14:textId="77777777" w:rsidR="00171205" w:rsidRPr="001F53EC" w:rsidRDefault="00171205" w:rsidP="00F82C2D">
      <w:pPr>
        <w:keepNext/>
        <w:rPr>
          <w:rFonts w:cs="Proxima Nova"/>
          <w:color w:val="000000"/>
          <w:szCs w:val="24"/>
        </w:rPr>
      </w:pPr>
    </w:p>
    <w:p w14:paraId="1D9BFA08" w14:textId="2CA2E832" w:rsidR="00F82C2D" w:rsidRPr="00030F57" w:rsidRDefault="00F82C2D" w:rsidP="00F82C2D">
      <w:pPr>
        <w:keepNext/>
        <w:rPr>
          <w:rFonts w:cs="Proxima Nova"/>
          <w:color w:val="000000"/>
          <w:szCs w:val="24"/>
        </w:rPr>
      </w:pPr>
      <w:r w:rsidRPr="00030F57">
        <w:rPr>
          <w:rFonts w:cs="Proxima Nova"/>
          <w:color w:val="000000"/>
          <w:szCs w:val="24"/>
          <w:highlight w:val="yellow"/>
        </w:rPr>
        <w:t>[</w:t>
      </w:r>
      <w:r w:rsidRPr="00735CF6">
        <w:rPr>
          <w:rFonts w:cs="Proxima Nova"/>
          <w:color w:val="000000"/>
          <w:szCs w:val="24"/>
          <w:highlight w:val="yellow"/>
        </w:rPr>
        <w:t>OPTION A</w:t>
      </w:r>
      <w:r w:rsidRPr="00030F57">
        <w:rPr>
          <w:rFonts w:cs="Proxima Nova"/>
          <w:color w:val="000000"/>
          <w:szCs w:val="24"/>
          <w:highlight w:val="yellow"/>
        </w:rPr>
        <w:t xml:space="preserve">: </w:t>
      </w:r>
      <w:r w:rsidR="006577B3">
        <w:rPr>
          <w:rFonts w:cs="Proxima Nova"/>
          <w:color w:val="000000"/>
          <w:szCs w:val="24"/>
          <w:highlight w:val="yellow"/>
        </w:rPr>
        <w:t>F</w:t>
      </w:r>
      <w:r w:rsidRPr="00030F57">
        <w:rPr>
          <w:rFonts w:cs="Proxima Nova"/>
          <w:color w:val="000000"/>
          <w:szCs w:val="24"/>
          <w:highlight w:val="yellow"/>
        </w:rPr>
        <w:t xml:space="preserve">or MPO that </w:t>
      </w:r>
      <w:r>
        <w:rPr>
          <w:rFonts w:cs="Proxima Nova"/>
          <w:color w:val="000000"/>
          <w:szCs w:val="24"/>
          <w:highlight w:val="yellow"/>
        </w:rPr>
        <w:t>s</w:t>
      </w:r>
      <w:r w:rsidRPr="00030F57">
        <w:rPr>
          <w:rFonts w:cs="Proxima Nova"/>
          <w:color w:val="000000"/>
          <w:szCs w:val="24"/>
          <w:highlight w:val="yellow"/>
        </w:rPr>
        <w:t xml:space="preserve">upports </w:t>
      </w:r>
      <w:r>
        <w:rPr>
          <w:rFonts w:cs="Proxima Nova"/>
          <w:color w:val="000000"/>
          <w:szCs w:val="24"/>
          <w:highlight w:val="yellow"/>
        </w:rPr>
        <w:t>s</w:t>
      </w:r>
      <w:r w:rsidRPr="00030F57">
        <w:rPr>
          <w:rFonts w:cs="Proxima Nova"/>
          <w:color w:val="000000"/>
          <w:szCs w:val="24"/>
          <w:highlight w:val="yellow"/>
        </w:rPr>
        <w:t xml:space="preserve">tatewide </w:t>
      </w:r>
      <w:r>
        <w:rPr>
          <w:rFonts w:cs="Proxima Nova"/>
          <w:color w:val="000000"/>
          <w:szCs w:val="24"/>
          <w:highlight w:val="yellow"/>
        </w:rPr>
        <w:t>t</w:t>
      </w:r>
      <w:r w:rsidRPr="00030F57">
        <w:rPr>
          <w:rFonts w:cs="Proxima Nova"/>
          <w:color w:val="000000"/>
          <w:szCs w:val="24"/>
          <w:highlight w:val="yellow"/>
        </w:rPr>
        <w:t>argets]</w:t>
      </w:r>
    </w:p>
    <w:p w14:paraId="03D3CE44" w14:textId="18B6D7AB" w:rsidR="00F82C2D" w:rsidRDefault="00F82C2D" w:rsidP="00F82C2D">
      <w:pPr>
        <w:rPr>
          <w:rFonts w:cs="Calibri"/>
          <w:bCs/>
          <w:color w:val="000000"/>
          <w:kern w:val="36"/>
          <w:szCs w:val="24"/>
        </w:rPr>
      </w:pPr>
      <w:r w:rsidRPr="008A2DFD">
        <w:rPr>
          <w:rFonts w:cs="Calibri"/>
          <w:kern w:val="28"/>
          <w:szCs w:val="24"/>
        </w:rPr>
        <w:t xml:space="preserve">The </w:t>
      </w:r>
      <w:r w:rsidRPr="008A2DFD">
        <w:rPr>
          <w:rFonts w:cs="Calibri"/>
          <w:bCs/>
          <w:color w:val="000000"/>
          <w:kern w:val="36"/>
          <w:szCs w:val="24"/>
        </w:rPr>
        <w:t>[</w:t>
      </w:r>
      <w:r w:rsidRPr="008A2DFD">
        <w:rPr>
          <w:rFonts w:cs="Calibri"/>
          <w:bCs/>
          <w:color w:val="000000"/>
          <w:kern w:val="36"/>
          <w:szCs w:val="24"/>
          <w:highlight w:val="yellow"/>
        </w:rPr>
        <w:t>insert name</w:t>
      </w:r>
      <w:r w:rsidRPr="008A2DFD">
        <w:rPr>
          <w:rFonts w:cs="Calibri"/>
          <w:bCs/>
          <w:color w:val="000000"/>
          <w:kern w:val="36"/>
          <w:szCs w:val="24"/>
        </w:rPr>
        <w:t xml:space="preserve">] </w:t>
      </w:r>
      <w:r w:rsidRPr="008A2DFD">
        <w:rPr>
          <w:rFonts w:cs="Calibri"/>
          <w:kern w:val="28"/>
          <w:szCs w:val="24"/>
        </w:rPr>
        <w:t xml:space="preserve">MPO, along with FDOT and other traffic safety partners, shares a high concern about the </w:t>
      </w:r>
      <w:r w:rsidR="00B639BD">
        <w:rPr>
          <w:rFonts w:cs="Calibri"/>
          <w:kern w:val="28"/>
          <w:szCs w:val="24"/>
        </w:rPr>
        <w:t>unacceptable</w:t>
      </w:r>
      <w:r w:rsidR="000C5C1C">
        <w:rPr>
          <w:rFonts w:cs="Calibri"/>
          <w:kern w:val="28"/>
          <w:szCs w:val="24"/>
        </w:rPr>
        <w:t xml:space="preserve"> number of traffic </w:t>
      </w:r>
      <w:r w:rsidRPr="00BB3F9B">
        <w:rPr>
          <w:rFonts w:cs="Calibri"/>
          <w:kern w:val="28"/>
          <w:szCs w:val="24"/>
        </w:rPr>
        <w:t>fatalities</w:t>
      </w:r>
      <w:r w:rsidRPr="008A2DFD">
        <w:rPr>
          <w:rFonts w:cs="Calibri"/>
          <w:kern w:val="28"/>
          <w:szCs w:val="24"/>
        </w:rPr>
        <w:t>, both statewide and nationally</w:t>
      </w:r>
      <w:r w:rsidR="00124F3A" w:rsidRPr="008A2DFD">
        <w:rPr>
          <w:rFonts w:cs="Calibri"/>
          <w:kern w:val="28"/>
          <w:szCs w:val="24"/>
        </w:rPr>
        <w:t xml:space="preserve">. </w:t>
      </w:r>
      <w:r w:rsidRPr="008A2DFD">
        <w:rPr>
          <w:rFonts w:cs="Calibri"/>
          <w:kern w:val="28"/>
          <w:szCs w:val="24"/>
        </w:rPr>
        <w:t xml:space="preserve">As such, </w:t>
      </w:r>
      <w:r>
        <w:rPr>
          <w:rFonts w:cs="Calibri"/>
          <w:kern w:val="28"/>
          <w:szCs w:val="24"/>
        </w:rPr>
        <w:t>o</w:t>
      </w:r>
      <w:r w:rsidRPr="006B411F">
        <w:rPr>
          <w:rFonts w:cs="Calibri"/>
          <w:kern w:val="28"/>
          <w:szCs w:val="24"/>
        </w:rPr>
        <w:t>n [</w:t>
      </w:r>
      <w:r w:rsidRPr="00EF1433">
        <w:rPr>
          <w:rFonts w:cs="Calibri"/>
          <w:kern w:val="28"/>
          <w:szCs w:val="24"/>
          <w:highlight w:val="yellow"/>
        </w:rPr>
        <w:t>insert date</w:t>
      </w:r>
      <w:r w:rsidRPr="006B411F">
        <w:rPr>
          <w:rFonts w:cs="Calibri"/>
          <w:kern w:val="28"/>
          <w:szCs w:val="24"/>
        </w:rPr>
        <w:t>], the [</w:t>
      </w:r>
      <w:r w:rsidRPr="00EF1433">
        <w:rPr>
          <w:rFonts w:cs="Calibri"/>
          <w:kern w:val="28"/>
          <w:szCs w:val="24"/>
          <w:highlight w:val="yellow"/>
        </w:rPr>
        <w:t>insert MPO name</w:t>
      </w:r>
      <w:r w:rsidRPr="006B411F">
        <w:rPr>
          <w:rFonts w:cs="Calibri"/>
          <w:kern w:val="28"/>
          <w:szCs w:val="24"/>
        </w:rPr>
        <w:t xml:space="preserve">] agreed to support FDOT’s statewide </w:t>
      </w:r>
      <w:r>
        <w:rPr>
          <w:rFonts w:cs="Calibri"/>
          <w:kern w:val="28"/>
          <w:szCs w:val="24"/>
        </w:rPr>
        <w:t>safety</w:t>
      </w:r>
      <w:r w:rsidRPr="006B411F">
        <w:rPr>
          <w:rFonts w:cs="Calibri"/>
          <w:kern w:val="28"/>
          <w:szCs w:val="24"/>
        </w:rPr>
        <w:t xml:space="preserve"> performance targets</w:t>
      </w:r>
      <w:r>
        <w:rPr>
          <w:rFonts w:cs="Calibri"/>
          <w:kern w:val="28"/>
          <w:szCs w:val="24"/>
        </w:rPr>
        <w:t xml:space="preserve"> for calendar year 202</w:t>
      </w:r>
      <w:r w:rsidR="00BC545D">
        <w:rPr>
          <w:rFonts w:cs="Calibri"/>
          <w:kern w:val="28"/>
          <w:szCs w:val="24"/>
        </w:rPr>
        <w:t>3</w:t>
      </w:r>
      <w:r w:rsidRPr="006B411F">
        <w:rPr>
          <w:rFonts w:cs="Calibri"/>
          <w:kern w:val="28"/>
          <w:szCs w:val="24"/>
        </w:rPr>
        <w:t xml:space="preserve">, thus agreeing to plan and program projects in the TIP that once implemented, </w:t>
      </w:r>
      <w:r>
        <w:rPr>
          <w:rFonts w:cs="Calibri"/>
          <w:kern w:val="28"/>
          <w:szCs w:val="24"/>
        </w:rPr>
        <w:t xml:space="preserve">are anticipated to </w:t>
      </w:r>
      <w:r w:rsidRPr="006B411F">
        <w:rPr>
          <w:rFonts w:cs="Calibri"/>
          <w:kern w:val="28"/>
          <w:szCs w:val="24"/>
        </w:rPr>
        <w:t>make progress toward achieving the statewide targets.</w:t>
      </w:r>
      <w:r w:rsidRPr="008A2DFD">
        <w:rPr>
          <w:rFonts w:cs="Calibri"/>
          <w:kern w:val="28"/>
          <w:szCs w:val="24"/>
        </w:rPr>
        <w:t xml:space="preserve"> The safety initiatives within this TIP are intended to contribute toward achieving the</w:t>
      </w:r>
      <w:r>
        <w:rPr>
          <w:rFonts w:cs="Calibri"/>
          <w:kern w:val="28"/>
          <w:szCs w:val="24"/>
        </w:rPr>
        <w:t>se</w:t>
      </w:r>
      <w:r w:rsidRPr="008A2DFD">
        <w:rPr>
          <w:rFonts w:cs="Calibri"/>
          <w:kern w:val="28"/>
          <w:szCs w:val="24"/>
        </w:rPr>
        <w:t xml:space="preserve"> target</w:t>
      </w:r>
      <w:r>
        <w:rPr>
          <w:rFonts w:cs="Calibri"/>
          <w:kern w:val="28"/>
          <w:szCs w:val="24"/>
        </w:rPr>
        <w:t>s</w:t>
      </w:r>
      <w:r w:rsidRPr="008A2DFD">
        <w:rPr>
          <w:rFonts w:cs="Calibri"/>
          <w:kern w:val="28"/>
          <w:szCs w:val="24"/>
        </w:rPr>
        <w:t>.</w:t>
      </w:r>
      <w:r w:rsidRPr="008A2DFD">
        <w:rPr>
          <w:rFonts w:cs="Calibri"/>
          <w:bCs/>
          <w:color w:val="000000"/>
          <w:kern w:val="36"/>
          <w:szCs w:val="24"/>
        </w:rPr>
        <w:t xml:space="preserve"> </w:t>
      </w:r>
      <w:r w:rsidRPr="00F57A31">
        <w:rPr>
          <w:rFonts w:cs="Calibri"/>
          <w:bCs/>
          <w:color w:val="000000"/>
          <w:kern w:val="36"/>
          <w:szCs w:val="24"/>
          <w:highlight w:val="yellow"/>
        </w:rPr>
        <w:t>[The MPO may discuss the reasoning or analysis behind the decision to support the state targets.]</w:t>
      </w:r>
    </w:p>
    <w:p w14:paraId="6F9CB382" w14:textId="6A66EED4" w:rsidR="00F82C2D" w:rsidRDefault="00F82C2D" w:rsidP="00F82C2D">
      <w:pPr>
        <w:rPr>
          <w:rFonts w:cs="Calibri"/>
          <w:bCs/>
          <w:color w:val="000000"/>
          <w:kern w:val="36"/>
          <w:szCs w:val="24"/>
        </w:rPr>
      </w:pPr>
      <w:r w:rsidRPr="00904649">
        <w:rPr>
          <w:rFonts w:cs="Calibri"/>
          <w:bCs/>
          <w:color w:val="000000"/>
          <w:kern w:val="36"/>
          <w:szCs w:val="24"/>
          <w:highlight w:val="yellow"/>
        </w:rPr>
        <w:t>[</w:t>
      </w:r>
      <w:r>
        <w:rPr>
          <w:rFonts w:cs="Calibri"/>
          <w:bCs/>
          <w:color w:val="000000"/>
          <w:kern w:val="36"/>
          <w:szCs w:val="24"/>
          <w:highlight w:val="yellow"/>
        </w:rPr>
        <w:t>END OF OPTION A</w:t>
      </w:r>
      <w:r w:rsidRPr="00904649">
        <w:rPr>
          <w:rFonts w:cs="Calibri"/>
          <w:bCs/>
          <w:color w:val="000000"/>
          <w:kern w:val="36"/>
          <w:szCs w:val="24"/>
          <w:highlight w:val="yellow"/>
        </w:rPr>
        <w:t>. Continue at “Section 3.2 Safety Trends in the MPO Area”]</w:t>
      </w:r>
    </w:p>
    <w:p w14:paraId="09E51A2E" w14:textId="77777777" w:rsidR="00171205" w:rsidRDefault="00171205" w:rsidP="00F82C2D">
      <w:pPr>
        <w:rPr>
          <w:rFonts w:cs="Calibri"/>
          <w:bCs/>
          <w:color w:val="000000"/>
          <w:kern w:val="36"/>
          <w:szCs w:val="24"/>
        </w:rPr>
      </w:pPr>
    </w:p>
    <w:p w14:paraId="699F73E4" w14:textId="403BCDD6" w:rsidR="00F82C2D" w:rsidRPr="00030F57" w:rsidRDefault="00F82C2D" w:rsidP="00F82C2D">
      <w:pPr>
        <w:keepNext/>
        <w:rPr>
          <w:rFonts w:cs="Proxima Nova"/>
          <w:color w:val="000000"/>
          <w:szCs w:val="24"/>
          <w:highlight w:val="yellow"/>
        </w:rPr>
      </w:pPr>
      <w:r w:rsidRPr="00030F57">
        <w:rPr>
          <w:rFonts w:cs="Proxima Nova"/>
          <w:color w:val="000000"/>
          <w:szCs w:val="24"/>
          <w:highlight w:val="yellow"/>
        </w:rPr>
        <w:t>[</w:t>
      </w:r>
      <w:r w:rsidRPr="00735CF6">
        <w:rPr>
          <w:rFonts w:cs="Proxima Nova"/>
          <w:color w:val="000000"/>
          <w:szCs w:val="24"/>
          <w:highlight w:val="yellow"/>
        </w:rPr>
        <w:t>OPTION B</w:t>
      </w:r>
      <w:r w:rsidRPr="00030F57">
        <w:rPr>
          <w:rFonts w:cs="Proxima Nova"/>
          <w:color w:val="000000"/>
          <w:szCs w:val="24"/>
          <w:highlight w:val="yellow"/>
        </w:rPr>
        <w:t xml:space="preserve">: </w:t>
      </w:r>
      <w:r w:rsidR="00B23A75">
        <w:rPr>
          <w:rFonts w:cs="Proxima Nova"/>
          <w:color w:val="000000"/>
          <w:szCs w:val="24"/>
          <w:highlight w:val="yellow"/>
        </w:rPr>
        <w:t>F</w:t>
      </w:r>
      <w:r w:rsidRPr="00030F57">
        <w:rPr>
          <w:rFonts w:cs="Proxima Nova"/>
          <w:color w:val="000000"/>
          <w:szCs w:val="24"/>
          <w:highlight w:val="yellow"/>
        </w:rPr>
        <w:t xml:space="preserve">or MPO that </w:t>
      </w:r>
      <w:r>
        <w:rPr>
          <w:rFonts w:cs="Proxima Nova"/>
          <w:color w:val="000000"/>
          <w:szCs w:val="24"/>
          <w:highlight w:val="yellow"/>
        </w:rPr>
        <w:t>e</w:t>
      </w:r>
      <w:r w:rsidRPr="00030F57">
        <w:rPr>
          <w:rFonts w:cs="Proxima Nova"/>
          <w:color w:val="000000"/>
          <w:szCs w:val="24"/>
          <w:highlight w:val="yellow"/>
        </w:rPr>
        <w:t xml:space="preserve">stablishes its </w:t>
      </w:r>
      <w:r>
        <w:rPr>
          <w:rFonts w:cs="Proxima Nova"/>
          <w:color w:val="000000"/>
          <w:szCs w:val="24"/>
          <w:highlight w:val="yellow"/>
        </w:rPr>
        <w:t>o</w:t>
      </w:r>
      <w:r w:rsidRPr="00030F57">
        <w:rPr>
          <w:rFonts w:cs="Proxima Nova"/>
          <w:color w:val="000000"/>
          <w:szCs w:val="24"/>
          <w:highlight w:val="yellow"/>
        </w:rPr>
        <w:t xml:space="preserve">wn </w:t>
      </w:r>
      <w:r>
        <w:rPr>
          <w:rFonts w:cs="Proxima Nova"/>
          <w:color w:val="000000"/>
          <w:szCs w:val="24"/>
          <w:highlight w:val="yellow"/>
        </w:rPr>
        <w:t>t</w:t>
      </w:r>
      <w:r w:rsidRPr="00030F57">
        <w:rPr>
          <w:rFonts w:cs="Proxima Nova"/>
          <w:color w:val="000000"/>
          <w:szCs w:val="24"/>
          <w:highlight w:val="yellow"/>
        </w:rPr>
        <w:t>argets]</w:t>
      </w:r>
    </w:p>
    <w:p w14:paraId="252DE0CD" w14:textId="6876753C" w:rsidR="00F82C2D" w:rsidRDefault="00F82C2D" w:rsidP="00F82C2D">
      <w:pPr>
        <w:rPr>
          <w:rFonts w:cs="Calibri"/>
          <w:kern w:val="28"/>
          <w:szCs w:val="24"/>
        </w:rPr>
      </w:pPr>
      <w:r>
        <w:rPr>
          <w:rFonts w:cs="Calibri"/>
          <w:kern w:val="28"/>
          <w:szCs w:val="24"/>
        </w:rPr>
        <w:t>T</w:t>
      </w:r>
      <w:r w:rsidRPr="008A2DFD">
        <w:rPr>
          <w:rFonts w:cs="Calibri"/>
          <w:kern w:val="28"/>
          <w:szCs w:val="24"/>
        </w:rPr>
        <w:t xml:space="preserve">he </w:t>
      </w:r>
      <w:r w:rsidRPr="008A2DFD">
        <w:rPr>
          <w:rFonts w:cs="Calibri"/>
          <w:bCs/>
          <w:color w:val="000000"/>
          <w:kern w:val="36"/>
          <w:szCs w:val="24"/>
        </w:rPr>
        <w:t>[</w:t>
      </w:r>
      <w:r w:rsidRPr="008A2DFD">
        <w:rPr>
          <w:rFonts w:cs="Calibri"/>
          <w:bCs/>
          <w:color w:val="000000"/>
          <w:kern w:val="36"/>
          <w:szCs w:val="24"/>
          <w:highlight w:val="yellow"/>
        </w:rPr>
        <w:t>insert name</w:t>
      </w:r>
      <w:r w:rsidRPr="008A2DFD">
        <w:rPr>
          <w:rFonts w:cs="Calibri"/>
          <w:bCs/>
          <w:color w:val="000000"/>
          <w:kern w:val="36"/>
          <w:szCs w:val="24"/>
        </w:rPr>
        <w:t xml:space="preserve">] </w:t>
      </w:r>
      <w:r w:rsidRPr="008A2DFD">
        <w:rPr>
          <w:rFonts w:cs="Calibri"/>
          <w:kern w:val="28"/>
          <w:szCs w:val="24"/>
        </w:rPr>
        <w:t xml:space="preserve">MPO acknowledges FDOT statewide </w:t>
      </w:r>
      <w:r>
        <w:rPr>
          <w:rFonts w:cs="Calibri"/>
          <w:kern w:val="28"/>
          <w:szCs w:val="24"/>
        </w:rPr>
        <w:t>202</w:t>
      </w:r>
      <w:r w:rsidR="00550322">
        <w:rPr>
          <w:rFonts w:cs="Calibri"/>
          <w:kern w:val="28"/>
          <w:szCs w:val="24"/>
        </w:rPr>
        <w:t>3</w:t>
      </w:r>
      <w:r>
        <w:rPr>
          <w:rFonts w:cs="Calibri"/>
          <w:kern w:val="28"/>
          <w:szCs w:val="24"/>
        </w:rPr>
        <w:t xml:space="preserve"> </w:t>
      </w:r>
      <w:r w:rsidRPr="008A2DFD">
        <w:rPr>
          <w:rFonts w:cs="Calibri"/>
          <w:kern w:val="28"/>
          <w:szCs w:val="24"/>
        </w:rPr>
        <w:t xml:space="preserve">safety targets, which </w:t>
      </w:r>
      <w:r>
        <w:rPr>
          <w:rFonts w:cs="Calibri"/>
          <w:kern w:val="28"/>
          <w:szCs w:val="24"/>
        </w:rPr>
        <w:t xml:space="preserve">are </w:t>
      </w:r>
      <w:r w:rsidRPr="008A2DFD">
        <w:rPr>
          <w:rFonts w:cs="Calibri"/>
          <w:kern w:val="28"/>
          <w:szCs w:val="24"/>
        </w:rPr>
        <w:t xml:space="preserve">set at “0” for each performance measure to reflect </w:t>
      </w:r>
      <w:r>
        <w:rPr>
          <w:rFonts w:cs="Calibri"/>
          <w:kern w:val="28"/>
          <w:szCs w:val="24"/>
        </w:rPr>
        <w:t>FDOT</w:t>
      </w:r>
      <w:r w:rsidRPr="008A2DFD">
        <w:rPr>
          <w:rFonts w:cs="Calibri"/>
          <w:kern w:val="28"/>
          <w:szCs w:val="24"/>
        </w:rPr>
        <w:t>’s goal of zero deaths</w:t>
      </w:r>
      <w:r w:rsidR="00124F3A" w:rsidRPr="008A2DFD">
        <w:rPr>
          <w:rFonts w:cs="Calibri"/>
          <w:kern w:val="28"/>
          <w:szCs w:val="24"/>
        </w:rPr>
        <w:t xml:space="preserve">. </w:t>
      </w:r>
      <w:r w:rsidRPr="008A2DFD">
        <w:rPr>
          <w:rFonts w:cs="Calibri"/>
          <w:kern w:val="28"/>
          <w:szCs w:val="24"/>
        </w:rPr>
        <w:t xml:space="preserve">However, the MPO </w:t>
      </w:r>
      <w:r>
        <w:rPr>
          <w:rFonts w:cs="Calibri"/>
          <w:kern w:val="28"/>
          <w:szCs w:val="24"/>
        </w:rPr>
        <w:t>established</w:t>
      </w:r>
      <w:r w:rsidRPr="008A2DFD">
        <w:rPr>
          <w:rFonts w:cs="Calibri"/>
          <w:kern w:val="28"/>
          <w:szCs w:val="24"/>
        </w:rPr>
        <w:t xml:space="preserve"> safety performance targets </w:t>
      </w:r>
      <w:r>
        <w:rPr>
          <w:rFonts w:cs="Calibri"/>
          <w:kern w:val="28"/>
          <w:szCs w:val="24"/>
        </w:rPr>
        <w:t>specific to the MPO planning area</w:t>
      </w:r>
      <w:r w:rsidR="00124F3A">
        <w:rPr>
          <w:rFonts w:cs="Calibri"/>
          <w:kern w:val="28"/>
          <w:szCs w:val="24"/>
        </w:rPr>
        <w:t xml:space="preserve">. </w:t>
      </w:r>
      <w:r w:rsidRPr="007E16DA">
        <w:rPr>
          <w:rFonts w:cs="Calibri"/>
          <w:kern w:val="28"/>
          <w:szCs w:val="24"/>
        </w:rPr>
        <w:t>On [</w:t>
      </w:r>
      <w:r w:rsidRPr="007E16DA">
        <w:rPr>
          <w:rFonts w:cs="Calibri"/>
          <w:kern w:val="28"/>
          <w:szCs w:val="24"/>
          <w:highlight w:val="yellow"/>
        </w:rPr>
        <w:t>insert date</w:t>
      </w:r>
      <w:r w:rsidRPr="007E16DA">
        <w:rPr>
          <w:rFonts w:cs="Calibri"/>
          <w:kern w:val="28"/>
          <w:szCs w:val="24"/>
        </w:rPr>
        <w:t>], the [</w:t>
      </w:r>
      <w:r w:rsidRPr="007E16DA">
        <w:rPr>
          <w:rFonts w:cs="Calibri"/>
          <w:kern w:val="28"/>
          <w:szCs w:val="24"/>
          <w:highlight w:val="yellow"/>
        </w:rPr>
        <w:t>insert MPO name</w:t>
      </w:r>
      <w:r w:rsidRPr="007E16DA">
        <w:rPr>
          <w:rFonts w:cs="Calibri"/>
          <w:kern w:val="28"/>
          <w:szCs w:val="24"/>
        </w:rPr>
        <w:t xml:space="preserve">] established </w:t>
      </w:r>
      <w:r>
        <w:rPr>
          <w:rFonts w:cs="Calibri"/>
          <w:kern w:val="28"/>
          <w:szCs w:val="24"/>
        </w:rPr>
        <w:t>the calendar year 202</w:t>
      </w:r>
      <w:r w:rsidR="005A476C">
        <w:rPr>
          <w:rFonts w:cs="Calibri"/>
          <w:kern w:val="28"/>
          <w:szCs w:val="24"/>
        </w:rPr>
        <w:t>3</w:t>
      </w:r>
      <w:r>
        <w:rPr>
          <w:rFonts w:cs="Calibri"/>
          <w:kern w:val="28"/>
          <w:szCs w:val="24"/>
        </w:rPr>
        <w:t xml:space="preserve"> safety </w:t>
      </w:r>
      <w:r w:rsidRPr="007E16DA">
        <w:rPr>
          <w:rFonts w:cs="Calibri"/>
          <w:kern w:val="28"/>
          <w:szCs w:val="24"/>
        </w:rPr>
        <w:t xml:space="preserve">targets </w:t>
      </w:r>
      <w:r>
        <w:rPr>
          <w:rFonts w:cs="Calibri"/>
          <w:kern w:val="28"/>
          <w:szCs w:val="24"/>
        </w:rPr>
        <w:t xml:space="preserve">listed in Table 3.2. </w:t>
      </w:r>
      <w:r w:rsidRPr="007E16DA">
        <w:rPr>
          <w:rFonts w:cs="Calibri"/>
          <w:kern w:val="28"/>
          <w:szCs w:val="24"/>
        </w:rPr>
        <w:t xml:space="preserve"> </w:t>
      </w:r>
    </w:p>
    <w:p w14:paraId="6C15CC52" w14:textId="60869F57" w:rsidR="00896672" w:rsidRDefault="00F82C2D" w:rsidP="00F82C2D">
      <w:pPr>
        <w:rPr>
          <w:rFonts w:cs="Calibri"/>
          <w:kern w:val="28"/>
          <w:szCs w:val="24"/>
          <w:highlight w:val="yellow"/>
        </w:rPr>
      </w:pPr>
      <w:r>
        <w:rPr>
          <w:rFonts w:cs="Calibri"/>
          <w:kern w:val="28"/>
          <w:szCs w:val="24"/>
          <w:highlight w:val="yellow"/>
        </w:rPr>
        <w:t>[</w:t>
      </w:r>
      <w:r w:rsidRPr="002E74D6">
        <w:rPr>
          <w:rFonts w:cs="Calibri"/>
          <w:kern w:val="28"/>
          <w:szCs w:val="24"/>
          <w:highlight w:val="yellow"/>
        </w:rPr>
        <w:t>Insert table such as the one below</w:t>
      </w:r>
      <w:r>
        <w:rPr>
          <w:rFonts w:cs="Calibri"/>
          <w:kern w:val="28"/>
          <w:szCs w:val="24"/>
          <w:highlight w:val="yellow"/>
        </w:rPr>
        <w:t>. I</w:t>
      </w:r>
      <w:r w:rsidRPr="002E74D6">
        <w:rPr>
          <w:rFonts w:cs="Calibri"/>
          <w:kern w:val="28"/>
          <w:szCs w:val="24"/>
          <w:highlight w:val="yellow"/>
        </w:rPr>
        <w:t>f desired, include the statewide targets in the table for reference purposes</w:t>
      </w:r>
      <w:r>
        <w:rPr>
          <w:rFonts w:cs="Calibri"/>
          <w:kern w:val="28"/>
          <w:szCs w:val="24"/>
          <w:highlight w:val="yellow"/>
        </w:rPr>
        <w:t>, or combine Tables 3.1 and 3.2 into one table</w:t>
      </w:r>
      <w:r w:rsidRPr="00FE62ED">
        <w:rPr>
          <w:rFonts w:cs="Calibri"/>
          <w:kern w:val="28"/>
          <w:szCs w:val="24"/>
          <w:highlight w:val="yellow"/>
        </w:rPr>
        <w:t>.]</w:t>
      </w:r>
      <w:r w:rsidR="00896672">
        <w:rPr>
          <w:rFonts w:cs="Calibri"/>
          <w:kern w:val="28"/>
          <w:szCs w:val="24"/>
          <w:highlight w:val="yellow"/>
        </w:rPr>
        <w:br w:type="page"/>
      </w:r>
    </w:p>
    <w:p w14:paraId="1B4C5A4E" w14:textId="77777777" w:rsidR="00F82C2D" w:rsidRPr="00342667" w:rsidRDefault="00F82C2D" w:rsidP="00F82C2D">
      <w:pPr>
        <w:keepNext/>
        <w:keepLines/>
        <w:spacing w:after="120" w:line="288" w:lineRule="auto"/>
        <w:ind w:left="1440" w:hanging="1440"/>
        <w:jc w:val="left"/>
        <w:rPr>
          <w:rFonts w:cs="Arial"/>
          <w:b/>
          <w:szCs w:val="24"/>
        </w:rPr>
      </w:pPr>
      <w:r w:rsidRPr="00342667">
        <w:rPr>
          <w:rFonts w:cs="Arial"/>
          <w:b/>
          <w:szCs w:val="24"/>
        </w:rPr>
        <w:lastRenderedPageBreak/>
        <w:t>Table </w:t>
      </w:r>
      <w:r>
        <w:rPr>
          <w:rFonts w:cs="Arial"/>
          <w:b/>
          <w:szCs w:val="24"/>
        </w:rPr>
        <w:t>3</w:t>
      </w:r>
      <w:r w:rsidRPr="00342667">
        <w:rPr>
          <w:rFonts w:cs="Arial"/>
          <w:b/>
          <w:szCs w:val="24"/>
        </w:rPr>
        <w:t>.</w:t>
      </w:r>
      <w:r>
        <w:rPr>
          <w:rFonts w:cs="Arial"/>
          <w:b/>
          <w:szCs w:val="24"/>
        </w:rPr>
        <w:t>2</w:t>
      </w:r>
      <w:r w:rsidRPr="00342667">
        <w:rPr>
          <w:rFonts w:cs="Arial"/>
          <w:b/>
          <w:szCs w:val="24"/>
        </w:rPr>
        <w:t xml:space="preserve">. </w:t>
      </w:r>
      <w:r>
        <w:rPr>
          <w:rFonts w:cs="Arial"/>
          <w:b/>
          <w:szCs w:val="24"/>
        </w:rPr>
        <w:t>MPO Safety Performance Targets</w:t>
      </w:r>
    </w:p>
    <w:tbl>
      <w:tblPr>
        <w:tblStyle w:val="GridTable4"/>
        <w:tblW w:w="0" w:type="auto"/>
        <w:tblLook w:val="04A0" w:firstRow="1" w:lastRow="0" w:firstColumn="1" w:lastColumn="0" w:noHBand="0" w:noVBand="1"/>
      </w:tblPr>
      <w:tblGrid>
        <w:gridCol w:w="6475"/>
        <w:gridCol w:w="2250"/>
      </w:tblGrid>
      <w:tr w:rsidR="00F82C2D" w:rsidRPr="002D3AEF" w14:paraId="727933D1" w14:textId="77777777" w:rsidTr="0000371F">
        <w:trPr>
          <w:cnfStyle w:val="100000000000" w:firstRow="1" w:lastRow="0" w:firstColumn="0" w:lastColumn="0" w:oddVBand="0" w:evenVBand="0" w:oddHBand="0" w:evenHBand="0" w:firstRowFirstColumn="0" w:firstRowLastColumn="0" w:lastRowFirstColumn="0" w:lastRowLastColumn="0"/>
          <w:trHeight w:val="504"/>
          <w:tblHeader/>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shd w:val="clear" w:color="auto" w:fill="auto"/>
            <w:vAlign w:val="center"/>
          </w:tcPr>
          <w:p w14:paraId="5B312732" w14:textId="77777777" w:rsidR="00F82C2D" w:rsidRPr="002D3AEF" w:rsidRDefault="00F82C2D" w:rsidP="0000371F">
            <w:pPr>
              <w:pStyle w:val="TableHeadText"/>
            </w:pPr>
            <w:r w:rsidRPr="002D3AEF">
              <w:t>Performance Measure</w:t>
            </w:r>
          </w:p>
        </w:tc>
        <w:tc>
          <w:tcPr>
            <w:tcW w:w="0" w:type="dxa"/>
            <w:tcBorders>
              <w:left w:val="single" w:sz="4" w:space="0" w:color="auto"/>
            </w:tcBorders>
            <w:shd w:val="clear" w:color="auto" w:fill="auto"/>
            <w:vAlign w:val="center"/>
          </w:tcPr>
          <w:p w14:paraId="07B9803C" w14:textId="2C1766C8" w:rsidR="00F82C2D" w:rsidRPr="002D3AEF" w:rsidRDefault="00F82C2D" w:rsidP="0000371F">
            <w:pPr>
              <w:pStyle w:val="TableHeadText"/>
              <w:cnfStyle w:val="100000000000" w:firstRow="1" w:lastRow="0" w:firstColumn="0" w:lastColumn="0" w:oddVBand="0" w:evenVBand="0" w:oddHBand="0" w:evenHBand="0" w:firstRowFirstColumn="0" w:firstRowLastColumn="0" w:lastRowFirstColumn="0" w:lastRowLastColumn="0"/>
            </w:pPr>
            <w:r>
              <w:t>Calendar Year 202</w:t>
            </w:r>
            <w:r w:rsidR="005A476C">
              <w:t>3</w:t>
            </w:r>
            <w:r>
              <w:t xml:space="preserve"> </w:t>
            </w:r>
            <w:r w:rsidRPr="002D3AEF">
              <w:t>MPO Target</w:t>
            </w:r>
          </w:p>
        </w:tc>
      </w:tr>
      <w:tr w:rsidR="00F82C2D" w:rsidRPr="00F4642E" w14:paraId="15DE88DD" w14:textId="77777777" w:rsidTr="000C0E0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6475" w:type="dxa"/>
            <w:shd w:val="clear" w:color="auto" w:fill="F2F2F2" w:themeFill="background2" w:themeFillShade="F2"/>
            <w:vAlign w:val="center"/>
          </w:tcPr>
          <w:p w14:paraId="2EC5D7B5" w14:textId="77777777" w:rsidR="00F82C2D" w:rsidRPr="00F4642E" w:rsidRDefault="00F82C2D" w:rsidP="0000371F">
            <w:pPr>
              <w:pStyle w:val="TableBodyText"/>
              <w:rPr>
                <w:b/>
              </w:rPr>
            </w:pPr>
            <w:r w:rsidRPr="00F4642E">
              <w:t>Number of fatalities</w:t>
            </w:r>
          </w:p>
        </w:tc>
        <w:tc>
          <w:tcPr>
            <w:tcW w:w="2250" w:type="dxa"/>
            <w:shd w:val="clear" w:color="auto" w:fill="F2F2F2" w:themeFill="background2" w:themeFillShade="F2"/>
            <w:vAlign w:val="center"/>
          </w:tcPr>
          <w:p w14:paraId="76F0FB1D" w14:textId="77777777" w:rsidR="00F82C2D" w:rsidRPr="00F4642E" w:rsidRDefault="00F82C2D" w:rsidP="0000371F">
            <w:pPr>
              <w:pStyle w:val="TableBodyText"/>
              <w:cnfStyle w:val="000000100000" w:firstRow="0" w:lastRow="0" w:firstColumn="0" w:lastColumn="0" w:oddVBand="0" w:evenVBand="0" w:oddHBand="1" w:evenHBand="0" w:firstRowFirstColumn="0" w:firstRowLastColumn="0" w:lastRowFirstColumn="0" w:lastRowLastColumn="0"/>
            </w:pPr>
            <w:r>
              <w:t>x</w:t>
            </w:r>
          </w:p>
        </w:tc>
      </w:tr>
      <w:tr w:rsidR="00F82C2D" w:rsidRPr="00F4642E" w14:paraId="685E111D" w14:textId="77777777" w:rsidTr="000C0E09">
        <w:trPr>
          <w:trHeight w:val="391"/>
        </w:trPr>
        <w:tc>
          <w:tcPr>
            <w:cnfStyle w:val="001000000000" w:firstRow="0" w:lastRow="0" w:firstColumn="1" w:lastColumn="0" w:oddVBand="0" w:evenVBand="0" w:oddHBand="0" w:evenHBand="0" w:firstRowFirstColumn="0" w:firstRowLastColumn="0" w:lastRowFirstColumn="0" w:lastRowLastColumn="0"/>
            <w:tcW w:w="6475" w:type="dxa"/>
            <w:vAlign w:val="center"/>
          </w:tcPr>
          <w:p w14:paraId="15354D8B" w14:textId="77777777" w:rsidR="00F82C2D" w:rsidRPr="00F4642E" w:rsidRDefault="00F82C2D" w:rsidP="0000371F">
            <w:pPr>
              <w:pStyle w:val="TableBodyText"/>
              <w:rPr>
                <w:b/>
              </w:rPr>
            </w:pPr>
            <w:r w:rsidRPr="00F4642E">
              <w:t>Rate of fatalities per 100 million vehicle miles traveled (VMT)</w:t>
            </w:r>
          </w:p>
        </w:tc>
        <w:tc>
          <w:tcPr>
            <w:tcW w:w="2250" w:type="dxa"/>
            <w:vAlign w:val="center"/>
          </w:tcPr>
          <w:p w14:paraId="38EC9D5F" w14:textId="77777777" w:rsidR="00F82C2D" w:rsidRPr="00F4642E" w:rsidRDefault="00F82C2D" w:rsidP="0000371F">
            <w:pPr>
              <w:pStyle w:val="TableBodyText"/>
              <w:cnfStyle w:val="000000000000" w:firstRow="0" w:lastRow="0" w:firstColumn="0" w:lastColumn="0" w:oddVBand="0" w:evenVBand="0" w:oddHBand="0" w:evenHBand="0" w:firstRowFirstColumn="0" w:firstRowLastColumn="0" w:lastRowFirstColumn="0" w:lastRowLastColumn="0"/>
            </w:pPr>
            <w:r>
              <w:t>x</w:t>
            </w:r>
          </w:p>
        </w:tc>
      </w:tr>
      <w:tr w:rsidR="00F82C2D" w:rsidRPr="00F4642E" w14:paraId="050CA1E9" w14:textId="77777777" w:rsidTr="000C0E0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6475" w:type="dxa"/>
            <w:shd w:val="clear" w:color="auto" w:fill="F2F2F2" w:themeFill="background2" w:themeFillShade="F2"/>
            <w:vAlign w:val="center"/>
          </w:tcPr>
          <w:p w14:paraId="7BC369F0" w14:textId="77777777" w:rsidR="00F82C2D" w:rsidRPr="00F4642E" w:rsidRDefault="00F82C2D" w:rsidP="0000371F">
            <w:pPr>
              <w:pStyle w:val="TableBodyText"/>
              <w:rPr>
                <w:b/>
              </w:rPr>
            </w:pPr>
            <w:r w:rsidRPr="00F4642E">
              <w:t>Number of serious Injuries</w:t>
            </w:r>
          </w:p>
        </w:tc>
        <w:tc>
          <w:tcPr>
            <w:tcW w:w="2250" w:type="dxa"/>
            <w:shd w:val="clear" w:color="auto" w:fill="F2F2F2" w:themeFill="background2" w:themeFillShade="F2"/>
            <w:vAlign w:val="center"/>
          </w:tcPr>
          <w:p w14:paraId="12C40551" w14:textId="77777777" w:rsidR="00F82C2D" w:rsidRPr="00F4642E" w:rsidRDefault="00F82C2D" w:rsidP="0000371F">
            <w:pPr>
              <w:pStyle w:val="TableBodyText"/>
              <w:cnfStyle w:val="000000100000" w:firstRow="0" w:lastRow="0" w:firstColumn="0" w:lastColumn="0" w:oddVBand="0" w:evenVBand="0" w:oddHBand="1" w:evenHBand="0" w:firstRowFirstColumn="0" w:firstRowLastColumn="0" w:lastRowFirstColumn="0" w:lastRowLastColumn="0"/>
            </w:pPr>
            <w:r>
              <w:t>x</w:t>
            </w:r>
          </w:p>
        </w:tc>
      </w:tr>
      <w:tr w:rsidR="00F82C2D" w:rsidRPr="00F4642E" w14:paraId="0224EAE5" w14:textId="77777777" w:rsidTr="000C0E09">
        <w:trPr>
          <w:trHeight w:val="391"/>
        </w:trPr>
        <w:tc>
          <w:tcPr>
            <w:cnfStyle w:val="001000000000" w:firstRow="0" w:lastRow="0" w:firstColumn="1" w:lastColumn="0" w:oddVBand="0" w:evenVBand="0" w:oddHBand="0" w:evenHBand="0" w:firstRowFirstColumn="0" w:firstRowLastColumn="0" w:lastRowFirstColumn="0" w:lastRowLastColumn="0"/>
            <w:tcW w:w="6475" w:type="dxa"/>
            <w:vAlign w:val="center"/>
          </w:tcPr>
          <w:p w14:paraId="50AC24EF" w14:textId="77777777" w:rsidR="00F82C2D" w:rsidRPr="00F4642E" w:rsidRDefault="00F82C2D" w:rsidP="0000371F">
            <w:pPr>
              <w:pStyle w:val="TableBodyText"/>
              <w:rPr>
                <w:b/>
              </w:rPr>
            </w:pPr>
            <w:r w:rsidRPr="00F4642E">
              <w:t>Rate of serious injures per 100 million vehicle miles traveled (VMT)</w:t>
            </w:r>
          </w:p>
        </w:tc>
        <w:tc>
          <w:tcPr>
            <w:tcW w:w="2250" w:type="dxa"/>
            <w:vAlign w:val="center"/>
          </w:tcPr>
          <w:p w14:paraId="7711D4FD" w14:textId="77777777" w:rsidR="00F82C2D" w:rsidRPr="00F4642E" w:rsidRDefault="00F82C2D" w:rsidP="0000371F">
            <w:pPr>
              <w:pStyle w:val="TableBodyText"/>
              <w:cnfStyle w:val="000000000000" w:firstRow="0" w:lastRow="0" w:firstColumn="0" w:lastColumn="0" w:oddVBand="0" w:evenVBand="0" w:oddHBand="0" w:evenHBand="0" w:firstRowFirstColumn="0" w:firstRowLastColumn="0" w:lastRowFirstColumn="0" w:lastRowLastColumn="0"/>
            </w:pPr>
            <w:r>
              <w:t>x</w:t>
            </w:r>
          </w:p>
        </w:tc>
      </w:tr>
      <w:tr w:rsidR="00F82C2D" w:rsidRPr="00F4642E" w14:paraId="4B022873" w14:textId="77777777" w:rsidTr="000C0E09">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6475" w:type="dxa"/>
            <w:shd w:val="clear" w:color="auto" w:fill="F2F2F2" w:themeFill="background2" w:themeFillShade="F2"/>
            <w:vAlign w:val="center"/>
          </w:tcPr>
          <w:p w14:paraId="5D5405C4" w14:textId="77777777" w:rsidR="00F82C2D" w:rsidRPr="00F4642E" w:rsidRDefault="00F82C2D" w:rsidP="0000371F">
            <w:pPr>
              <w:pStyle w:val="TableBodyText"/>
              <w:rPr>
                <w:b/>
              </w:rPr>
            </w:pPr>
            <w:r w:rsidRPr="00F4642E">
              <w:t>Number of non-motorized fatalities and serious injuries</w:t>
            </w:r>
          </w:p>
        </w:tc>
        <w:tc>
          <w:tcPr>
            <w:tcW w:w="2250" w:type="dxa"/>
            <w:shd w:val="clear" w:color="auto" w:fill="F2F2F2" w:themeFill="background2" w:themeFillShade="F2"/>
            <w:vAlign w:val="center"/>
          </w:tcPr>
          <w:p w14:paraId="7B6E2158" w14:textId="77777777" w:rsidR="00F82C2D" w:rsidRPr="00F4642E" w:rsidRDefault="00F82C2D" w:rsidP="0000371F">
            <w:pPr>
              <w:pStyle w:val="TableBodyText"/>
              <w:cnfStyle w:val="000000100000" w:firstRow="0" w:lastRow="0" w:firstColumn="0" w:lastColumn="0" w:oddVBand="0" w:evenVBand="0" w:oddHBand="1" w:evenHBand="0" w:firstRowFirstColumn="0" w:firstRowLastColumn="0" w:lastRowFirstColumn="0" w:lastRowLastColumn="0"/>
            </w:pPr>
            <w:r>
              <w:t>x</w:t>
            </w:r>
          </w:p>
        </w:tc>
      </w:tr>
    </w:tbl>
    <w:p w14:paraId="4263714F" w14:textId="3529FE0D" w:rsidR="00F82C2D" w:rsidRDefault="00F82C2D" w:rsidP="0000371F">
      <w:pPr>
        <w:spacing w:before="240"/>
        <w:rPr>
          <w:rFonts w:cs="Calibri"/>
          <w:kern w:val="28"/>
          <w:szCs w:val="24"/>
        </w:rPr>
      </w:pPr>
      <w:r w:rsidRPr="00BB3F9B">
        <w:rPr>
          <w:rFonts w:cs="Calibri"/>
          <w:kern w:val="28"/>
          <w:szCs w:val="24"/>
          <w:highlight w:val="yellow"/>
        </w:rPr>
        <w:t>[</w:t>
      </w:r>
      <w:r>
        <w:rPr>
          <w:rFonts w:cs="Calibri"/>
          <w:kern w:val="28"/>
          <w:szCs w:val="24"/>
          <w:highlight w:val="yellow"/>
        </w:rPr>
        <w:t xml:space="preserve">The </w:t>
      </w:r>
      <w:r w:rsidRPr="00BB3F9B">
        <w:rPr>
          <w:rFonts w:cs="Calibri"/>
          <w:kern w:val="28"/>
          <w:szCs w:val="24"/>
          <w:highlight w:val="yellow"/>
        </w:rPr>
        <w:t xml:space="preserve">MPO should </w:t>
      </w:r>
      <w:r>
        <w:rPr>
          <w:rFonts w:cs="Calibri"/>
          <w:kern w:val="28"/>
          <w:szCs w:val="24"/>
          <w:highlight w:val="yellow"/>
        </w:rPr>
        <w:t xml:space="preserve">discuss why and </w:t>
      </w:r>
      <w:r w:rsidRPr="00BB3F9B">
        <w:rPr>
          <w:rFonts w:cs="Calibri"/>
          <w:kern w:val="28"/>
          <w:szCs w:val="24"/>
          <w:highlight w:val="yellow"/>
        </w:rPr>
        <w:t xml:space="preserve">how it established its own targets. </w:t>
      </w:r>
      <w:r>
        <w:rPr>
          <w:rFonts w:cs="Calibri"/>
          <w:kern w:val="28"/>
          <w:szCs w:val="24"/>
          <w:highlight w:val="yellow"/>
        </w:rPr>
        <w:t>I</w:t>
      </w:r>
      <w:r w:rsidRPr="00BB3F9B">
        <w:rPr>
          <w:rFonts w:cs="Calibri"/>
          <w:kern w:val="28"/>
          <w:szCs w:val="24"/>
          <w:highlight w:val="yellow"/>
        </w:rPr>
        <w:t xml:space="preserve">nclude </w:t>
      </w:r>
      <w:r>
        <w:rPr>
          <w:rFonts w:cs="Calibri"/>
          <w:kern w:val="28"/>
          <w:szCs w:val="24"/>
          <w:highlight w:val="yellow"/>
        </w:rPr>
        <w:t xml:space="preserve">the basis </w:t>
      </w:r>
      <w:r w:rsidRPr="00BB3F9B">
        <w:rPr>
          <w:rFonts w:cs="Calibri"/>
          <w:kern w:val="28"/>
          <w:szCs w:val="24"/>
          <w:highlight w:val="yellow"/>
        </w:rPr>
        <w:t xml:space="preserve">for </w:t>
      </w:r>
      <w:r>
        <w:rPr>
          <w:rFonts w:cs="Calibri"/>
          <w:kern w:val="28"/>
          <w:szCs w:val="24"/>
          <w:highlight w:val="yellow"/>
        </w:rPr>
        <w:t xml:space="preserve">developing the </w:t>
      </w:r>
      <w:r w:rsidRPr="00BB3F9B">
        <w:rPr>
          <w:rFonts w:cs="Calibri"/>
          <w:kern w:val="28"/>
          <w:szCs w:val="24"/>
          <w:highlight w:val="yellow"/>
        </w:rPr>
        <w:t>MPO targets and</w:t>
      </w:r>
      <w:r>
        <w:rPr>
          <w:rFonts w:cs="Calibri"/>
          <w:kern w:val="28"/>
          <w:szCs w:val="24"/>
          <w:highlight w:val="yellow"/>
        </w:rPr>
        <w:t xml:space="preserve"> cite relevant factors. Examples may include </w:t>
      </w:r>
      <w:r w:rsidRPr="00BB3F9B">
        <w:rPr>
          <w:rFonts w:cs="Calibri"/>
          <w:kern w:val="28"/>
          <w:szCs w:val="24"/>
          <w:highlight w:val="yellow"/>
        </w:rPr>
        <w:t xml:space="preserve">different </w:t>
      </w:r>
      <w:r>
        <w:rPr>
          <w:rFonts w:cs="Calibri"/>
          <w:kern w:val="28"/>
          <w:szCs w:val="24"/>
          <w:highlight w:val="yellow"/>
        </w:rPr>
        <w:t>safety performance tren</w:t>
      </w:r>
      <w:r w:rsidRPr="00BB3F9B">
        <w:rPr>
          <w:rFonts w:cs="Calibri"/>
          <w:kern w:val="28"/>
          <w:szCs w:val="24"/>
          <w:highlight w:val="yellow"/>
        </w:rPr>
        <w:t xml:space="preserve">ds in the MPO area compared to the state, additional funding for </w:t>
      </w:r>
      <w:r>
        <w:rPr>
          <w:rFonts w:cs="Calibri"/>
          <w:kern w:val="28"/>
          <w:szCs w:val="24"/>
          <w:highlight w:val="yellow"/>
        </w:rPr>
        <w:t>safety</w:t>
      </w:r>
      <w:r w:rsidRPr="00BB3F9B">
        <w:rPr>
          <w:rFonts w:cs="Calibri"/>
          <w:kern w:val="28"/>
          <w:szCs w:val="24"/>
          <w:highlight w:val="yellow"/>
        </w:rPr>
        <w:t xml:space="preserve">, </w:t>
      </w:r>
      <w:r>
        <w:rPr>
          <w:rFonts w:cs="Calibri"/>
          <w:kern w:val="28"/>
          <w:szCs w:val="24"/>
          <w:highlight w:val="yellow"/>
        </w:rPr>
        <w:t xml:space="preserve">an increased focus on safety as an MPO priority, the use of safety criteria for selecting </w:t>
      </w:r>
      <w:r w:rsidRPr="00BB3F9B">
        <w:rPr>
          <w:rFonts w:cs="Calibri"/>
          <w:kern w:val="28"/>
          <w:szCs w:val="24"/>
          <w:highlight w:val="yellow"/>
        </w:rPr>
        <w:t>project</w:t>
      </w:r>
      <w:r>
        <w:rPr>
          <w:rFonts w:cs="Calibri"/>
          <w:kern w:val="28"/>
          <w:szCs w:val="24"/>
          <w:highlight w:val="yellow"/>
        </w:rPr>
        <w:t>s</w:t>
      </w:r>
      <w:r w:rsidRPr="00BB3F9B">
        <w:rPr>
          <w:rFonts w:cs="Calibri"/>
          <w:kern w:val="28"/>
          <w:szCs w:val="24"/>
          <w:highlight w:val="yellow"/>
        </w:rPr>
        <w:t xml:space="preserve">, </w:t>
      </w:r>
      <w:r>
        <w:rPr>
          <w:rFonts w:cs="Calibri"/>
          <w:kern w:val="28"/>
          <w:szCs w:val="24"/>
          <w:highlight w:val="yellow"/>
        </w:rPr>
        <w:t xml:space="preserve">differing travel behavior in the MPO area, </w:t>
      </w:r>
      <w:r w:rsidRPr="00BB3F9B">
        <w:rPr>
          <w:rFonts w:cs="Calibri"/>
          <w:kern w:val="28"/>
          <w:szCs w:val="24"/>
          <w:highlight w:val="yellow"/>
        </w:rPr>
        <w:t xml:space="preserve">etc. </w:t>
      </w:r>
      <w:r>
        <w:rPr>
          <w:rFonts w:cs="Calibri"/>
          <w:kern w:val="28"/>
          <w:szCs w:val="24"/>
          <w:highlight w:val="yellow"/>
        </w:rPr>
        <w:t>See examples below.</w:t>
      </w:r>
      <w:r w:rsidRPr="00BB3F9B">
        <w:rPr>
          <w:rFonts w:cs="Calibri"/>
          <w:kern w:val="28"/>
          <w:szCs w:val="24"/>
          <w:highlight w:val="yellow"/>
        </w:rPr>
        <w:t>]</w:t>
      </w:r>
    </w:p>
    <w:p w14:paraId="7BFEC0AF" w14:textId="77777777" w:rsidR="00F82C2D" w:rsidRDefault="00F82C2D" w:rsidP="00F82C2D">
      <w:pPr>
        <w:keepNext/>
        <w:pBdr>
          <w:top w:val="single" w:sz="4" w:space="1" w:color="auto"/>
          <w:left w:val="single" w:sz="4" w:space="4" w:color="auto"/>
          <w:bottom w:val="single" w:sz="4" w:space="1" w:color="auto"/>
          <w:right w:val="single" w:sz="4" w:space="4" w:color="auto"/>
        </w:pBdr>
        <w:rPr>
          <w:rFonts w:cs="Calibri"/>
          <w:i/>
          <w:kern w:val="28"/>
          <w:szCs w:val="24"/>
        </w:rPr>
      </w:pPr>
      <w:r>
        <w:rPr>
          <w:rFonts w:cs="Calibri"/>
          <w:iCs/>
          <w:kern w:val="28"/>
          <w:szCs w:val="24"/>
        </w:rPr>
        <w:t>Example from</w:t>
      </w:r>
      <w:r w:rsidRPr="00F57A31">
        <w:rPr>
          <w:rFonts w:cs="Calibri"/>
          <w:kern w:val="28"/>
          <w:szCs w:val="24"/>
        </w:rPr>
        <w:t xml:space="preserve"> a recent Hillsborough MPO TIP:</w:t>
      </w:r>
      <w:r w:rsidRPr="00F57A31">
        <w:rPr>
          <w:rStyle w:val="FootnoteReference"/>
          <w:rFonts w:cs="Calibri"/>
          <w:kern w:val="28"/>
          <w:szCs w:val="24"/>
        </w:rPr>
        <w:footnoteReference w:id="1"/>
      </w:r>
    </w:p>
    <w:p w14:paraId="7732E35F" w14:textId="23953102" w:rsidR="00F82C2D" w:rsidRDefault="00F82C2D" w:rsidP="00B23A75">
      <w:pPr>
        <w:keepNext/>
        <w:pBdr>
          <w:top w:val="single" w:sz="4" w:space="1" w:color="auto"/>
          <w:left w:val="single" w:sz="4" w:space="4" w:color="auto"/>
          <w:bottom w:val="single" w:sz="4" w:space="1" w:color="auto"/>
          <w:right w:val="single" w:sz="4" w:space="4" w:color="auto"/>
        </w:pBdr>
        <w:rPr>
          <w:rFonts w:cs="Calibri"/>
          <w:i/>
          <w:kern w:val="28"/>
          <w:szCs w:val="24"/>
        </w:rPr>
      </w:pPr>
      <w:r w:rsidRPr="001F35A7">
        <w:rPr>
          <w:rFonts w:cs="Calibri"/>
          <w:i/>
          <w:kern w:val="28"/>
          <w:szCs w:val="24"/>
        </w:rPr>
        <w:t>The Hillsborough MPO is setting its safety performance targets based upon data collected within the MPO planning area for ten previous years related to safety performance measures. With the historical crash data, a linear trend projection is used to estimate the forthcoming year’s crash performance. A crash reduction estimate is applied to the future year end crash estimate, the methodology of which has been adopted in the It’s Time Hillsborough: 2045 Plan. The methodology forecasts a reduction in crashes based upon level-of-investment in safety projects. It is assumed that all funds will be invested in countermeasures which can optimize crash reduction based on countermeasures and location of crash hotspots. As an example, our It’s Time Hillsborough: 2045 Plan used a proprietary post-processor to estimate the crash reduction benefits and found that a countermeasure bundle of sidewalks, streetlights spaced at 1/4mi intervals, and complete streets treatments would optimize the effectiveness of our investments. The 202</w:t>
      </w:r>
      <w:r w:rsidR="00231F99">
        <w:rPr>
          <w:rFonts w:cs="Calibri"/>
          <w:i/>
          <w:kern w:val="28"/>
          <w:szCs w:val="24"/>
        </w:rPr>
        <w:t>2</w:t>
      </w:r>
      <w:r w:rsidRPr="001F35A7">
        <w:rPr>
          <w:rFonts w:cs="Calibri"/>
          <w:i/>
          <w:kern w:val="28"/>
          <w:szCs w:val="24"/>
        </w:rPr>
        <w:t xml:space="preserve"> targets reflect the baseline funding scenario and a 0.93% annual reduction.</w:t>
      </w:r>
      <w:r w:rsidR="00B23A75">
        <w:rPr>
          <w:rFonts w:cs="Calibri"/>
          <w:i/>
          <w:kern w:val="28"/>
          <w:szCs w:val="24"/>
        </w:rPr>
        <w:t xml:space="preserve"> </w:t>
      </w:r>
      <w:r w:rsidR="00B23A75" w:rsidRPr="00B23A75">
        <w:rPr>
          <w:rFonts w:cs="Calibri"/>
          <w:i/>
          <w:kern w:val="28"/>
          <w:szCs w:val="24"/>
        </w:rPr>
        <w:t>While the TPO board recognizes the importance of setting data</w:t>
      </w:r>
      <w:r w:rsidR="00B23A75">
        <w:rPr>
          <w:rFonts w:cs="Calibri"/>
          <w:i/>
          <w:kern w:val="28"/>
          <w:szCs w:val="24"/>
        </w:rPr>
        <w:t>-</w:t>
      </w:r>
      <w:r w:rsidR="00B23A75" w:rsidRPr="00B23A75">
        <w:rPr>
          <w:rFonts w:cs="Calibri"/>
          <w:i/>
          <w:kern w:val="28"/>
          <w:szCs w:val="24"/>
        </w:rPr>
        <w:t>driven, realistic targets that reflect long-term goals, this year, the board resolved to establish a more aggressive</w:t>
      </w:r>
      <w:r w:rsidR="00B23A75">
        <w:rPr>
          <w:rFonts w:cs="Calibri"/>
          <w:i/>
          <w:kern w:val="28"/>
          <w:szCs w:val="24"/>
        </w:rPr>
        <w:t xml:space="preserve"> </w:t>
      </w:r>
      <w:r w:rsidR="00B23A75" w:rsidRPr="00B23A75">
        <w:rPr>
          <w:rFonts w:cs="Calibri"/>
          <w:i/>
          <w:kern w:val="28"/>
          <w:szCs w:val="24"/>
        </w:rPr>
        <w:t>target than in previous years to signal its commitment to expediting a reduction. This lower target more accurately reflects the community's desire to accelerate the pace of crash reduction, noting the record high number of fatalities experienced across Hillsborough County in 2021</w:t>
      </w:r>
      <w:r w:rsidR="00B23A75">
        <w:rPr>
          <w:rFonts w:cs="Calibri"/>
          <w:i/>
          <w:kern w:val="28"/>
          <w:szCs w:val="24"/>
        </w:rPr>
        <w:t>.</w:t>
      </w:r>
    </w:p>
    <w:p w14:paraId="76499FA1" w14:textId="77777777" w:rsidR="00F82C2D" w:rsidRDefault="00F82C2D" w:rsidP="00EB09A6">
      <w:pPr>
        <w:spacing w:after="0"/>
        <w:rPr>
          <w:rFonts w:cs="Calibri"/>
          <w:kern w:val="28"/>
          <w:szCs w:val="24"/>
          <w:highlight w:val="yellow"/>
        </w:rPr>
      </w:pPr>
    </w:p>
    <w:p w14:paraId="017DE7E4" w14:textId="77777777" w:rsidR="00F82C2D" w:rsidRDefault="00F82C2D" w:rsidP="00F82C2D">
      <w:pPr>
        <w:pBdr>
          <w:top w:val="single" w:sz="4" w:space="1" w:color="auto"/>
          <w:left w:val="single" w:sz="4" w:space="4" w:color="auto"/>
          <w:bottom w:val="single" w:sz="4" w:space="1" w:color="auto"/>
          <w:right w:val="single" w:sz="4" w:space="4" w:color="auto"/>
        </w:pBdr>
        <w:rPr>
          <w:rFonts w:cs="Calibri"/>
          <w:kern w:val="28"/>
          <w:szCs w:val="24"/>
        </w:rPr>
      </w:pPr>
      <w:r>
        <w:rPr>
          <w:rFonts w:cs="Calibri"/>
          <w:iCs/>
          <w:kern w:val="28"/>
          <w:szCs w:val="24"/>
        </w:rPr>
        <w:t>Example from</w:t>
      </w:r>
      <w:r w:rsidRPr="00030F57">
        <w:rPr>
          <w:rFonts w:cs="Calibri"/>
          <w:kern w:val="28"/>
          <w:szCs w:val="24"/>
        </w:rPr>
        <w:t xml:space="preserve"> a recent River to Sea TPO TIP:</w:t>
      </w:r>
      <w:r w:rsidRPr="00030F57">
        <w:rPr>
          <w:rStyle w:val="FootnoteReference"/>
          <w:rFonts w:cs="Calibri"/>
          <w:kern w:val="28"/>
          <w:szCs w:val="24"/>
        </w:rPr>
        <w:footnoteReference w:id="2"/>
      </w:r>
    </w:p>
    <w:p w14:paraId="5635C7CE" w14:textId="525188D2" w:rsidR="00F82C2D" w:rsidRDefault="00F82C2D" w:rsidP="00F82C2D">
      <w:pPr>
        <w:pBdr>
          <w:top w:val="single" w:sz="4" w:space="1" w:color="auto"/>
          <w:left w:val="single" w:sz="4" w:space="4" w:color="auto"/>
          <w:bottom w:val="single" w:sz="4" w:space="1" w:color="auto"/>
          <w:right w:val="single" w:sz="4" w:space="4" w:color="auto"/>
        </w:pBdr>
        <w:rPr>
          <w:rFonts w:cs="Calibri"/>
          <w:i/>
          <w:kern w:val="28"/>
          <w:szCs w:val="24"/>
        </w:rPr>
      </w:pPr>
      <w:r w:rsidRPr="003D3B84">
        <w:rPr>
          <w:rFonts w:cs="Calibri"/>
          <w:i/>
          <w:kern w:val="28"/>
          <w:szCs w:val="24"/>
        </w:rPr>
        <w:t xml:space="preserve">While acknowledging and supporting FDOT’s vision and their safety target of zero, the River to Sea TPO has established independent safety performance targets based upon data collected within the TPO planning area for previous years and based on analysis of anticipated progress that can be achieved during the calendar year. In </w:t>
      </w:r>
      <w:r w:rsidR="00947588">
        <w:rPr>
          <w:rFonts w:cs="Calibri"/>
          <w:i/>
          <w:kern w:val="28"/>
          <w:szCs w:val="24"/>
        </w:rPr>
        <w:t>February</w:t>
      </w:r>
      <w:r w:rsidRPr="003D3B84">
        <w:rPr>
          <w:rFonts w:cs="Calibri"/>
          <w:i/>
          <w:kern w:val="28"/>
          <w:szCs w:val="24"/>
        </w:rPr>
        <w:t xml:space="preserve"> 2018, 2019, and 2020 the River to Sea TPO adopted safety performance targets reflecting a two percent (2%) reduction per year in each of the required safety measures. In </w:t>
      </w:r>
      <w:r w:rsidR="00BF16FF">
        <w:rPr>
          <w:rFonts w:cs="Calibri"/>
          <w:i/>
          <w:kern w:val="28"/>
          <w:szCs w:val="24"/>
        </w:rPr>
        <w:t>February</w:t>
      </w:r>
      <w:r w:rsidRPr="003D3B84">
        <w:rPr>
          <w:rFonts w:cs="Calibri"/>
          <w:i/>
          <w:kern w:val="28"/>
          <w:szCs w:val="24"/>
        </w:rPr>
        <w:t xml:space="preserve"> 2021</w:t>
      </w:r>
      <w:r w:rsidR="004F77E0">
        <w:rPr>
          <w:rFonts w:cs="Calibri"/>
          <w:i/>
          <w:kern w:val="28"/>
          <w:szCs w:val="24"/>
        </w:rPr>
        <w:t xml:space="preserve"> and 2022</w:t>
      </w:r>
      <w:r w:rsidRPr="003D3B84">
        <w:rPr>
          <w:rFonts w:cs="Calibri"/>
          <w:i/>
          <w:kern w:val="28"/>
          <w:szCs w:val="24"/>
        </w:rPr>
        <w:t xml:space="preserve">, the River to Sea TPO updated their annual safety performance targets to continue to reduce the </w:t>
      </w:r>
      <w:r w:rsidRPr="003D3B84">
        <w:rPr>
          <w:rFonts w:cs="Calibri"/>
          <w:i/>
          <w:kern w:val="28"/>
          <w:szCs w:val="24"/>
        </w:rPr>
        <w:lastRenderedPageBreak/>
        <w:t xml:space="preserve">target by two percent for each category where measures are trending downward, however if the data showed that measures were trending upward in a category, the previous year’s target was retained. </w:t>
      </w:r>
    </w:p>
    <w:p w14:paraId="683F0998" w14:textId="77777777" w:rsidR="00F82C2D" w:rsidRPr="00030F57" w:rsidRDefault="00F82C2D" w:rsidP="003B6CE5">
      <w:pPr>
        <w:spacing w:after="0"/>
        <w:rPr>
          <w:rFonts w:cs="Calibri"/>
          <w:kern w:val="28"/>
          <w:szCs w:val="24"/>
          <w:highlight w:val="yellow"/>
        </w:rPr>
      </w:pPr>
    </w:p>
    <w:p w14:paraId="555FF6C4" w14:textId="1CFAC153" w:rsidR="00F82C2D" w:rsidRDefault="00F82C2D" w:rsidP="00F82C2D">
      <w:pPr>
        <w:pBdr>
          <w:top w:val="single" w:sz="4" w:space="1" w:color="auto"/>
          <w:left w:val="single" w:sz="4" w:space="4" w:color="auto"/>
          <w:bottom w:val="single" w:sz="4" w:space="1" w:color="auto"/>
          <w:right w:val="single" w:sz="4" w:space="4" w:color="auto"/>
        </w:pBdr>
        <w:rPr>
          <w:rFonts w:cs="Calibri"/>
          <w:bCs/>
          <w:color w:val="000000"/>
          <w:kern w:val="36"/>
          <w:szCs w:val="24"/>
        </w:rPr>
      </w:pPr>
      <w:r>
        <w:rPr>
          <w:rFonts w:cs="Calibri"/>
          <w:iCs/>
          <w:kern w:val="28"/>
          <w:szCs w:val="24"/>
        </w:rPr>
        <w:t>Example from</w:t>
      </w:r>
      <w:r w:rsidRPr="00030F57">
        <w:rPr>
          <w:rFonts w:cs="Calibri"/>
          <w:bCs/>
          <w:color w:val="000000"/>
          <w:kern w:val="36"/>
          <w:szCs w:val="24"/>
        </w:rPr>
        <w:t xml:space="preserve"> a recent Sarasota/Manatee MPO TIP</w:t>
      </w:r>
      <w:r w:rsidRPr="00030F57">
        <w:rPr>
          <w:rStyle w:val="FootnoteReference"/>
          <w:rFonts w:cs="Calibri"/>
          <w:bCs/>
          <w:color w:val="000000"/>
          <w:kern w:val="36"/>
          <w:szCs w:val="24"/>
        </w:rPr>
        <w:footnoteReference w:id="3"/>
      </w:r>
      <w:r w:rsidR="00124F3A" w:rsidRPr="00030F57">
        <w:rPr>
          <w:rFonts w:cs="Calibri"/>
          <w:bCs/>
          <w:color w:val="000000"/>
          <w:kern w:val="36"/>
          <w:szCs w:val="24"/>
        </w:rPr>
        <w:t xml:space="preserve">. </w:t>
      </w:r>
      <w:r w:rsidRPr="00030F57">
        <w:rPr>
          <w:rFonts w:cs="Calibri"/>
          <w:bCs/>
          <w:color w:val="000000"/>
          <w:kern w:val="36"/>
          <w:szCs w:val="24"/>
        </w:rPr>
        <w:t>MPOs that include a table similar to this should use the most recent data available:</w:t>
      </w:r>
    </w:p>
    <w:p w14:paraId="6439B6A6" w14:textId="546698DE" w:rsidR="00A429ED" w:rsidRDefault="00F82C2D" w:rsidP="00F82C2D">
      <w:pPr>
        <w:pBdr>
          <w:top w:val="single" w:sz="4" w:space="1" w:color="auto"/>
          <w:left w:val="single" w:sz="4" w:space="4" w:color="auto"/>
          <w:bottom w:val="single" w:sz="4" w:space="1" w:color="auto"/>
          <w:right w:val="single" w:sz="4" w:space="4" w:color="auto"/>
        </w:pBdr>
        <w:rPr>
          <w:rFonts w:cs="Calibri"/>
          <w:bCs/>
          <w:i/>
          <w:color w:val="000000"/>
          <w:kern w:val="36"/>
          <w:szCs w:val="24"/>
        </w:rPr>
      </w:pPr>
      <w:r w:rsidRPr="00E475AF">
        <w:rPr>
          <w:rFonts w:cs="Calibri"/>
          <w:bCs/>
          <w:i/>
          <w:iCs/>
          <w:color w:val="000000"/>
          <w:kern w:val="36"/>
          <w:szCs w:val="24"/>
        </w:rPr>
        <w:t xml:space="preserve">The MPO analyzed safety data collected within the MPO planning area for the ten previous years related to safety performance measures in an effort to identify realistic, attainable safety performance targets based on historical data and projected trends. Following the FDOT’s designation of targets for the five safety performance measures, the Sarasota/Manatee MPO Board adopted their </w:t>
      </w:r>
      <w:r w:rsidR="008E779E">
        <w:rPr>
          <w:rFonts w:cs="Calibri"/>
          <w:bCs/>
          <w:i/>
          <w:iCs/>
          <w:color w:val="000000"/>
          <w:kern w:val="36"/>
          <w:szCs w:val="24"/>
        </w:rPr>
        <w:t>fifth</w:t>
      </w:r>
      <w:r>
        <w:rPr>
          <w:rFonts w:cs="Calibri"/>
          <w:bCs/>
          <w:i/>
          <w:iCs/>
          <w:color w:val="000000"/>
          <w:kern w:val="36"/>
          <w:szCs w:val="24"/>
        </w:rPr>
        <w:t xml:space="preserve"> round of </w:t>
      </w:r>
      <w:r w:rsidRPr="00E475AF">
        <w:rPr>
          <w:rFonts w:cs="Calibri"/>
          <w:bCs/>
          <w:i/>
          <w:iCs/>
          <w:color w:val="000000"/>
          <w:kern w:val="36"/>
          <w:szCs w:val="24"/>
        </w:rPr>
        <w:t>targets for the 20</w:t>
      </w:r>
      <w:r>
        <w:rPr>
          <w:rFonts w:cs="Calibri"/>
          <w:bCs/>
          <w:i/>
          <w:iCs/>
          <w:color w:val="000000"/>
          <w:kern w:val="36"/>
          <w:szCs w:val="24"/>
        </w:rPr>
        <w:t>1</w:t>
      </w:r>
      <w:r w:rsidR="000A02A1">
        <w:rPr>
          <w:rFonts w:cs="Calibri"/>
          <w:bCs/>
          <w:i/>
          <w:iCs/>
          <w:color w:val="000000"/>
          <w:kern w:val="36"/>
          <w:szCs w:val="24"/>
        </w:rPr>
        <w:t>7</w:t>
      </w:r>
      <w:r w:rsidRPr="00E475AF">
        <w:rPr>
          <w:rFonts w:cs="Calibri"/>
          <w:bCs/>
          <w:i/>
          <w:iCs/>
          <w:color w:val="000000"/>
          <w:kern w:val="36"/>
          <w:szCs w:val="24"/>
        </w:rPr>
        <w:t xml:space="preserve"> – 20</w:t>
      </w:r>
      <w:r w:rsidR="000A02A1">
        <w:rPr>
          <w:rFonts w:cs="Calibri"/>
          <w:bCs/>
          <w:i/>
          <w:iCs/>
          <w:color w:val="000000"/>
          <w:kern w:val="36"/>
          <w:szCs w:val="24"/>
        </w:rPr>
        <w:t>21</w:t>
      </w:r>
      <w:r w:rsidRPr="00E475AF">
        <w:rPr>
          <w:rFonts w:cs="Calibri"/>
          <w:bCs/>
          <w:i/>
          <w:iCs/>
          <w:color w:val="000000"/>
          <w:kern w:val="36"/>
          <w:szCs w:val="24"/>
        </w:rPr>
        <w:t xml:space="preserve"> five-year rolling average on </w:t>
      </w:r>
      <w:r w:rsidR="000A02A1">
        <w:rPr>
          <w:rFonts w:cs="Calibri"/>
          <w:bCs/>
          <w:i/>
          <w:iCs/>
          <w:color w:val="000000"/>
          <w:kern w:val="36"/>
          <w:szCs w:val="24"/>
        </w:rPr>
        <w:t>February</w:t>
      </w:r>
      <w:r>
        <w:rPr>
          <w:rFonts w:cs="Calibri"/>
          <w:bCs/>
          <w:i/>
          <w:iCs/>
          <w:color w:val="000000"/>
          <w:kern w:val="36"/>
          <w:szCs w:val="24"/>
        </w:rPr>
        <w:t xml:space="preserve"> 2</w:t>
      </w:r>
      <w:r w:rsidR="000A02A1">
        <w:rPr>
          <w:rFonts w:cs="Calibri"/>
          <w:bCs/>
          <w:i/>
          <w:iCs/>
          <w:color w:val="000000"/>
          <w:kern w:val="36"/>
          <w:szCs w:val="24"/>
        </w:rPr>
        <w:t>2</w:t>
      </w:r>
      <w:r>
        <w:rPr>
          <w:rFonts w:cs="Calibri"/>
          <w:bCs/>
          <w:i/>
          <w:iCs/>
          <w:color w:val="000000"/>
          <w:kern w:val="36"/>
          <w:szCs w:val="24"/>
        </w:rPr>
        <w:t>, 20</w:t>
      </w:r>
      <w:r w:rsidR="000A02A1">
        <w:rPr>
          <w:rFonts w:cs="Calibri"/>
          <w:bCs/>
          <w:i/>
          <w:iCs/>
          <w:color w:val="000000"/>
          <w:kern w:val="36"/>
          <w:szCs w:val="24"/>
        </w:rPr>
        <w:t>21</w:t>
      </w:r>
      <w:r w:rsidRPr="00E475AF">
        <w:rPr>
          <w:rFonts w:cs="Calibri"/>
          <w:bCs/>
          <w:i/>
          <w:iCs/>
          <w:color w:val="000000"/>
          <w:kern w:val="36"/>
          <w:szCs w:val="24"/>
        </w:rPr>
        <w:t>.</w:t>
      </w:r>
      <w:r w:rsidR="00252F35">
        <w:rPr>
          <w:rFonts w:cs="Calibri"/>
          <w:bCs/>
          <w:i/>
          <w:iCs/>
          <w:color w:val="000000"/>
          <w:kern w:val="36"/>
          <w:szCs w:val="24"/>
        </w:rPr>
        <w:t xml:space="preserve"> </w:t>
      </w:r>
    </w:p>
    <w:p w14:paraId="1E9F4F1D" w14:textId="369C9AC1" w:rsidR="00F82C2D" w:rsidRPr="00063083" w:rsidRDefault="00F82C2D" w:rsidP="00F82C2D">
      <w:pPr>
        <w:pBdr>
          <w:top w:val="single" w:sz="4" w:space="1" w:color="auto"/>
          <w:left w:val="single" w:sz="4" w:space="4" w:color="auto"/>
          <w:bottom w:val="single" w:sz="4" w:space="1" w:color="auto"/>
          <w:right w:val="single" w:sz="4" w:space="4" w:color="auto"/>
        </w:pBdr>
        <w:rPr>
          <w:rFonts w:cs="Calibri"/>
          <w:bCs/>
          <w:color w:val="000000"/>
          <w:kern w:val="36"/>
          <w:szCs w:val="24"/>
        </w:rPr>
      </w:pPr>
      <w:r w:rsidRPr="007A4C43">
        <w:rPr>
          <w:rFonts w:cs="Calibri"/>
          <w:bCs/>
          <w:i/>
          <w:color w:val="000000"/>
          <w:kern w:val="36"/>
          <w:szCs w:val="24"/>
        </w:rPr>
        <w:t>The MPO has met the 201</w:t>
      </w:r>
      <w:r w:rsidR="00ED4C0C">
        <w:rPr>
          <w:rFonts w:cs="Calibri"/>
          <w:bCs/>
          <w:i/>
          <w:color w:val="000000"/>
          <w:kern w:val="36"/>
          <w:szCs w:val="24"/>
        </w:rPr>
        <w:t>7</w:t>
      </w:r>
      <w:r w:rsidRPr="007A4C43">
        <w:rPr>
          <w:rFonts w:cs="Calibri"/>
          <w:bCs/>
          <w:i/>
          <w:color w:val="000000"/>
          <w:kern w:val="36"/>
          <w:szCs w:val="24"/>
        </w:rPr>
        <w:t xml:space="preserve"> – 20</w:t>
      </w:r>
      <w:r w:rsidR="00ED4C0C">
        <w:rPr>
          <w:rFonts w:cs="Calibri"/>
          <w:bCs/>
          <w:i/>
          <w:color w:val="000000"/>
          <w:kern w:val="36"/>
          <w:szCs w:val="24"/>
        </w:rPr>
        <w:t>21</w:t>
      </w:r>
      <w:r w:rsidRPr="007A4C43">
        <w:rPr>
          <w:rFonts w:cs="Calibri"/>
          <w:bCs/>
          <w:i/>
          <w:color w:val="000000"/>
          <w:kern w:val="36"/>
          <w:szCs w:val="24"/>
        </w:rPr>
        <w:t xml:space="preserve"> targets for </w:t>
      </w:r>
      <w:r w:rsidR="00ED4C0C">
        <w:rPr>
          <w:rFonts w:cs="Calibri"/>
          <w:bCs/>
          <w:i/>
          <w:color w:val="000000"/>
          <w:kern w:val="36"/>
          <w:szCs w:val="24"/>
        </w:rPr>
        <w:t>numbers of fatalities</w:t>
      </w:r>
      <w:r w:rsidR="00BD5AD6">
        <w:rPr>
          <w:rFonts w:cs="Calibri"/>
          <w:bCs/>
          <w:i/>
          <w:color w:val="000000"/>
          <w:kern w:val="36"/>
          <w:szCs w:val="24"/>
        </w:rPr>
        <w:t xml:space="preserve"> and </w:t>
      </w:r>
      <w:r w:rsidRPr="007A4C43">
        <w:rPr>
          <w:rFonts w:cs="Calibri"/>
          <w:bCs/>
          <w:i/>
          <w:color w:val="000000"/>
          <w:kern w:val="36"/>
          <w:szCs w:val="24"/>
        </w:rPr>
        <w:t>serious injur</w:t>
      </w:r>
      <w:r w:rsidR="00BD5AD6">
        <w:rPr>
          <w:rFonts w:cs="Calibri"/>
          <w:bCs/>
          <w:i/>
          <w:color w:val="000000"/>
          <w:kern w:val="36"/>
          <w:szCs w:val="24"/>
        </w:rPr>
        <w:t>ies</w:t>
      </w:r>
      <w:r w:rsidR="00297807">
        <w:rPr>
          <w:rFonts w:cs="Calibri"/>
          <w:bCs/>
          <w:i/>
          <w:color w:val="000000"/>
          <w:kern w:val="36"/>
          <w:szCs w:val="24"/>
        </w:rPr>
        <w:t>, and the fatality</w:t>
      </w:r>
      <w:r w:rsidR="004B783E">
        <w:rPr>
          <w:rFonts w:cs="Calibri"/>
          <w:bCs/>
          <w:i/>
          <w:color w:val="000000"/>
          <w:kern w:val="36"/>
          <w:szCs w:val="24"/>
        </w:rPr>
        <w:t xml:space="preserve"> and serious </w:t>
      </w:r>
      <w:r w:rsidR="00B56D08">
        <w:rPr>
          <w:rFonts w:cs="Calibri"/>
          <w:bCs/>
          <w:i/>
          <w:color w:val="000000"/>
          <w:kern w:val="36"/>
          <w:szCs w:val="24"/>
        </w:rPr>
        <w:t xml:space="preserve">injury </w:t>
      </w:r>
      <w:r w:rsidR="00B56D08" w:rsidRPr="007A4C43">
        <w:rPr>
          <w:rFonts w:cs="Calibri"/>
          <w:bCs/>
          <w:i/>
          <w:color w:val="000000"/>
          <w:kern w:val="36"/>
          <w:szCs w:val="24"/>
        </w:rPr>
        <w:t>rates</w:t>
      </w:r>
      <w:r w:rsidRPr="007A4C43">
        <w:rPr>
          <w:rFonts w:cs="Calibri"/>
          <w:bCs/>
          <w:i/>
          <w:color w:val="000000"/>
          <w:kern w:val="36"/>
          <w:szCs w:val="24"/>
        </w:rPr>
        <w:t xml:space="preserve">. The MPO missed the </w:t>
      </w:r>
      <w:r w:rsidR="00B851D1">
        <w:rPr>
          <w:rFonts w:cs="Calibri"/>
          <w:bCs/>
          <w:i/>
          <w:color w:val="000000"/>
          <w:kern w:val="36"/>
          <w:szCs w:val="24"/>
        </w:rPr>
        <w:t xml:space="preserve">2017 – 2021 </w:t>
      </w:r>
      <w:r w:rsidRPr="007A4C43">
        <w:rPr>
          <w:rFonts w:cs="Calibri"/>
          <w:bCs/>
          <w:i/>
          <w:color w:val="000000"/>
          <w:kern w:val="36"/>
          <w:szCs w:val="24"/>
        </w:rPr>
        <w:t xml:space="preserve">targets for </w:t>
      </w:r>
      <w:r w:rsidR="00B851D1">
        <w:rPr>
          <w:rFonts w:cs="Calibri"/>
          <w:bCs/>
          <w:i/>
          <w:color w:val="000000"/>
          <w:kern w:val="36"/>
          <w:szCs w:val="24"/>
        </w:rPr>
        <w:t xml:space="preserve">non-motorized fatalities and </w:t>
      </w:r>
      <w:r w:rsidR="002F1208">
        <w:rPr>
          <w:rFonts w:cs="Calibri"/>
          <w:bCs/>
          <w:i/>
          <w:color w:val="000000"/>
          <w:kern w:val="36"/>
          <w:szCs w:val="24"/>
        </w:rPr>
        <w:t xml:space="preserve">serious injuries. </w:t>
      </w:r>
    </w:p>
    <w:p w14:paraId="488A2C52" w14:textId="77777777" w:rsidR="00D35455" w:rsidRDefault="003C7CE8" w:rsidP="00F82C2D">
      <w:pPr>
        <w:pBdr>
          <w:top w:val="single" w:sz="4" w:space="1" w:color="auto"/>
          <w:left w:val="single" w:sz="4" w:space="4" w:color="auto"/>
          <w:bottom w:val="single" w:sz="4" w:space="1" w:color="auto"/>
          <w:right w:val="single" w:sz="4" w:space="4" w:color="auto"/>
        </w:pBdr>
        <w:rPr>
          <w:rFonts w:cs="Calibri"/>
          <w:bCs/>
          <w:i/>
          <w:iCs/>
          <w:color w:val="000000"/>
          <w:kern w:val="36"/>
          <w:szCs w:val="24"/>
        </w:rPr>
      </w:pPr>
      <w:r w:rsidRPr="003C7CE8">
        <w:rPr>
          <w:rFonts w:cs="Calibri"/>
          <w:bCs/>
          <w:i/>
          <w:iCs/>
          <w:noProof/>
          <w:color w:val="000000"/>
          <w:kern w:val="36"/>
          <w:szCs w:val="24"/>
        </w:rPr>
        <w:drawing>
          <wp:inline distT="0" distB="0" distL="0" distR="0" wp14:anchorId="2089A906" wp14:editId="21F0D48D">
            <wp:extent cx="6400800" cy="1853565"/>
            <wp:effectExtent l="0" t="0" r="0" b="0"/>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11"/>
                    <a:stretch>
                      <a:fillRect/>
                    </a:stretch>
                  </pic:blipFill>
                  <pic:spPr>
                    <a:xfrm>
                      <a:off x="0" y="0"/>
                      <a:ext cx="6400800" cy="1853565"/>
                    </a:xfrm>
                    <a:prstGeom prst="rect">
                      <a:avLst/>
                    </a:prstGeom>
                  </pic:spPr>
                </pic:pic>
              </a:graphicData>
            </a:graphic>
          </wp:inline>
        </w:drawing>
      </w:r>
    </w:p>
    <w:p w14:paraId="1DFB1228" w14:textId="7E7929B3" w:rsidR="00F82C2D" w:rsidRDefault="00F82C2D" w:rsidP="00F82C2D">
      <w:pPr>
        <w:pBdr>
          <w:top w:val="single" w:sz="4" w:space="1" w:color="auto"/>
          <w:left w:val="single" w:sz="4" w:space="4" w:color="auto"/>
          <w:bottom w:val="single" w:sz="4" w:space="1" w:color="auto"/>
          <w:right w:val="single" w:sz="4" w:space="4" w:color="auto"/>
        </w:pBdr>
        <w:rPr>
          <w:rFonts w:cs="Calibri"/>
          <w:bCs/>
          <w:color w:val="000000"/>
          <w:kern w:val="36"/>
          <w:szCs w:val="24"/>
        </w:rPr>
      </w:pPr>
      <w:r w:rsidRPr="00AD7306">
        <w:rPr>
          <w:rFonts w:cs="Calibri"/>
          <w:bCs/>
          <w:i/>
          <w:iCs/>
          <w:color w:val="000000"/>
          <w:kern w:val="36"/>
          <w:szCs w:val="24"/>
        </w:rPr>
        <w:t>After a careful analysis of data for the ten previous years, the MPO adopted their third round of targets for the 201</w:t>
      </w:r>
      <w:r w:rsidR="003C7CE8">
        <w:rPr>
          <w:rFonts w:cs="Calibri"/>
          <w:bCs/>
          <w:i/>
          <w:iCs/>
          <w:color w:val="000000"/>
          <w:kern w:val="36"/>
          <w:szCs w:val="24"/>
        </w:rPr>
        <w:t>8</w:t>
      </w:r>
      <w:r w:rsidRPr="00AD7306">
        <w:rPr>
          <w:rFonts w:cs="Calibri"/>
          <w:bCs/>
          <w:i/>
          <w:iCs/>
          <w:color w:val="000000"/>
          <w:kern w:val="36"/>
          <w:szCs w:val="24"/>
        </w:rPr>
        <w:t xml:space="preserve"> – 202</w:t>
      </w:r>
      <w:r w:rsidR="00FD28AF">
        <w:rPr>
          <w:rFonts w:cs="Calibri"/>
          <w:bCs/>
          <w:i/>
          <w:iCs/>
          <w:color w:val="000000"/>
          <w:kern w:val="36"/>
          <w:szCs w:val="24"/>
        </w:rPr>
        <w:t>2</w:t>
      </w:r>
      <w:r w:rsidRPr="00AD7306">
        <w:rPr>
          <w:rFonts w:cs="Calibri"/>
          <w:bCs/>
          <w:i/>
          <w:iCs/>
          <w:color w:val="000000"/>
          <w:kern w:val="36"/>
          <w:szCs w:val="24"/>
        </w:rPr>
        <w:t xml:space="preserve"> five-year rolling average on January 2</w:t>
      </w:r>
      <w:r w:rsidR="00FD28AF">
        <w:rPr>
          <w:rFonts w:cs="Calibri"/>
          <w:bCs/>
          <w:i/>
          <w:iCs/>
          <w:color w:val="000000"/>
          <w:kern w:val="36"/>
          <w:szCs w:val="24"/>
        </w:rPr>
        <w:t>4</w:t>
      </w:r>
      <w:r w:rsidRPr="00AD7306">
        <w:rPr>
          <w:rFonts w:cs="Calibri"/>
          <w:bCs/>
          <w:i/>
          <w:iCs/>
          <w:color w:val="000000"/>
          <w:kern w:val="36"/>
          <w:szCs w:val="24"/>
        </w:rPr>
        <w:t>, 202</w:t>
      </w:r>
      <w:r w:rsidR="00FD28AF">
        <w:rPr>
          <w:rFonts w:cs="Calibri"/>
          <w:bCs/>
          <w:i/>
          <w:iCs/>
          <w:color w:val="000000"/>
          <w:kern w:val="36"/>
          <w:szCs w:val="24"/>
        </w:rPr>
        <w:t>2</w:t>
      </w:r>
      <w:r w:rsidRPr="00AD7306">
        <w:rPr>
          <w:rFonts w:cs="Calibri"/>
          <w:bCs/>
          <w:i/>
          <w:iCs/>
          <w:color w:val="000000"/>
          <w:kern w:val="36"/>
          <w:szCs w:val="24"/>
        </w:rPr>
        <w:t>, setting realistic, attainable safety performance targets based on historical statistics and projected trends. The MPO also supported FDOT’s target of “0” as a long-term goal and will continue to implement strategies that work towards accomplishing this goal.</w:t>
      </w:r>
    </w:p>
    <w:p w14:paraId="09590B18" w14:textId="77777777" w:rsidR="00D35455" w:rsidRDefault="00664D11" w:rsidP="00F82C2D">
      <w:pPr>
        <w:pBdr>
          <w:top w:val="single" w:sz="4" w:space="1" w:color="auto"/>
          <w:left w:val="single" w:sz="4" w:space="4" w:color="auto"/>
          <w:bottom w:val="single" w:sz="4" w:space="1" w:color="auto"/>
          <w:right w:val="single" w:sz="4" w:space="4" w:color="auto"/>
        </w:pBdr>
        <w:rPr>
          <w:rFonts w:cs="Calibri"/>
          <w:bCs/>
          <w:i/>
          <w:iCs/>
          <w:color w:val="000000"/>
          <w:kern w:val="36"/>
          <w:szCs w:val="24"/>
        </w:rPr>
      </w:pPr>
      <w:r w:rsidRPr="00664D11">
        <w:rPr>
          <w:rFonts w:cs="Calibri"/>
          <w:bCs/>
          <w:i/>
          <w:iCs/>
          <w:noProof/>
          <w:color w:val="000000"/>
          <w:kern w:val="36"/>
          <w:szCs w:val="24"/>
        </w:rPr>
        <w:drawing>
          <wp:inline distT="0" distB="0" distL="0" distR="0" wp14:anchorId="7A9CB796" wp14:editId="589CFEC2">
            <wp:extent cx="6400800" cy="1701165"/>
            <wp:effectExtent l="0" t="0" r="0" b="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12"/>
                    <a:stretch>
                      <a:fillRect/>
                    </a:stretch>
                  </pic:blipFill>
                  <pic:spPr>
                    <a:xfrm>
                      <a:off x="0" y="0"/>
                      <a:ext cx="6400800" cy="1701165"/>
                    </a:xfrm>
                    <a:prstGeom prst="rect">
                      <a:avLst/>
                    </a:prstGeom>
                  </pic:spPr>
                </pic:pic>
              </a:graphicData>
            </a:graphic>
          </wp:inline>
        </w:drawing>
      </w:r>
    </w:p>
    <w:p w14:paraId="0E9A48C7" w14:textId="249E5858" w:rsidR="00F82C2D" w:rsidRDefault="00F82C2D" w:rsidP="00F82C2D">
      <w:pPr>
        <w:pBdr>
          <w:top w:val="single" w:sz="4" w:space="1" w:color="auto"/>
          <w:left w:val="single" w:sz="4" w:space="4" w:color="auto"/>
          <w:bottom w:val="single" w:sz="4" w:space="1" w:color="auto"/>
          <w:right w:val="single" w:sz="4" w:space="4" w:color="auto"/>
        </w:pBdr>
        <w:rPr>
          <w:rFonts w:cs="Calibri"/>
          <w:bCs/>
          <w:color w:val="000000"/>
          <w:kern w:val="36"/>
          <w:szCs w:val="24"/>
        </w:rPr>
      </w:pPr>
      <w:r w:rsidRPr="00AD7306">
        <w:rPr>
          <w:rFonts w:cs="Calibri"/>
          <w:bCs/>
          <w:i/>
          <w:iCs/>
          <w:color w:val="000000"/>
          <w:kern w:val="36"/>
          <w:szCs w:val="24"/>
        </w:rPr>
        <w:lastRenderedPageBreak/>
        <w:t xml:space="preserve">To set the targets for </w:t>
      </w:r>
      <w:r>
        <w:rPr>
          <w:rFonts w:cs="Calibri"/>
          <w:bCs/>
          <w:i/>
          <w:iCs/>
          <w:color w:val="000000"/>
          <w:kern w:val="36"/>
          <w:szCs w:val="24"/>
        </w:rPr>
        <w:t>202</w:t>
      </w:r>
      <w:r w:rsidR="00664D11">
        <w:rPr>
          <w:rFonts w:cs="Calibri"/>
          <w:bCs/>
          <w:i/>
          <w:iCs/>
          <w:color w:val="000000"/>
          <w:kern w:val="36"/>
          <w:szCs w:val="24"/>
        </w:rPr>
        <w:t>1</w:t>
      </w:r>
      <w:r w:rsidRPr="00AD7306">
        <w:rPr>
          <w:rFonts w:cs="Calibri"/>
          <w:bCs/>
          <w:i/>
          <w:iCs/>
          <w:color w:val="000000"/>
          <w:kern w:val="36"/>
          <w:szCs w:val="24"/>
        </w:rPr>
        <w:t xml:space="preserve"> and </w:t>
      </w:r>
      <w:r>
        <w:rPr>
          <w:rFonts w:cs="Calibri"/>
          <w:bCs/>
          <w:i/>
          <w:iCs/>
          <w:color w:val="000000"/>
          <w:kern w:val="36"/>
          <w:szCs w:val="24"/>
        </w:rPr>
        <w:t>202</w:t>
      </w:r>
      <w:r w:rsidR="00664D11">
        <w:rPr>
          <w:rFonts w:cs="Calibri"/>
          <w:bCs/>
          <w:i/>
          <w:iCs/>
          <w:color w:val="000000"/>
          <w:kern w:val="36"/>
          <w:szCs w:val="24"/>
        </w:rPr>
        <w:t>2</w:t>
      </w:r>
      <w:r w:rsidRPr="00AD7306">
        <w:rPr>
          <w:rFonts w:cs="Calibri"/>
          <w:bCs/>
          <w:i/>
          <w:iCs/>
          <w:color w:val="000000"/>
          <w:kern w:val="36"/>
          <w:szCs w:val="24"/>
        </w:rPr>
        <w:t xml:space="preserve">, the MPO reviewed the actual annual crashes from </w:t>
      </w:r>
      <w:r>
        <w:rPr>
          <w:rFonts w:cs="Calibri"/>
          <w:bCs/>
          <w:i/>
          <w:iCs/>
          <w:color w:val="000000"/>
          <w:kern w:val="36"/>
          <w:szCs w:val="24"/>
        </w:rPr>
        <w:t>201</w:t>
      </w:r>
      <w:r w:rsidR="00F21062">
        <w:rPr>
          <w:rFonts w:cs="Calibri"/>
          <w:bCs/>
          <w:i/>
          <w:iCs/>
          <w:color w:val="000000"/>
          <w:kern w:val="36"/>
          <w:szCs w:val="24"/>
        </w:rPr>
        <w:t>3</w:t>
      </w:r>
      <w:r w:rsidRPr="00AD7306">
        <w:rPr>
          <w:rFonts w:cs="Calibri"/>
          <w:bCs/>
          <w:i/>
          <w:iCs/>
          <w:color w:val="000000"/>
          <w:kern w:val="36"/>
          <w:szCs w:val="24"/>
        </w:rPr>
        <w:t xml:space="preserve"> to </w:t>
      </w:r>
      <w:r>
        <w:rPr>
          <w:rFonts w:cs="Calibri"/>
          <w:bCs/>
          <w:i/>
          <w:iCs/>
          <w:color w:val="000000"/>
          <w:kern w:val="36"/>
          <w:szCs w:val="24"/>
        </w:rPr>
        <w:t>202</w:t>
      </w:r>
      <w:r w:rsidR="00F21062">
        <w:rPr>
          <w:rFonts w:cs="Calibri"/>
          <w:bCs/>
          <w:i/>
          <w:iCs/>
          <w:color w:val="000000"/>
          <w:kern w:val="36"/>
          <w:szCs w:val="24"/>
        </w:rPr>
        <w:t>1</w:t>
      </w:r>
      <w:r w:rsidRPr="00AD7306">
        <w:rPr>
          <w:rFonts w:cs="Calibri"/>
          <w:bCs/>
          <w:i/>
          <w:iCs/>
          <w:color w:val="000000"/>
          <w:kern w:val="36"/>
          <w:szCs w:val="24"/>
        </w:rPr>
        <w:t xml:space="preserve"> and found that fatalities and serious injuries had been increasing throughout the years, following an upwards trend line. Now, using actual data through November of 2019, the projected numbers for </w:t>
      </w:r>
      <w:r>
        <w:rPr>
          <w:rFonts w:cs="Calibri"/>
          <w:bCs/>
          <w:i/>
          <w:iCs/>
          <w:color w:val="000000"/>
          <w:kern w:val="36"/>
          <w:szCs w:val="24"/>
        </w:rPr>
        <w:t>202</w:t>
      </w:r>
      <w:r w:rsidR="00C27D9B">
        <w:rPr>
          <w:rFonts w:cs="Calibri"/>
          <w:bCs/>
          <w:i/>
          <w:iCs/>
          <w:color w:val="000000"/>
          <w:kern w:val="36"/>
          <w:szCs w:val="24"/>
        </w:rPr>
        <w:t>1</w:t>
      </w:r>
      <w:r w:rsidRPr="00AD7306">
        <w:rPr>
          <w:rFonts w:cs="Calibri"/>
          <w:bCs/>
          <w:i/>
          <w:iCs/>
          <w:color w:val="000000"/>
          <w:kern w:val="36"/>
          <w:szCs w:val="24"/>
        </w:rPr>
        <w:t xml:space="preserve"> and </w:t>
      </w:r>
      <w:r>
        <w:rPr>
          <w:rFonts w:cs="Calibri"/>
          <w:bCs/>
          <w:i/>
          <w:iCs/>
          <w:color w:val="000000"/>
          <w:kern w:val="36"/>
          <w:szCs w:val="24"/>
        </w:rPr>
        <w:t>202</w:t>
      </w:r>
      <w:r w:rsidR="00C27D9B">
        <w:rPr>
          <w:rFonts w:cs="Calibri"/>
          <w:bCs/>
          <w:i/>
          <w:iCs/>
          <w:color w:val="000000"/>
          <w:kern w:val="36"/>
          <w:szCs w:val="24"/>
        </w:rPr>
        <w:t>2</w:t>
      </w:r>
      <w:r w:rsidRPr="00AD7306">
        <w:rPr>
          <w:rFonts w:cs="Calibri"/>
          <w:bCs/>
          <w:i/>
          <w:iCs/>
          <w:color w:val="000000"/>
          <w:kern w:val="36"/>
          <w:szCs w:val="24"/>
        </w:rPr>
        <w:t xml:space="preserve"> show an increase in number of fatalities and number of serious injuries but a decrease in non-motorized fatalities and serious injuries.</w:t>
      </w:r>
    </w:p>
    <w:p w14:paraId="4FE6B004" w14:textId="6A84B425" w:rsidR="00F82C2D" w:rsidRDefault="00097CC7" w:rsidP="0000371F">
      <w:pPr>
        <w:pBdr>
          <w:top w:val="single" w:sz="4" w:space="1" w:color="auto"/>
          <w:left w:val="single" w:sz="4" w:space="4" w:color="auto"/>
          <w:bottom w:val="single" w:sz="4" w:space="1" w:color="auto"/>
          <w:right w:val="single" w:sz="4" w:space="4" w:color="auto"/>
        </w:pBdr>
        <w:rPr>
          <w:szCs w:val="24"/>
        </w:rPr>
      </w:pPr>
      <w:r w:rsidRPr="00097CC7">
        <w:rPr>
          <w:noProof/>
          <w:szCs w:val="24"/>
        </w:rPr>
        <w:drawing>
          <wp:inline distT="0" distB="0" distL="0" distR="0" wp14:anchorId="7FFFEBBE" wp14:editId="5CB36BFF">
            <wp:extent cx="6400800" cy="1745615"/>
            <wp:effectExtent l="0" t="0" r="0" b="6985"/>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13"/>
                    <a:stretch>
                      <a:fillRect/>
                    </a:stretch>
                  </pic:blipFill>
                  <pic:spPr>
                    <a:xfrm>
                      <a:off x="0" y="0"/>
                      <a:ext cx="6400800" cy="1745615"/>
                    </a:xfrm>
                    <a:prstGeom prst="rect">
                      <a:avLst/>
                    </a:prstGeom>
                  </pic:spPr>
                </pic:pic>
              </a:graphicData>
            </a:graphic>
          </wp:inline>
        </w:drawing>
      </w:r>
    </w:p>
    <w:p w14:paraId="5FFB6C5B" w14:textId="77777777" w:rsidR="00F82C2D" w:rsidRDefault="00F82C2D" w:rsidP="00F82C2D">
      <w:pPr>
        <w:rPr>
          <w:rFonts w:cs="Calibri"/>
          <w:bCs/>
          <w:color w:val="000000"/>
          <w:kern w:val="36"/>
          <w:szCs w:val="24"/>
        </w:rPr>
      </w:pPr>
      <w:r w:rsidRPr="00904649">
        <w:rPr>
          <w:rFonts w:cs="Calibri"/>
          <w:bCs/>
          <w:color w:val="000000"/>
          <w:kern w:val="36"/>
          <w:szCs w:val="24"/>
          <w:highlight w:val="yellow"/>
        </w:rPr>
        <w:t>[</w:t>
      </w:r>
      <w:r>
        <w:rPr>
          <w:rFonts w:cs="Calibri"/>
          <w:bCs/>
          <w:color w:val="000000"/>
          <w:kern w:val="36"/>
          <w:szCs w:val="24"/>
          <w:highlight w:val="yellow"/>
        </w:rPr>
        <w:t>END OF OPTION B</w:t>
      </w:r>
      <w:r w:rsidRPr="00904649">
        <w:rPr>
          <w:rFonts w:cs="Calibri"/>
          <w:bCs/>
          <w:color w:val="000000"/>
          <w:kern w:val="36"/>
          <w:szCs w:val="24"/>
          <w:highlight w:val="yellow"/>
        </w:rPr>
        <w:t xml:space="preserve">. Continue </w:t>
      </w:r>
      <w:r>
        <w:rPr>
          <w:rFonts w:cs="Calibri"/>
          <w:bCs/>
          <w:color w:val="000000"/>
          <w:kern w:val="36"/>
          <w:szCs w:val="24"/>
          <w:highlight w:val="yellow"/>
        </w:rPr>
        <w:t xml:space="preserve">with next section, </w:t>
      </w:r>
      <w:r w:rsidRPr="00904649">
        <w:rPr>
          <w:rFonts w:cs="Calibri"/>
          <w:bCs/>
          <w:color w:val="000000"/>
          <w:kern w:val="36"/>
          <w:szCs w:val="24"/>
          <w:highlight w:val="yellow"/>
        </w:rPr>
        <w:t>“Section 3.2 Safety Trends in the MPO Area”]</w:t>
      </w:r>
    </w:p>
    <w:p w14:paraId="75C0EE87" w14:textId="77777777" w:rsidR="00F82C2D" w:rsidRPr="00030F57" w:rsidRDefault="00F82C2D" w:rsidP="00F82C2D">
      <w:pPr>
        <w:pStyle w:val="Heading2"/>
      </w:pPr>
      <w:bookmarkStart w:id="8" w:name="_Toc126264194"/>
      <w:r>
        <w:t xml:space="preserve">3.2 </w:t>
      </w:r>
      <w:r w:rsidRPr="00030F57">
        <w:t>Safety Trends in the MPO Area</w:t>
      </w:r>
      <w:bookmarkEnd w:id="8"/>
    </w:p>
    <w:p w14:paraId="058BAC9B" w14:textId="27493FD5" w:rsidR="00F82C2D" w:rsidRDefault="00F82C2D" w:rsidP="00F82C2D">
      <w:pPr>
        <w:keepNext/>
        <w:rPr>
          <w:rFonts w:cs="Calibri"/>
          <w:bCs/>
          <w:color w:val="000000"/>
          <w:kern w:val="36"/>
          <w:szCs w:val="24"/>
        </w:rPr>
      </w:pPr>
      <w:r>
        <w:rPr>
          <w:rFonts w:cs="Calibri"/>
          <w:bCs/>
          <w:color w:val="000000"/>
          <w:kern w:val="36"/>
          <w:szCs w:val="24"/>
          <w:highlight w:val="yellow"/>
        </w:rPr>
        <w:t xml:space="preserve">[MPOs may </w:t>
      </w:r>
      <w:r w:rsidRPr="00533C79">
        <w:rPr>
          <w:rFonts w:cs="Calibri"/>
          <w:bCs/>
          <w:color w:val="000000"/>
          <w:kern w:val="36"/>
          <w:szCs w:val="24"/>
          <w:highlight w:val="yellow"/>
        </w:rPr>
        <w:t xml:space="preserve">discuss recent </w:t>
      </w:r>
      <w:r>
        <w:rPr>
          <w:rFonts w:cs="Calibri"/>
          <w:bCs/>
          <w:color w:val="000000"/>
          <w:kern w:val="36"/>
          <w:szCs w:val="24"/>
          <w:highlight w:val="yellow"/>
        </w:rPr>
        <w:t xml:space="preserve">safety performance data in the MPO area, as </w:t>
      </w:r>
      <w:r w:rsidR="00171205">
        <w:rPr>
          <w:rFonts w:cs="Calibri"/>
          <w:bCs/>
          <w:color w:val="000000"/>
          <w:kern w:val="36"/>
          <w:szCs w:val="24"/>
          <w:highlight w:val="yellow"/>
        </w:rPr>
        <w:t>shown in t</w:t>
      </w:r>
      <w:r>
        <w:rPr>
          <w:rFonts w:cs="Calibri"/>
          <w:bCs/>
          <w:color w:val="000000"/>
          <w:kern w:val="36"/>
          <w:szCs w:val="24"/>
          <w:highlight w:val="yellow"/>
        </w:rPr>
        <w:t>he Sarasota/Manatee TIP example provided above</w:t>
      </w:r>
      <w:r w:rsidR="00124F3A">
        <w:rPr>
          <w:rFonts w:cs="Calibri"/>
          <w:bCs/>
          <w:color w:val="000000"/>
          <w:kern w:val="36"/>
          <w:szCs w:val="24"/>
          <w:highlight w:val="yellow"/>
        </w:rPr>
        <w:t xml:space="preserve">. </w:t>
      </w:r>
      <w:r>
        <w:rPr>
          <w:rFonts w:cs="Calibri"/>
          <w:kern w:val="28"/>
          <w:szCs w:val="24"/>
          <w:highlight w:val="yellow"/>
        </w:rPr>
        <w:t>Note that MPOs are not required to discuss performance trends</w:t>
      </w:r>
      <w:r w:rsidR="00E60B9C">
        <w:rPr>
          <w:rFonts w:cs="Calibri"/>
          <w:kern w:val="28"/>
          <w:szCs w:val="24"/>
          <w:highlight w:val="yellow"/>
        </w:rPr>
        <w:t xml:space="preserve"> in the TIP</w:t>
      </w:r>
      <w:r>
        <w:rPr>
          <w:rFonts w:cs="Calibri"/>
          <w:kern w:val="28"/>
          <w:szCs w:val="24"/>
          <w:highlight w:val="yellow"/>
        </w:rPr>
        <w:t>, but its inclusion can provide context and supporting information for the narrative.</w:t>
      </w:r>
      <w:r w:rsidRPr="00BB3F9B">
        <w:rPr>
          <w:rFonts w:cs="Calibri"/>
          <w:bCs/>
          <w:color w:val="000000"/>
          <w:kern w:val="36"/>
          <w:szCs w:val="24"/>
          <w:highlight w:val="yellow"/>
        </w:rPr>
        <w:t>]</w:t>
      </w:r>
    </w:p>
    <w:p w14:paraId="5A6957A7" w14:textId="77777777" w:rsidR="00F82C2D" w:rsidRDefault="00F82C2D" w:rsidP="00F82C2D">
      <w:pPr>
        <w:pBdr>
          <w:top w:val="single" w:sz="4" w:space="1" w:color="auto"/>
          <w:left w:val="single" w:sz="4" w:space="4" w:color="auto"/>
          <w:bottom w:val="single" w:sz="4" w:space="1" w:color="auto"/>
          <w:right w:val="single" w:sz="4" w:space="4" w:color="auto"/>
        </w:pBdr>
        <w:rPr>
          <w:rFonts w:cs="Calibri"/>
          <w:bCs/>
          <w:i/>
          <w:color w:val="000000"/>
          <w:kern w:val="36"/>
          <w:szCs w:val="24"/>
        </w:rPr>
      </w:pPr>
      <w:r>
        <w:rPr>
          <w:rFonts w:cs="Calibri"/>
          <w:iCs/>
          <w:kern w:val="28"/>
          <w:szCs w:val="24"/>
        </w:rPr>
        <w:t>Example from</w:t>
      </w:r>
      <w:r w:rsidRPr="000204D0">
        <w:rPr>
          <w:rFonts w:cs="Calibri"/>
          <w:bCs/>
          <w:color w:val="000000"/>
          <w:kern w:val="36"/>
          <w:szCs w:val="24"/>
        </w:rPr>
        <w:t xml:space="preserve"> a Broward MPO TIP</w:t>
      </w:r>
      <w:r w:rsidRPr="000204D0">
        <w:rPr>
          <w:rStyle w:val="FootnoteReference"/>
          <w:rFonts w:cs="Calibri"/>
          <w:bCs/>
          <w:color w:val="000000"/>
          <w:kern w:val="36"/>
          <w:szCs w:val="24"/>
        </w:rPr>
        <w:footnoteReference w:id="4"/>
      </w:r>
      <w:r w:rsidRPr="000204D0">
        <w:rPr>
          <w:rFonts w:cs="Calibri"/>
          <w:bCs/>
          <w:color w:val="000000"/>
          <w:kern w:val="36"/>
          <w:szCs w:val="24"/>
        </w:rPr>
        <w:t>. MPOs that include a table similar to this should use the most recent data available:</w:t>
      </w:r>
    </w:p>
    <w:p w14:paraId="571EABAC" w14:textId="7A54AF28" w:rsidR="00477C53" w:rsidRDefault="00F82C2D" w:rsidP="00F82C2D">
      <w:pPr>
        <w:pBdr>
          <w:top w:val="single" w:sz="4" w:space="1" w:color="auto"/>
          <w:left w:val="single" w:sz="4" w:space="4" w:color="auto"/>
          <w:bottom w:val="single" w:sz="4" w:space="1" w:color="auto"/>
          <w:right w:val="single" w:sz="4" w:space="4" w:color="auto"/>
        </w:pBdr>
        <w:rPr>
          <w:rFonts w:cs="Calibri"/>
          <w:i/>
          <w:kern w:val="28"/>
          <w:szCs w:val="24"/>
        </w:rPr>
      </w:pPr>
      <w:r w:rsidRPr="00697C6C">
        <w:rPr>
          <w:rFonts w:cs="Calibri"/>
          <w:bCs/>
          <w:i/>
          <w:color w:val="000000"/>
          <w:kern w:val="36"/>
          <w:szCs w:val="24"/>
        </w:rPr>
        <w:t>After FDOT set its Safety Performance Measures targets in 2018, both FDOT and the Broward MPO established 2017 Baseline Safety Performance Measures. To evaluate baseline Safety Performance Measures, the most recent five-year rolling average (2015-2019) of crash data and VMT were utilized. Table 3-2 presents the Baseline Safety Performance Measures for Florida and Broward MPO.</w:t>
      </w:r>
    </w:p>
    <w:p w14:paraId="131D610E" w14:textId="7562E322" w:rsidR="001622CC" w:rsidRDefault="00477C53" w:rsidP="00F82C2D">
      <w:pPr>
        <w:pBdr>
          <w:top w:val="single" w:sz="4" w:space="1" w:color="auto"/>
          <w:left w:val="single" w:sz="4" w:space="4" w:color="auto"/>
          <w:bottom w:val="single" w:sz="4" w:space="1" w:color="auto"/>
          <w:right w:val="single" w:sz="4" w:space="4" w:color="auto"/>
        </w:pBdr>
        <w:rPr>
          <w:rFonts w:cs="Calibri"/>
          <w:i/>
          <w:kern w:val="28"/>
          <w:szCs w:val="24"/>
        </w:rPr>
      </w:pPr>
      <w:r w:rsidRPr="00477C53">
        <w:rPr>
          <w:rFonts w:cs="Calibri"/>
          <w:i/>
          <w:noProof/>
          <w:kern w:val="28"/>
          <w:szCs w:val="24"/>
        </w:rPr>
        <w:lastRenderedPageBreak/>
        <w:drawing>
          <wp:inline distT="0" distB="0" distL="0" distR="0" wp14:anchorId="0D2E54DE" wp14:editId="474DF775">
            <wp:extent cx="5706271" cy="2105319"/>
            <wp:effectExtent l="0" t="0" r="0" b="9525"/>
            <wp:docPr id="22" name="Picture 2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able&#10;&#10;Description automatically generated"/>
                    <pic:cNvPicPr/>
                  </pic:nvPicPr>
                  <pic:blipFill>
                    <a:blip r:embed="rId14"/>
                    <a:stretch>
                      <a:fillRect/>
                    </a:stretch>
                  </pic:blipFill>
                  <pic:spPr>
                    <a:xfrm>
                      <a:off x="0" y="0"/>
                      <a:ext cx="5706271" cy="2105319"/>
                    </a:xfrm>
                    <a:prstGeom prst="rect">
                      <a:avLst/>
                    </a:prstGeom>
                  </pic:spPr>
                </pic:pic>
              </a:graphicData>
            </a:graphic>
          </wp:inline>
        </w:drawing>
      </w:r>
    </w:p>
    <w:p w14:paraId="73688374" w14:textId="23D12EBD" w:rsidR="00F82C2D" w:rsidRDefault="00F82C2D" w:rsidP="00F82C2D">
      <w:pPr>
        <w:pBdr>
          <w:top w:val="single" w:sz="4" w:space="1" w:color="auto"/>
          <w:left w:val="single" w:sz="4" w:space="4" w:color="auto"/>
          <w:bottom w:val="single" w:sz="4" w:space="1" w:color="auto"/>
          <w:right w:val="single" w:sz="4" w:space="4" w:color="auto"/>
        </w:pBdr>
        <w:rPr>
          <w:rFonts w:cs="Calibri"/>
          <w:i/>
          <w:kern w:val="28"/>
          <w:szCs w:val="24"/>
        </w:rPr>
      </w:pPr>
      <w:r w:rsidRPr="00533C79">
        <w:rPr>
          <w:rFonts w:cs="Calibri"/>
          <w:i/>
          <w:kern w:val="28"/>
          <w:szCs w:val="24"/>
        </w:rPr>
        <w:t>The MPO uses crash data tracking fatalities and serious injuries in Broward County to analyze past trends and identify regional safety</w:t>
      </w:r>
      <w:r>
        <w:rPr>
          <w:rFonts w:cs="Calibri"/>
          <w:i/>
          <w:kern w:val="28"/>
          <w:szCs w:val="24"/>
        </w:rPr>
        <w:t xml:space="preserve"> </w:t>
      </w:r>
      <w:r w:rsidRPr="00533C79">
        <w:rPr>
          <w:rFonts w:cs="Calibri"/>
          <w:i/>
          <w:kern w:val="28"/>
          <w:szCs w:val="24"/>
        </w:rPr>
        <w:t>issues</w:t>
      </w:r>
      <w:r w:rsidR="00124F3A">
        <w:rPr>
          <w:rFonts w:cs="Calibri"/>
          <w:i/>
          <w:kern w:val="28"/>
          <w:szCs w:val="24"/>
        </w:rPr>
        <w:t xml:space="preserve">. </w:t>
      </w:r>
      <w:r w:rsidRPr="00533C79">
        <w:rPr>
          <w:rFonts w:cs="Calibri"/>
          <w:i/>
          <w:kern w:val="28"/>
          <w:szCs w:val="24"/>
        </w:rPr>
        <w:t>Tracking these measures will help to estimate the effectiveness of future MPO transportation investment, as reflected in the</w:t>
      </w:r>
      <w:r>
        <w:rPr>
          <w:rFonts w:cs="Calibri"/>
          <w:i/>
          <w:kern w:val="28"/>
          <w:szCs w:val="24"/>
        </w:rPr>
        <w:t xml:space="preserve"> </w:t>
      </w:r>
      <w:r w:rsidRPr="00533C79">
        <w:rPr>
          <w:rFonts w:cs="Calibri"/>
          <w:i/>
          <w:kern w:val="28"/>
          <w:szCs w:val="24"/>
        </w:rPr>
        <w:t>TIP</w:t>
      </w:r>
      <w:r w:rsidR="00124F3A">
        <w:rPr>
          <w:rFonts w:cs="Calibri"/>
          <w:i/>
          <w:kern w:val="28"/>
          <w:szCs w:val="24"/>
        </w:rPr>
        <w:t xml:space="preserve">. </w:t>
      </w:r>
      <w:r w:rsidRPr="00533C79">
        <w:rPr>
          <w:rFonts w:cs="Calibri"/>
          <w:i/>
          <w:kern w:val="28"/>
          <w:szCs w:val="24"/>
        </w:rPr>
        <w:t>Table 3</w:t>
      </w:r>
      <w:r>
        <w:rPr>
          <w:rFonts w:cs="Calibri"/>
          <w:i/>
          <w:kern w:val="28"/>
          <w:szCs w:val="24"/>
        </w:rPr>
        <w:t>-3</w:t>
      </w:r>
      <w:r w:rsidRPr="00533C79">
        <w:rPr>
          <w:rFonts w:cs="Calibri"/>
          <w:i/>
          <w:kern w:val="28"/>
          <w:szCs w:val="24"/>
        </w:rPr>
        <w:t xml:space="preserve"> shows the changes in Safety Performance Measures for Broward MPO from </w:t>
      </w:r>
      <w:r>
        <w:rPr>
          <w:rFonts w:cs="Calibri"/>
          <w:i/>
          <w:kern w:val="28"/>
          <w:szCs w:val="24"/>
        </w:rPr>
        <w:t>201</w:t>
      </w:r>
      <w:r w:rsidR="00B539DE">
        <w:rPr>
          <w:rFonts w:cs="Calibri"/>
          <w:i/>
          <w:kern w:val="28"/>
          <w:szCs w:val="24"/>
        </w:rPr>
        <w:t>6</w:t>
      </w:r>
      <w:r w:rsidRPr="00533C79">
        <w:rPr>
          <w:rFonts w:cs="Calibri"/>
          <w:i/>
          <w:kern w:val="28"/>
          <w:szCs w:val="24"/>
        </w:rPr>
        <w:t xml:space="preserve"> through </w:t>
      </w:r>
      <w:r>
        <w:rPr>
          <w:rFonts w:cs="Calibri"/>
          <w:i/>
          <w:kern w:val="28"/>
          <w:szCs w:val="24"/>
        </w:rPr>
        <w:t>20</w:t>
      </w:r>
      <w:r w:rsidR="00B539DE">
        <w:rPr>
          <w:rFonts w:cs="Calibri"/>
          <w:i/>
          <w:kern w:val="28"/>
          <w:szCs w:val="24"/>
        </w:rPr>
        <w:t>20</w:t>
      </w:r>
      <w:r w:rsidR="00124F3A">
        <w:rPr>
          <w:rFonts w:cs="Calibri"/>
          <w:i/>
          <w:kern w:val="28"/>
          <w:szCs w:val="24"/>
        </w:rPr>
        <w:t xml:space="preserve">. </w:t>
      </w:r>
      <w:r w:rsidRPr="00533C79">
        <w:rPr>
          <w:rFonts w:cs="Calibri"/>
          <w:i/>
          <w:kern w:val="28"/>
          <w:szCs w:val="24"/>
        </w:rPr>
        <w:t>The measures shown in</w:t>
      </w:r>
      <w:r>
        <w:rPr>
          <w:rFonts w:cs="Calibri"/>
          <w:i/>
          <w:kern w:val="28"/>
          <w:szCs w:val="24"/>
        </w:rPr>
        <w:t xml:space="preserve"> </w:t>
      </w:r>
      <w:r w:rsidRPr="00533C79">
        <w:rPr>
          <w:rFonts w:cs="Calibri"/>
          <w:i/>
          <w:kern w:val="28"/>
          <w:szCs w:val="24"/>
        </w:rPr>
        <w:t>Table 3</w:t>
      </w:r>
      <w:r>
        <w:rPr>
          <w:rFonts w:cs="Calibri"/>
          <w:i/>
          <w:kern w:val="28"/>
          <w:szCs w:val="24"/>
        </w:rPr>
        <w:t>-3</w:t>
      </w:r>
      <w:r w:rsidRPr="00533C79">
        <w:rPr>
          <w:rFonts w:cs="Calibri"/>
          <w:i/>
          <w:kern w:val="28"/>
          <w:szCs w:val="24"/>
        </w:rPr>
        <w:t xml:space="preserve"> were calculated by following the same methodology as that used to calculate the baseline conditions</w:t>
      </w:r>
      <w:r>
        <w:rPr>
          <w:rFonts w:cs="Calibri"/>
          <w:i/>
          <w:kern w:val="28"/>
          <w:szCs w:val="24"/>
        </w:rPr>
        <w:t>.</w:t>
      </w:r>
    </w:p>
    <w:p w14:paraId="0B87F381" w14:textId="30346A7A" w:rsidR="00F82C2D" w:rsidRDefault="009056FF" w:rsidP="00F82C2D">
      <w:pPr>
        <w:pBdr>
          <w:top w:val="single" w:sz="4" w:space="1" w:color="auto"/>
          <w:left w:val="single" w:sz="4" w:space="4" w:color="auto"/>
          <w:bottom w:val="single" w:sz="4" w:space="1" w:color="auto"/>
          <w:right w:val="single" w:sz="4" w:space="4" w:color="auto"/>
        </w:pBdr>
        <w:rPr>
          <w:rFonts w:cs="Calibri"/>
          <w:b/>
          <w:bCs/>
          <w:color w:val="000000"/>
          <w:kern w:val="36"/>
          <w:szCs w:val="24"/>
        </w:rPr>
      </w:pPr>
      <w:r w:rsidRPr="00044A5B">
        <w:rPr>
          <w:noProof/>
        </w:rPr>
        <w:drawing>
          <wp:inline distT="0" distB="0" distL="0" distR="0" wp14:anchorId="7C1F5A2A" wp14:editId="7A2C8938">
            <wp:extent cx="6400800" cy="1557020"/>
            <wp:effectExtent l="0" t="0" r="0" b="5080"/>
            <wp:docPr id="24" name="Picture 2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10;&#10;Description automatically generated"/>
                    <pic:cNvPicPr/>
                  </pic:nvPicPr>
                  <pic:blipFill>
                    <a:blip r:embed="rId15"/>
                    <a:stretch>
                      <a:fillRect/>
                    </a:stretch>
                  </pic:blipFill>
                  <pic:spPr>
                    <a:xfrm>
                      <a:off x="0" y="0"/>
                      <a:ext cx="6400800" cy="1557020"/>
                    </a:xfrm>
                    <a:prstGeom prst="rect">
                      <a:avLst/>
                    </a:prstGeom>
                  </pic:spPr>
                </pic:pic>
              </a:graphicData>
            </a:graphic>
          </wp:inline>
        </w:drawing>
      </w:r>
    </w:p>
    <w:p w14:paraId="6DE3E75D" w14:textId="06122888" w:rsidR="00F82C2D" w:rsidRPr="009F71DD" w:rsidRDefault="00F82C2D" w:rsidP="00F82C2D">
      <w:pPr>
        <w:pStyle w:val="Heading2"/>
      </w:pPr>
      <w:bookmarkStart w:id="9" w:name="_Toc126264195"/>
      <w:r>
        <w:t xml:space="preserve">3.3 </w:t>
      </w:r>
      <w:r w:rsidRPr="009F71DD">
        <w:t>F</w:t>
      </w:r>
      <w:r>
        <w:t xml:space="preserve">DOT </w:t>
      </w:r>
      <w:r w:rsidRPr="009F71DD">
        <w:t xml:space="preserve">Safety </w:t>
      </w:r>
      <w:r>
        <w:t>Planning and Programming</w:t>
      </w:r>
      <w:bookmarkEnd w:id="9"/>
    </w:p>
    <w:p w14:paraId="5B2FD464" w14:textId="77777777" w:rsidR="00F82C2D" w:rsidRPr="009F71DD" w:rsidRDefault="00F82C2D" w:rsidP="00F82C2D">
      <w:pPr>
        <w:keepNext/>
        <w:tabs>
          <w:tab w:val="left" w:pos="2250"/>
        </w:tabs>
        <w:rPr>
          <w:rFonts w:cs="Calibri"/>
          <w:b/>
          <w:bCs/>
          <w:kern w:val="28"/>
          <w:szCs w:val="24"/>
          <w:u w:val="single"/>
        </w:rPr>
      </w:pPr>
      <w:r>
        <w:rPr>
          <w:rFonts w:cs="Calibri"/>
          <w:b/>
          <w:bCs/>
          <w:kern w:val="28"/>
          <w:szCs w:val="24"/>
          <w:u w:val="single"/>
        </w:rPr>
        <w:t xml:space="preserve">3.3.1 </w:t>
      </w:r>
      <w:r w:rsidRPr="009F71DD">
        <w:rPr>
          <w:rFonts w:cs="Calibri"/>
          <w:b/>
          <w:bCs/>
          <w:kern w:val="28"/>
          <w:szCs w:val="24"/>
          <w:u w:val="single"/>
        </w:rPr>
        <w:t>Florida’s Strategic Highway Safety Plan</w:t>
      </w:r>
    </w:p>
    <w:p w14:paraId="54F3F909" w14:textId="6D6E0A8E" w:rsidR="00F82C2D" w:rsidRPr="00FF0C66" w:rsidRDefault="00F82C2D" w:rsidP="00F82C2D">
      <w:pPr>
        <w:rPr>
          <w:rFonts w:cs="Calibri"/>
          <w:bCs/>
          <w:color w:val="000000"/>
          <w:kern w:val="36"/>
          <w:szCs w:val="24"/>
        </w:rPr>
      </w:pPr>
      <w:r w:rsidRPr="00D06D72">
        <w:rPr>
          <w:szCs w:val="24"/>
        </w:rPr>
        <w:t>Florida’s Strategic Highway Safety Plan (SHSP)</w:t>
      </w:r>
      <w:r w:rsidRPr="00E90D50">
        <w:rPr>
          <w:szCs w:val="24"/>
        </w:rPr>
        <w:t xml:space="preserve">, published in March 2021, </w:t>
      </w:r>
      <w:r w:rsidRPr="00C82A0D">
        <w:rPr>
          <w:szCs w:val="24"/>
        </w:rPr>
        <w:t xml:space="preserve">identifies strategies to achieve zero traffic deaths and serious injuries. </w:t>
      </w:r>
      <w:r w:rsidRPr="00C82A0D">
        <w:rPr>
          <w:rFonts w:cs="Calibri"/>
          <w:bCs/>
          <w:color w:val="000000"/>
          <w:kern w:val="36"/>
          <w:szCs w:val="24"/>
        </w:rPr>
        <w:t>The SHSP was updated in coordination with Florida’s 27 MPOs and the MPOAC</w:t>
      </w:r>
      <w:r>
        <w:rPr>
          <w:rFonts w:cs="Calibri"/>
          <w:bCs/>
          <w:color w:val="000000"/>
          <w:kern w:val="36"/>
          <w:szCs w:val="24"/>
        </w:rPr>
        <w:t>, as well as other statewide traffic safety partners</w:t>
      </w:r>
      <w:r w:rsidR="00124F3A" w:rsidRPr="00C82A0D">
        <w:rPr>
          <w:rFonts w:cs="Calibri"/>
          <w:bCs/>
          <w:color w:val="000000"/>
          <w:kern w:val="36"/>
          <w:szCs w:val="24"/>
        </w:rPr>
        <w:t xml:space="preserve">. </w:t>
      </w:r>
      <w:r w:rsidRPr="00C82A0D">
        <w:rPr>
          <w:rFonts w:cs="Calibri"/>
          <w:bCs/>
          <w:color w:val="000000"/>
          <w:kern w:val="36"/>
          <w:szCs w:val="24"/>
        </w:rPr>
        <w:t>The SHSP development process included review of safety-related goals, objectives, and strategies in MPO plans</w:t>
      </w:r>
      <w:r w:rsidR="00124F3A" w:rsidRPr="00C82A0D">
        <w:rPr>
          <w:rFonts w:cs="Calibri"/>
          <w:bCs/>
          <w:color w:val="000000"/>
          <w:kern w:val="36"/>
          <w:szCs w:val="24"/>
        </w:rPr>
        <w:t xml:space="preserve">. </w:t>
      </w:r>
      <w:r w:rsidRPr="00C82A0D">
        <w:rPr>
          <w:rFonts w:cs="Calibri"/>
          <w:bCs/>
          <w:color w:val="000000"/>
          <w:kern w:val="36"/>
          <w:szCs w:val="24"/>
        </w:rPr>
        <w:t>The SHSP guides FDOT, MPOs, and other safety partners in addressing safety and defines a framework for implementation activities to be carried out throughout the state.</w:t>
      </w:r>
    </w:p>
    <w:p w14:paraId="2EA5C003" w14:textId="271CB3BE" w:rsidR="00F82C2D" w:rsidRPr="00697C6C" w:rsidRDefault="00F82C2D" w:rsidP="00F82C2D">
      <w:pPr>
        <w:rPr>
          <w:szCs w:val="24"/>
        </w:rPr>
      </w:pPr>
      <w:r w:rsidRPr="00697C6C">
        <w:rPr>
          <w:rFonts w:cs="Calibri"/>
          <w:bCs/>
          <w:color w:val="000000"/>
          <w:kern w:val="36"/>
          <w:szCs w:val="24"/>
        </w:rPr>
        <w:t xml:space="preserve">Florida’s transportation safety partners have focused on reducing fatalities and serious injuries through the 4Es of engineering, education, enforcement, and emergency response. To achieve zero, FDOT and other safety partners will expand beyond addressing specific hazards and influencing individual behavior to reshaping transportation systems and communities to create a safer environment for all travel. The updated SHSP calls on Florida to think more broadly and inclusively by addressing four additional topics, which </w:t>
      </w:r>
      <w:r>
        <w:rPr>
          <w:rFonts w:cs="Calibri"/>
          <w:bCs/>
          <w:color w:val="000000"/>
          <w:kern w:val="36"/>
          <w:szCs w:val="24"/>
        </w:rPr>
        <w:t>are</w:t>
      </w:r>
      <w:r w:rsidRPr="00697C6C">
        <w:rPr>
          <w:rFonts w:cs="Calibri"/>
          <w:bCs/>
          <w:color w:val="000000"/>
          <w:kern w:val="36"/>
          <w:szCs w:val="24"/>
        </w:rPr>
        <w:t xml:space="preserve"> referred to as the 4Is: information intelligence, innovation, insight into communities, and investments and policies</w:t>
      </w:r>
      <w:r w:rsidR="00124F3A" w:rsidRPr="00697C6C">
        <w:rPr>
          <w:rFonts w:cs="Calibri"/>
          <w:bCs/>
          <w:color w:val="000000"/>
          <w:kern w:val="36"/>
          <w:szCs w:val="24"/>
        </w:rPr>
        <w:t xml:space="preserve">. </w:t>
      </w:r>
      <w:r w:rsidRPr="00697C6C">
        <w:rPr>
          <w:szCs w:val="24"/>
        </w:rPr>
        <w:t xml:space="preserve">The SHSP also embraces an integrated “Safe System” approach that </w:t>
      </w:r>
      <w:r w:rsidRPr="009E15A0">
        <w:rPr>
          <w:szCs w:val="24"/>
        </w:rPr>
        <w:t>i</w:t>
      </w:r>
      <w:r w:rsidRPr="009E15A0">
        <w:rPr>
          <w:rFonts w:cs="Arial"/>
          <w:color w:val="000000"/>
          <w:szCs w:val="24"/>
          <w:shd w:val="clear" w:color="auto" w:fill="FFFFFF"/>
        </w:rPr>
        <w:t xml:space="preserve">nvolves </w:t>
      </w:r>
      <w:r w:rsidRPr="00697C6C">
        <w:rPr>
          <w:szCs w:val="24"/>
        </w:rPr>
        <w:t xml:space="preserve">designing and managing road infrastructure to keep the risk of a mistake low and </w:t>
      </w:r>
      <w:r>
        <w:rPr>
          <w:szCs w:val="24"/>
        </w:rPr>
        <w:t xml:space="preserve">to ensure that </w:t>
      </w:r>
      <w:r w:rsidRPr="00697C6C">
        <w:rPr>
          <w:szCs w:val="24"/>
        </w:rPr>
        <w:t xml:space="preserve">when a mistake leads to a crash, the </w:t>
      </w:r>
      <w:r w:rsidRPr="00697C6C">
        <w:rPr>
          <w:szCs w:val="24"/>
        </w:rPr>
        <w:lastRenderedPageBreak/>
        <w:t>impact on the human body does not result in a fatality or serious injury</w:t>
      </w:r>
      <w:r w:rsidR="00124F3A" w:rsidRPr="00697C6C">
        <w:rPr>
          <w:szCs w:val="24"/>
        </w:rPr>
        <w:t xml:space="preserve">. </w:t>
      </w:r>
      <w:r w:rsidRPr="00697C6C">
        <w:rPr>
          <w:szCs w:val="24"/>
        </w:rPr>
        <w:t xml:space="preserve">The five Safe System elements together create a holistic approach with layers of protection: safe road users, safe vehicles, safe speeds, safe roads, and post-crash care. </w:t>
      </w:r>
    </w:p>
    <w:p w14:paraId="27C40297" w14:textId="27662937" w:rsidR="00F82C2D" w:rsidRPr="000F3969" w:rsidRDefault="00F82C2D" w:rsidP="00F82C2D">
      <w:pPr>
        <w:rPr>
          <w:szCs w:val="24"/>
        </w:rPr>
      </w:pPr>
      <w:r>
        <w:rPr>
          <w:szCs w:val="24"/>
        </w:rPr>
        <w:t>The SHSP also expands</w:t>
      </w:r>
      <w:r>
        <w:t xml:space="preserve"> </w:t>
      </w:r>
      <w:r w:rsidRPr="000F3969">
        <w:rPr>
          <w:szCs w:val="24"/>
        </w:rPr>
        <w:t>the list of emphasis areas for Florida’s safety programs to include six evolving emphasis areas, which are high-risk or high-impact crashes that are a subset of an existing emphasis area or emerging risks and new innovations, where safety implications are unknown. These evolving emphasis areas include work zones, drowsy and ill driving, rail grade crossings, roadway transit, micromobility, and connected and automated vehicles</w:t>
      </w:r>
      <w:r>
        <w:rPr>
          <w:szCs w:val="24"/>
        </w:rPr>
        <w:t>.</w:t>
      </w:r>
    </w:p>
    <w:p w14:paraId="25A429FB" w14:textId="77777777" w:rsidR="00F82C2D" w:rsidRPr="009F71DD" w:rsidRDefault="00F82C2D" w:rsidP="00F82C2D">
      <w:pPr>
        <w:keepNext/>
        <w:tabs>
          <w:tab w:val="left" w:pos="2250"/>
        </w:tabs>
        <w:rPr>
          <w:rFonts w:cs="Calibri"/>
          <w:b/>
          <w:bCs/>
          <w:kern w:val="28"/>
          <w:szCs w:val="24"/>
          <w:u w:val="single"/>
        </w:rPr>
      </w:pPr>
      <w:r>
        <w:rPr>
          <w:rFonts w:cs="Calibri"/>
          <w:b/>
          <w:bCs/>
          <w:kern w:val="28"/>
          <w:szCs w:val="24"/>
          <w:u w:val="single"/>
        </w:rPr>
        <w:t xml:space="preserve">3.3.2 </w:t>
      </w:r>
      <w:r w:rsidRPr="009F71DD">
        <w:rPr>
          <w:rFonts w:cs="Calibri"/>
          <w:b/>
          <w:bCs/>
          <w:kern w:val="28"/>
          <w:szCs w:val="24"/>
          <w:u w:val="single"/>
        </w:rPr>
        <w:t>Florida’s Highway Safety Improvement Program</w:t>
      </w:r>
    </w:p>
    <w:p w14:paraId="25EB54D5" w14:textId="1328415D" w:rsidR="00F82C2D" w:rsidRDefault="00F82C2D" w:rsidP="00F82C2D">
      <w:pPr>
        <w:rPr>
          <w:rFonts w:cs="Calibri"/>
          <w:bCs/>
          <w:color w:val="000000"/>
          <w:kern w:val="36"/>
          <w:szCs w:val="24"/>
        </w:rPr>
      </w:pPr>
      <w:r>
        <w:rPr>
          <w:rFonts w:cs="Calibri"/>
          <w:bCs/>
          <w:color w:val="000000"/>
          <w:kern w:val="36"/>
          <w:szCs w:val="24"/>
        </w:rPr>
        <w:t xml:space="preserve">While the </w:t>
      </w:r>
      <w:r w:rsidRPr="008A2DFD">
        <w:rPr>
          <w:rFonts w:cs="Calibri"/>
          <w:bCs/>
          <w:color w:val="000000"/>
          <w:kern w:val="36"/>
          <w:szCs w:val="24"/>
        </w:rPr>
        <w:t>FTP</w:t>
      </w:r>
      <w:r>
        <w:rPr>
          <w:rFonts w:cs="Calibri"/>
          <w:bCs/>
          <w:color w:val="000000"/>
          <w:kern w:val="36"/>
          <w:szCs w:val="24"/>
        </w:rPr>
        <w:t xml:space="preserve"> and the SHSP </w:t>
      </w:r>
      <w:r w:rsidRPr="008A2DFD">
        <w:rPr>
          <w:rFonts w:cs="Calibri"/>
          <w:bCs/>
          <w:color w:val="000000"/>
          <w:kern w:val="36"/>
          <w:szCs w:val="24"/>
        </w:rPr>
        <w:t xml:space="preserve">both highlight the </w:t>
      </w:r>
      <w:r>
        <w:rPr>
          <w:rFonts w:cs="Calibri"/>
          <w:bCs/>
          <w:color w:val="000000"/>
          <w:kern w:val="36"/>
          <w:szCs w:val="24"/>
        </w:rPr>
        <w:t xml:space="preserve">statewide </w:t>
      </w:r>
      <w:r w:rsidRPr="008A2DFD">
        <w:rPr>
          <w:rFonts w:cs="Calibri"/>
          <w:bCs/>
          <w:color w:val="000000"/>
          <w:kern w:val="36"/>
          <w:szCs w:val="24"/>
        </w:rPr>
        <w:t>commitment to a vision of zero deaths</w:t>
      </w:r>
      <w:r>
        <w:rPr>
          <w:rFonts w:cs="Calibri"/>
          <w:bCs/>
          <w:color w:val="000000"/>
          <w:kern w:val="36"/>
          <w:szCs w:val="24"/>
        </w:rPr>
        <w:t>, t</w:t>
      </w:r>
      <w:r w:rsidRPr="008A2DFD">
        <w:rPr>
          <w:rFonts w:cs="Calibri"/>
          <w:bCs/>
          <w:color w:val="000000"/>
          <w:kern w:val="36"/>
          <w:szCs w:val="24"/>
        </w:rPr>
        <w:t xml:space="preserve">he Florida Highway Safety Improvement Program (HSIP) </w:t>
      </w:r>
      <w:r>
        <w:rPr>
          <w:rFonts w:cs="Calibri"/>
          <w:bCs/>
          <w:color w:val="000000"/>
          <w:kern w:val="36"/>
          <w:szCs w:val="24"/>
        </w:rPr>
        <w:t>A</w:t>
      </w:r>
      <w:r w:rsidRPr="008A2DFD">
        <w:rPr>
          <w:rFonts w:cs="Calibri"/>
          <w:bCs/>
          <w:color w:val="000000"/>
          <w:kern w:val="36"/>
          <w:szCs w:val="24"/>
        </w:rPr>
        <w:t>nnual</w:t>
      </w:r>
      <w:r>
        <w:rPr>
          <w:rFonts w:cs="Calibri"/>
          <w:bCs/>
          <w:color w:val="000000"/>
          <w:kern w:val="36"/>
          <w:szCs w:val="24"/>
        </w:rPr>
        <w:t xml:space="preserve"> R</w:t>
      </w:r>
      <w:r w:rsidRPr="008A2DFD">
        <w:rPr>
          <w:rFonts w:cs="Calibri"/>
          <w:bCs/>
          <w:color w:val="000000"/>
          <w:kern w:val="36"/>
          <w:szCs w:val="24"/>
        </w:rPr>
        <w:t>eport documents statewide performance</w:t>
      </w:r>
      <w:r>
        <w:rPr>
          <w:rFonts w:cs="Calibri"/>
          <w:bCs/>
          <w:color w:val="000000"/>
          <w:kern w:val="36"/>
          <w:szCs w:val="24"/>
        </w:rPr>
        <w:t xml:space="preserve"> and progress </w:t>
      </w:r>
      <w:r w:rsidRPr="008A2DFD">
        <w:rPr>
          <w:rFonts w:cs="Calibri"/>
          <w:bCs/>
          <w:color w:val="000000"/>
          <w:kern w:val="36"/>
          <w:szCs w:val="24"/>
        </w:rPr>
        <w:t>toward that vision</w:t>
      </w:r>
      <w:r w:rsidR="00124F3A">
        <w:rPr>
          <w:rFonts w:cs="Calibri"/>
          <w:bCs/>
          <w:color w:val="000000"/>
          <w:kern w:val="36"/>
          <w:szCs w:val="24"/>
        </w:rPr>
        <w:t xml:space="preserve">. </w:t>
      </w:r>
      <w:r>
        <w:rPr>
          <w:rFonts w:cs="Calibri"/>
          <w:bCs/>
          <w:color w:val="000000"/>
          <w:kern w:val="36"/>
          <w:szCs w:val="24"/>
        </w:rPr>
        <w:t>It also lists all HSIP projects that were obligated during the reporting year and the relationship of each project to the SHSP.</w:t>
      </w:r>
    </w:p>
    <w:p w14:paraId="50223044" w14:textId="72D8329C" w:rsidR="00F82C2D" w:rsidRDefault="00F82C2D" w:rsidP="00F82C2D">
      <w:pPr>
        <w:rPr>
          <w:rFonts w:cs="Calibri"/>
          <w:kern w:val="28"/>
          <w:szCs w:val="24"/>
        </w:rPr>
      </w:pPr>
      <w:r>
        <w:rPr>
          <w:rFonts w:cstheme="minorHAnsi"/>
          <w:bCs/>
          <w:szCs w:val="24"/>
        </w:rPr>
        <w:t>As discussed above, in</w:t>
      </w:r>
      <w:r w:rsidRPr="008A2DFD">
        <w:rPr>
          <w:rFonts w:cstheme="minorHAnsi"/>
          <w:bCs/>
          <w:szCs w:val="24"/>
        </w:rPr>
        <w:t xml:space="preserve"> the </w:t>
      </w:r>
      <w:r>
        <w:rPr>
          <w:rFonts w:cstheme="minorHAnsi"/>
          <w:bCs/>
          <w:szCs w:val="24"/>
        </w:rPr>
        <w:t>202</w:t>
      </w:r>
      <w:r w:rsidR="008E25AD">
        <w:rPr>
          <w:rFonts w:cstheme="minorHAnsi"/>
          <w:bCs/>
          <w:szCs w:val="24"/>
        </w:rPr>
        <w:t>2</w:t>
      </w:r>
      <w:r w:rsidRPr="008A2DFD">
        <w:rPr>
          <w:rFonts w:cstheme="minorHAnsi"/>
          <w:bCs/>
          <w:szCs w:val="24"/>
        </w:rPr>
        <w:t xml:space="preserve"> HSIP </w:t>
      </w:r>
      <w:r>
        <w:rPr>
          <w:rFonts w:cstheme="minorHAnsi"/>
          <w:bCs/>
          <w:szCs w:val="24"/>
        </w:rPr>
        <w:t>A</w:t>
      </w:r>
      <w:r w:rsidRPr="008A2DFD">
        <w:rPr>
          <w:rFonts w:cstheme="minorHAnsi"/>
          <w:bCs/>
          <w:szCs w:val="24"/>
        </w:rPr>
        <w:t xml:space="preserve">nnual </w:t>
      </w:r>
      <w:r>
        <w:rPr>
          <w:rFonts w:cstheme="minorHAnsi"/>
          <w:bCs/>
          <w:szCs w:val="24"/>
        </w:rPr>
        <w:t>R</w:t>
      </w:r>
      <w:r w:rsidRPr="008A2DFD">
        <w:rPr>
          <w:rFonts w:cstheme="minorHAnsi"/>
          <w:bCs/>
          <w:szCs w:val="24"/>
        </w:rPr>
        <w:t xml:space="preserve">eport, FDOT </w:t>
      </w:r>
      <w:r>
        <w:rPr>
          <w:rFonts w:cstheme="minorHAnsi"/>
          <w:bCs/>
          <w:szCs w:val="24"/>
        </w:rPr>
        <w:t>reported</w:t>
      </w:r>
      <w:r w:rsidRPr="008A2DFD">
        <w:rPr>
          <w:rFonts w:cstheme="minorHAnsi"/>
          <w:bCs/>
          <w:szCs w:val="24"/>
        </w:rPr>
        <w:t xml:space="preserve"> </w:t>
      </w:r>
      <w:r>
        <w:rPr>
          <w:rFonts w:cstheme="minorHAnsi"/>
          <w:bCs/>
          <w:szCs w:val="24"/>
        </w:rPr>
        <w:t>202</w:t>
      </w:r>
      <w:r w:rsidR="008E25AD">
        <w:rPr>
          <w:rFonts w:cstheme="minorHAnsi"/>
          <w:bCs/>
          <w:szCs w:val="24"/>
        </w:rPr>
        <w:t>3</w:t>
      </w:r>
      <w:r w:rsidRPr="008A2DFD">
        <w:rPr>
          <w:rFonts w:cstheme="minorHAnsi"/>
          <w:bCs/>
          <w:szCs w:val="24"/>
        </w:rPr>
        <w:t xml:space="preserve"> statewide safety performance targets at “0” for each safety performance measure to reflect the vision of zero deaths.</w:t>
      </w:r>
      <w:r>
        <w:rPr>
          <w:rFonts w:cstheme="minorHAnsi"/>
          <w:bCs/>
          <w:szCs w:val="24"/>
        </w:rPr>
        <w:t xml:space="preserve"> </w:t>
      </w:r>
      <w:r w:rsidRPr="00D447FA">
        <w:rPr>
          <w:rFonts w:cs="Calibri"/>
          <w:kern w:val="28"/>
          <w:szCs w:val="24"/>
        </w:rPr>
        <w:t xml:space="preserve">Annually, FHWA determines whether Florida </w:t>
      </w:r>
      <w:r>
        <w:rPr>
          <w:rFonts w:cs="Calibri"/>
          <w:kern w:val="28"/>
          <w:szCs w:val="24"/>
        </w:rPr>
        <w:t>has met</w:t>
      </w:r>
      <w:r w:rsidRPr="00D447FA">
        <w:rPr>
          <w:rFonts w:cs="Calibri"/>
          <w:kern w:val="28"/>
          <w:szCs w:val="24"/>
        </w:rPr>
        <w:t xml:space="preserve"> the targets or perform</w:t>
      </w:r>
      <w:r>
        <w:rPr>
          <w:rFonts w:cs="Calibri"/>
          <w:kern w:val="28"/>
          <w:szCs w:val="24"/>
        </w:rPr>
        <w:t>ed</w:t>
      </w:r>
      <w:r w:rsidRPr="00D447FA">
        <w:rPr>
          <w:rFonts w:cs="Calibri"/>
          <w:kern w:val="28"/>
          <w:szCs w:val="24"/>
        </w:rPr>
        <w:t xml:space="preserve"> better than baseline for at least four of the five measures. If </w:t>
      </w:r>
      <w:r>
        <w:rPr>
          <w:rFonts w:cs="Calibri"/>
          <w:kern w:val="28"/>
          <w:szCs w:val="24"/>
        </w:rPr>
        <w:t>this does not occur</w:t>
      </w:r>
      <w:r w:rsidRPr="00D447FA">
        <w:rPr>
          <w:rFonts w:cs="Calibri"/>
          <w:kern w:val="28"/>
          <w:szCs w:val="24"/>
        </w:rPr>
        <w:t xml:space="preserve"> </w:t>
      </w:r>
      <w:r>
        <w:rPr>
          <w:rFonts w:cs="Calibri"/>
          <w:kern w:val="28"/>
          <w:szCs w:val="24"/>
        </w:rPr>
        <w:t>FDOT</w:t>
      </w:r>
      <w:r w:rsidRPr="00D447FA">
        <w:rPr>
          <w:rFonts w:cs="Calibri"/>
          <w:kern w:val="28"/>
          <w:szCs w:val="24"/>
        </w:rPr>
        <w:t xml:space="preserve"> must submit an annual implementation plan with </w:t>
      </w:r>
      <w:r w:rsidR="00B56D08" w:rsidRPr="00D447FA">
        <w:rPr>
          <w:rFonts w:cs="Calibri"/>
          <w:kern w:val="28"/>
          <w:szCs w:val="24"/>
        </w:rPr>
        <w:t>actions,</w:t>
      </w:r>
      <w:r w:rsidRPr="00D447FA">
        <w:rPr>
          <w:rFonts w:cs="Calibri"/>
          <w:kern w:val="28"/>
          <w:szCs w:val="24"/>
        </w:rPr>
        <w:t xml:space="preserve"> it will take to meet targets in the future. </w:t>
      </w:r>
    </w:p>
    <w:p w14:paraId="4AA28615" w14:textId="7709E2D1" w:rsidR="00F82C2D" w:rsidRPr="00C8597A" w:rsidRDefault="005920EA" w:rsidP="00F82C2D">
      <w:pPr>
        <w:rPr>
          <w:rFonts w:cs="Calibri"/>
          <w:i/>
          <w:kern w:val="28"/>
          <w:szCs w:val="24"/>
        </w:rPr>
      </w:pPr>
      <w:r w:rsidRPr="00D45F3F">
        <w:rPr>
          <w:rFonts w:cs="Calibri"/>
          <w:kern w:val="28"/>
          <w:szCs w:val="24"/>
        </w:rPr>
        <w:t>On April</w:t>
      </w:r>
      <w:r w:rsidR="0062701C">
        <w:rPr>
          <w:rFonts w:cs="Calibri"/>
          <w:kern w:val="28"/>
          <w:szCs w:val="24"/>
        </w:rPr>
        <w:t xml:space="preserve"> 21</w:t>
      </w:r>
      <w:r w:rsidR="003C1B85">
        <w:rPr>
          <w:rFonts w:cs="Calibri"/>
          <w:kern w:val="28"/>
          <w:szCs w:val="24"/>
        </w:rPr>
        <w:t>, 2022</w:t>
      </w:r>
      <w:r w:rsidR="00F82C2D" w:rsidRPr="00D45F3F">
        <w:rPr>
          <w:rFonts w:cs="Calibri"/>
          <w:kern w:val="28"/>
          <w:szCs w:val="24"/>
        </w:rPr>
        <w:t xml:space="preserve">, FHWA </w:t>
      </w:r>
      <w:r w:rsidR="00F82C2D">
        <w:rPr>
          <w:rFonts w:cs="Calibri"/>
          <w:kern w:val="28"/>
          <w:szCs w:val="24"/>
        </w:rPr>
        <w:t>reported t</w:t>
      </w:r>
      <w:r w:rsidR="00F82C2D" w:rsidRPr="00D45F3F">
        <w:rPr>
          <w:rFonts w:cs="Calibri"/>
          <w:kern w:val="28"/>
          <w:szCs w:val="24"/>
        </w:rPr>
        <w:t>he results of its 20</w:t>
      </w:r>
      <w:r w:rsidR="003C1B85">
        <w:rPr>
          <w:rFonts w:cs="Calibri"/>
          <w:kern w:val="28"/>
          <w:szCs w:val="24"/>
        </w:rPr>
        <w:t>20</w:t>
      </w:r>
      <w:r w:rsidR="00F82C2D" w:rsidRPr="00D45F3F">
        <w:rPr>
          <w:rFonts w:cs="Calibri"/>
          <w:kern w:val="28"/>
          <w:szCs w:val="24"/>
        </w:rPr>
        <w:t xml:space="preserve"> safety target assessment. FHWA concluded that Florida had not met or made significant progress toward its </w:t>
      </w:r>
      <w:r w:rsidR="00F82C2D">
        <w:rPr>
          <w:rFonts w:cs="Calibri"/>
          <w:kern w:val="28"/>
          <w:szCs w:val="24"/>
        </w:rPr>
        <w:t>20</w:t>
      </w:r>
      <w:r w:rsidR="003C1B85">
        <w:rPr>
          <w:rFonts w:cs="Calibri"/>
          <w:kern w:val="28"/>
          <w:szCs w:val="24"/>
        </w:rPr>
        <w:t>20</w:t>
      </w:r>
      <w:r w:rsidR="00F82C2D">
        <w:rPr>
          <w:rFonts w:cs="Calibri"/>
          <w:kern w:val="28"/>
          <w:szCs w:val="24"/>
        </w:rPr>
        <w:t xml:space="preserve"> </w:t>
      </w:r>
      <w:r w:rsidR="00F82C2D" w:rsidRPr="00D45F3F">
        <w:rPr>
          <w:rFonts w:cs="Calibri"/>
          <w:kern w:val="28"/>
          <w:szCs w:val="24"/>
        </w:rPr>
        <w:t xml:space="preserve">safety targets, noting that zero had not been achieved for any measure and that only three out of five measures (number </w:t>
      </w:r>
      <w:r w:rsidR="00F82C2D">
        <w:rPr>
          <w:rFonts w:cs="Calibri"/>
          <w:kern w:val="28"/>
          <w:szCs w:val="24"/>
        </w:rPr>
        <w:t xml:space="preserve">of </w:t>
      </w:r>
      <w:r w:rsidR="00F82C2D" w:rsidRPr="00D45F3F">
        <w:rPr>
          <w:rFonts w:cs="Calibri"/>
          <w:kern w:val="28"/>
          <w:szCs w:val="24"/>
        </w:rPr>
        <w:t>serious injuries, serious injury rate, and number of non-motorized fatalities and serious injuries) were better than baseline</w:t>
      </w:r>
      <w:r w:rsidR="00F82C2D">
        <w:rPr>
          <w:rFonts w:cs="Calibri"/>
          <w:kern w:val="28"/>
          <w:szCs w:val="24"/>
        </w:rPr>
        <w:t xml:space="preserve">. Subsequently, </w:t>
      </w:r>
      <w:r w:rsidR="00F82C2D" w:rsidRPr="007061DA">
        <w:rPr>
          <w:rFonts w:cs="Calibri"/>
          <w:kern w:val="28"/>
          <w:szCs w:val="24"/>
        </w:rPr>
        <w:t>FDOT developed an HSIP Implementation Plan to highlight additional strategies it will undertake in support of the</w:t>
      </w:r>
      <w:r w:rsidR="00F82C2D">
        <w:rPr>
          <w:rFonts w:cs="Calibri"/>
          <w:kern w:val="28"/>
          <w:szCs w:val="24"/>
        </w:rPr>
        <w:t xml:space="preserve"> safety </w:t>
      </w:r>
      <w:r w:rsidR="00F82C2D" w:rsidRPr="007061DA">
        <w:rPr>
          <w:rFonts w:cs="Calibri"/>
          <w:kern w:val="28"/>
          <w:szCs w:val="24"/>
        </w:rPr>
        <w:t>targets.</w:t>
      </w:r>
      <w:r w:rsidR="00F82C2D">
        <w:rPr>
          <w:rFonts w:cs="Calibri"/>
          <w:kern w:val="28"/>
          <w:szCs w:val="24"/>
        </w:rPr>
        <w:t xml:space="preserve"> This plan was submitted with the HSIP Annual Report to FWHA on August 31, 202</w:t>
      </w:r>
      <w:r w:rsidR="000D053C">
        <w:rPr>
          <w:rFonts w:cs="Calibri"/>
          <w:kern w:val="28"/>
          <w:szCs w:val="24"/>
        </w:rPr>
        <w:t>2</w:t>
      </w:r>
      <w:r w:rsidR="00F82C2D">
        <w:rPr>
          <w:rFonts w:cs="Calibri"/>
          <w:kern w:val="28"/>
          <w:szCs w:val="24"/>
        </w:rPr>
        <w:t xml:space="preserve"> and is available at [</w:t>
      </w:r>
      <w:hyperlink r:id="rId16" w:history="1">
        <w:r w:rsidR="00F82C2D" w:rsidRPr="006C125A">
          <w:rPr>
            <w:rStyle w:val="Hyperlink"/>
            <w:rFonts w:cs="Calibri"/>
            <w:kern w:val="28"/>
            <w:szCs w:val="24"/>
            <w:highlight w:val="cyan"/>
          </w:rPr>
          <w:t>insert link</w:t>
        </w:r>
        <w:r w:rsidR="00F82C2D" w:rsidRPr="006C125A">
          <w:rPr>
            <w:rStyle w:val="Hyperlink"/>
            <w:rFonts w:cs="Calibri"/>
            <w:kern w:val="28"/>
            <w:szCs w:val="24"/>
          </w:rPr>
          <w:t xml:space="preserve"> </w:t>
        </w:r>
        <w:r w:rsidR="00F82C2D" w:rsidRPr="006C125A">
          <w:rPr>
            <w:rStyle w:val="Hyperlink"/>
            <w:rFonts w:cs="Calibri"/>
            <w:kern w:val="28"/>
            <w:szCs w:val="24"/>
            <w:highlight w:val="cyan"/>
          </w:rPr>
          <w:t>when available</w:t>
        </w:r>
      </w:hyperlink>
      <w:r w:rsidR="00F82C2D">
        <w:rPr>
          <w:rFonts w:cs="Calibri"/>
          <w:kern w:val="28"/>
          <w:szCs w:val="24"/>
        </w:rPr>
        <w:t>].</w:t>
      </w:r>
      <w:r w:rsidR="00C8597A">
        <w:rPr>
          <w:rFonts w:cs="Calibri"/>
          <w:kern w:val="28"/>
          <w:szCs w:val="24"/>
        </w:rPr>
        <w:t xml:space="preserve"> </w:t>
      </w:r>
      <w:r w:rsidR="00C8597A">
        <w:rPr>
          <w:rFonts w:cs="Calibri"/>
          <w:i/>
          <w:kern w:val="28"/>
          <w:szCs w:val="24"/>
        </w:rPr>
        <w:t xml:space="preserve">Note:  FDOT will send updated text once FHWA sends the </w:t>
      </w:r>
      <w:r w:rsidR="00C8597A" w:rsidRPr="008A18E0">
        <w:rPr>
          <w:rFonts w:cs="Calibri"/>
          <w:i/>
          <w:kern w:val="28"/>
          <w:szCs w:val="24"/>
        </w:rPr>
        <w:t>202</w:t>
      </w:r>
      <w:r w:rsidR="001C7E22">
        <w:rPr>
          <w:rFonts w:cs="Calibri"/>
          <w:i/>
          <w:kern w:val="28"/>
          <w:szCs w:val="24"/>
        </w:rPr>
        <w:t>1</w:t>
      </w:r>
      <w:r w:rsidR="00C8597A">
        <w:rPr>
          <w:rFonts w:cs="Calibri"/>
          <w:i/>
          <w:kern w:val="28"/>
          <w:szCs w:val="24"/>
        </w:rPr>
        <w:t xml:space="preserve"> safety target assessment.</w:t>
      </w:r>
    </w:p>
    <w:p w14:paraId="57FEA440" w14:textId="438A7024" w:rsidR="00F82C2D" w:rsidRDefault="00F82C2D" w:rsidP="00F82C2D">
      <w:pPr>
        <w:pStyle w:val="BodyText"/>
      </w:pPr>
      <w:r>
        <w:t xml:space="preserve">Consistent with FHWA requirements, the HSIP Implementation Plan focuses specifically on implementation of the HSIP as a core federal-aid highway program and documents the continued enhancements planned for Florida’s HSIP to better leverage the benefits of this program. However, recognizing that FDOT already allocates all HSIP funding to safety programs - and building on the integrated approach that underscores FDOT’s safety programs – the HSIP Implementation Plan also documents how additional </w:t>
      </w:r>
      <w:r w:rsidR="00EA2C7E">
        <w:t>FDOT,</w:t>
      </w:r>
      <w:r>
        <w:t xml:space="preserve"> and partner activities may contribute to progress toward zero</w:t>
      </w:r>
      <w:r w:rsidR="00F864CD">
        <w:t xml:space="preserve">. </w:t>
      </w:r>
      <w:r w:rsidR="0030554A">
        <w:t>Building on the foundation of prior HSIP</w:t>
      </w:r>
      <w:r w:rsidR="00C87BA7">
        <w:t xml:space="preserve"> Implementation Plans, the 2022 HSIP Implementation Plan identifies the following</w:t>
      </w:r>
      <w:r w:rsidR="00545A26">
        <w:t xml:space="preserve"> key</w:t>
      </w:r>
      <w:r>
        <w:t xml:space="preserve"> commitments:</w:t>
      </w:r>
    </w:p>
    <w:p w14:paraId="5EF0162C" w14:textId="30FCDF8F" w:rsidR="00F82C2D" w:rsidRDefault="00655B5F" w:rsidP="0000371F">
      <w:pPr>
        <w:pStyle w:val="ListBullet"/>
      </w:pPr>
      <w:r>
        <w:t xml:space="preserve">Improve partner coordination and align safety activities. </w:t>
      </w:r>
    </w:p>
    <w:p w14:paraId="3B8F778B" w14:textId="4B1E6D9B" w:rsidR="00F82C2D" w:rsidRDefault="00846269" w:rsidP="0000371F">
      <w:pPr>
        <w:pStyle w:val="ListBullet"/>
      </w:pPr>
      <w:r>
        <w:t xml:space="preserve">Maximize HSIP infrastructure investments. </w:t>
      </w:r>
    </w:p>
    <w:p w14:paraId="09E9D602" w14:textId="1748B38E" w:rsidR="00F82C2D" w:rsidRDefault="00F82C2D" w:rsidP="0000371F">
      <w:pPr>
        <w:pStyle w:val="ListBullet"/>
      </w:pPr>
      <w:r w:rsidRPr="000F3969">
        <w:t xml:space="preserve">Enhance </w:t>
      </w:r>
      <w:r w:rsidR="00AF5581">
        <w:t xml:space="preserve">safety data systems and analysis. </w:t>
      </w:r>
    </w:p>
    <w:p w14:paraId="6AC3BB47" w14:textId="3735012F" w:rsidR="00F82C2D" w:rsidRDefault="003B7EF6" w:rsidP="0000371F">
      <w:pPr>
        <w:pStyle w:val="ListBullet"/>
      </w:pPr>
      <w:r>
        <w:t xml:space="preserve">Focus on safety marketing and education on target audiences. </w:t>
      </w:r>
    </w:p>
    <w:p w14:paraId="5BBDC590" w14:textId="260F3830" w:rsidR="006D22AE" w:rsidRDefault="006D22AE" w:rsidP="0000371F">
      <w:pPr>
        <w:pStyle w:val="ListBullet"/>
      </w:pPr>
      <w:r>
        <w:t>Capitalize on new and existing funding opportunities.</w:t>
      </w:r>
    </w:p>
    <w:p w14:paraId="71F4879A" w14:textId="77777777" w:rsidR="00F82C2D" w:rsidRDefault="00F82C2D" w:rsidP="00F82C2D">
      <w:pPr>
        <w:rPr>
          <w:rFonts w:cs="Calibri"/>
          <w:kern w:val="28"/>
          <w:szCs w:val="24"/>
        </w:rPr>
      </w:pPr>
      <w:r w:rsidRPr="005E26D7">
        <w:rPr>
          <w:rFonts w:cs="Calibri"/>
          <w:kern w:val="28"/>
          <w:szCs w:val="24"/>
        </w:rPr>
        <w:lastRenderedPageBreak/>
        <w:t>Florida conducts extensive safety data analysis to understand the state’s traffic safety challenges and identify and implement successful safety solutions. Florida’s transportation system is evaluated using location</w:t>
      </w:r>
      <w:r>
        <w:rPr>
          <w:rFonts w:cs="Calibri"/>
          <w:kern w:val="28"/>
          <w:szCs w:val="24"/>
        </w:rPr>
        <w:t>-</w:t>
      </w:r>
      <w:r w:rsidRPr="005E26D7">
        <w:rPr>
          <w:rFonts w:cs="Calibri"/>
          <w:kern w:val="28"/>
          <w:szCs w:val="24"/>
        </w:rPr>
        <w:t>specific analyses that evaluate locations where the number of crashes or crash rates are the highest and where fatalities and serious injuries are most prominent. These analyses are paired with additional systemic analyses to identify characteristics that contribute to certain crash types and prioritize countermeasures that can be deployed across the system as a whole. As countermeasures are implemented, Florida also employs predictive analyses to evaluate the performance of roadways (i.e., evaluating results of implemented crash modification factors against projected crash reduction factors).</w:t>
      </w:r>
    </w:p>
    <w:p w14:paraId="4D0325F7" w14:textId="077B31BC" w:rsidR="00F82C2D" w:rsidRDefault="00F82C2D" w:rsidP="00F82C2D">
      <w:pPr>
        <w:rPr>
          <w:rFonts w:cs="Calibri"/>
          <w:kern w:val="28"/>
          <w:szCs w:val="24"/>
        </w:rPr>
      </w:pPr>
      <w:r w:rsidRPr="00BB3F9B">
        <w:rPr>
          <w:rFonts w:cs="Calibri"/>
          <w:kern w:val="28"/>
          <w:szCs w:val="24"/>
        </w:rPr>
        <w:t>FDOT</w:t>
      </w:r>
      <w:r>
        <w:rPr>
          <w:rFonts w:cs="Calibri"/>
          <w:kern w:val="28"/>
          <w:szCs w:val="24"/>
        </w:rPr>
        <w:t>’</w:t>
      </w:r>
      <w:r w:rsidRPr="00BB3F9B">
        <w:rPr>
          <w:rFonts w:cs="Calibri"/>
          <w:kern w:val="28"/>
          <w:szCs w:val="24"/>
        </w:rPr>
        <w:t xml:space="preserve">s State Safety Office works closely with FDOT </w:t>
      </w:r>
      <w:r>
        <w:rPr>
          <w:rFonts w:cs="Calibri"/>
          <w:kern w:val="28"/>
          <w:szCs w:val="24"/>
        </w:rPr>
        <w:t>D</w:t>
      </w:r>
      <w:r w:rsidRPr="00BB3F9B">
        <w:rPr>
          <w:rFonts w:cs="Calibri"/>
          <w:kern w:val="28"/>
          <w:szCs w:val="24"/>
        </w:rPr>
        <w:t xml:space="preserve">istricts and regional and local traffic safety partners to </w:t>
      </w:r>
      <w:r>
        <w:rPr>
          <w:rFonts w:cs="Calibri"/>
          <w:kern w:val="28"/>
          <w:szCs w:val="24"/>
        </w:rPr>
        <w:t>develop the annual HSIP updates</w:t>
      </w:r>
      <w:r w:rsidR="00124F3A" w:rsidRPr="00BB3F9B">
        <w:rPr>
          <w:rFonts w:cs="Calibri"/>
          <w:kern w:val="28"/>
          <w:szCs w:val="24"/>
        </w:rPr>
        <w:t xml:space="preserve">. </w:t>
      </w:r>
      <w:r w:rsidRPr="00BB3F9B">
        <w:rPr>
          <w:rFonts w:cs="Calibri"/>
          <w:kern w:val="28"/>
          <w:szCs w:val="24"/>
        </w:rPr>
        <w:t xml:space="preserve">Historic, risk-based, and predictive safety analyses are conducted to identify appropriate proven countermeasures to reduce fatalities and serious injuries associated with Florida’s SHSP emphasis areas, resulting in a list of projects that reflect the greatest needs and are anticipated to achieve the highest benefit. While these projects and the associated policies and standards may take years to be implemented, they are built on proven countermeasures for improving safety and addressing serious crash risks or safety problems identified through a data-driven process. Florida continues to allocate all available HSIP funding to safety projects. </w:t>
      </w:r>
      <w:hyperlink r:id="rId17" w:history="1">
        <w:r w:rsidRPr="00D447FA">
          <w:rPr>
            <w:rStyle w:val="Hyperlink"/>
            <w:rFonts w:cs="Calibri"/>
            <w:kern w:val="28"/>
            <w:szCs w:val="24"/>
          </w:rPr>
          <w:t>FDOT’s HSIP Guidelines</w:t>
        </w:r>
      </w:hyperlink>
      <w:r w:rsidRPr="00BB3F9B">
        <w:rPr>
          <w:rFonts w:cs="Calibri"/>
          <w:kern w:val="28"/>
          <w:szCs w:val="24"/>
        </w:rPr>
        <w:t xml:space="preserve"> provide detailed information on this data-driven process and funding eligibility.</w:t>
      </w:r>
    </w:p>
    <w:p w14:paraId="0CD45ADC" w14:textId="42735303" w:rsidR="00F82C2D" w:rsidRPr="00697C6C" w:rsidRDefault="00F82C2D" w:rsidP="00F82C2D">
      <w:pPr>
        <w:rPr>
          <w:rFonts w:cs="Calibri"/>
          <w:kern w:val="28"/>
          <w:szCs w:val="24"/>
        </w:rPr>
      </w:pPr>
      <w:r w:rsidRPr="00697C6C">
        <w:rPr>
          <w:rFonts w:cs="Calibri"/>
          <w:kern w:val="28"/>
          <w:szCs w:val="24"/>
        </w:rPr>
        <w:t>Florida received an allocation of approximately $</w:t>
      </w:r>
      <w:r w:rsidR="007479BB">
        <w:rPr>
          <w:rFonts w:cs="Calibri"/>
          <w:kern w:val="28"/>
          <w:szCs w:val="24"/>
        </w:rPr>
        <w:t>189</w:t>
      </w:r>
      <w:r w:rsidRPr="00697C6C">
        <w:rPr>
          <w:rFonts w:cs="Calibri"/>
          <w:kern w:val="28"/>
          <w:szCs w:val="24"/>
        </w:rPr>
        <w:t xml:space="preserve"> million in HSIP funds for use during the 202</w:t>
      </w:r>
      <w:r w:rsidR="007479BB">
        <w:rPr>
          <w:rFonts w:cs="Calibri"/>
          <w:kern w:val="28"/>
          <w:szCs w:val="24"/>
        </w:rPr>
        <w:t>1</w:t>
      </w:r>
      <w:r w:rsidRPr="00697C6C">
        <w:rPr>
          <w:rFonts w:cs="Calibri"/>
          <w:kern w:val="28"/>
          <w:szCs w:val="24"/>
        </w:rPr>
        <w:t xml:space="preserve"> state fiscal year from July 1, 202</w:t>
      </w:r>
      <w:r w:rsidR="007479BB">
        <w:rPr>
          <w:rFonts w:cs="Calibri"/>
          <w:kern w:val="28"/>
          <w:szCs w:val="24"/>
        </w:rPr>
        <w:t>1</w:t>
      </w:r>
      <w:r w:rsidRPr="00697C6C">
        <w:rPr>
          <w:rFonts w:cs="Calibri"/>
          <w:kern w:val="28"/>
          <w:szCs w:val="24"/>
        </w:rPr>
        <w:t xml:space="preserve"> through June 30, 202</w:t>
      </w:r>
      <w:r w:rsidR="00E501A5">
        <w:rPr>
          <w:rFonts w:cs="Calibri"/>
          <w:kern w:val="28"/>
          <w:szCs w:val="24"/>
        </w:rPr>
        <w:t>2</w:t>
      </w:r>
      <w:r w:rsidRPr="00697C6C">
        <w:rPr>
          <w:rFonts w:cs="Calibri"/>
          <w:kern w:val="28"/>
          <w:szCs w:val="24"/>
        </w:rPr>
        <w:t>, and fully allocated those funds to safety projects. FDOT used these HSIP funds to complete project</w:t>
      </w:r>
      <w:r>
        <w:rPr>
          <w:rFonts w:cs="Calibri"/>
          <w:kern w:val="28"/>
          <w:szCs w:val="24"/>
        </w:rPr>
        <w:t>s</w:t>
      </w:r>
      <w:r w:rsidRPr="00697C6C">
        <w:rPr>
          <w:rFonts w:cs="Calibri"/>
          <w:kern w:val="28"/>
          <w:szCs w:val="24"/>
        </w:rPr>
        <w:t xml:space="preserve"> that address intersections, lane departure, pedestrian and bicyclist safety, and other programs representing the remaining SHSP emphasis areas. This year’s HSIP allocated $</w:t>
      </w:r>
      <w:r w:rsidR="00E501A5">
        <w:rPr>
          <w:rFonts w:cs="Calibri"/>
          <w:kern w:val="28"/>
          <w:szCs w:val="24"/>
        </w:rPr>
        <w:t>159.7</w:t>
      </w:r>
      <w:r w:rsidRPr="00697C6C">
        <w:rPr>
          <w:rFonts w:cs="Calibri"/>
          <w:kern w:val="28"/>
          <w:szCs w:val="24"/>
        </w:rPr>
        <w:t xml:space="preserve"> million in infrastructure investments on state-maintained roadways and $</w:t>
      </w:r>
      <w:r w:rsidR="00E501A5">
        <w:rPr>
          <w:rFonts w:cs="Calibri"/>
          <w:kern w:val="28"/>
          <w:szCs w:val="24"/>
        </w:rPr>
        <w:t>22.1</w:t>
      </w:r>
      <w:r w:rsidRPr="00697C6C">
        <w:rPr>
          <w:rFonts w:cs="Calibri"/>
          <w:kern w:val="28"/>
          <w:szCs w:val="24"/>
        </w:rPr>
        <w:t xml:space="preserve"> million in infrastructure investments on local roadways. The remaining $</w:t>
      </w:r>
      <w:r w:rsidR="00655ECF">
        <w:rPr>
          <w:rFonts w:cs="Calibri"/>
          <w:kern w:val="28"/>
          <w:szCs w:val="24"/>
        </w:rPr>
        <w:t>7.2</w:t>
      </w:r>
      <w:r w:rsidRPr="00697C6C">
        <w:rPr>
          <w:rFonts w:cs="Calibri"/>
          <w:kern w:val="28"/>
          <w:szCs w:val="24"/>
        </w:rPr>
        <w:t xml:space="preserve"> million included supporting activities such as transportation safety planning, preliminary engineering, traffic engineering studies, transportation statistics, and public information or education</w:t>
      </w:r>
      <w:r w:rsidR="00124F3A" w:rsidRPr="00697C6C">
        <w:rPr>
          <w:rFonts w:cs="Calibri"/>
          <w:kern w:val="28"/>
          <w:szCs w:val="24"/>
        </w:rPr>
        <w:t xml:space="preserve">. </w:t>
      </w:r>
      <w:r w:rsidRPr="00697C6C">
        <w:rPr>
          <w:rFonts w:cs="Calibri"/>
          <w:kern w:val="28"/>
          <w:szCs w:val="24"/>
        </w:rPr>
        <w:t xml:space="preserve">A list of HSIP projects can be found in the </w:t>
      </w:r>
      <w:hyperlink r:id="rId18" w:history="1">
        <w:r w:rsidRPr="00697C6C">
          <w:rPr>
            <w:rStyle w:val="Hyperlink"/>
            <w:rFonts w:cs="Calibri"/>
            <w:kern w:val="28"/>
            <w:szCs w:val="24"/>
          </w:rPr>
          <w:t>HSIP 202</w:t>
        </w:r>
        <w:r w:rsidR="00201872">
          <w:rPr>
            <w:rStyle w:val="Hyperlink"/>
            <w:rFonts w:cs="Calibri"/>
            <w:kern w:val="28"/>
            <w:szCs w:val="24"/>
          </w:rPr>
          <w:t>1</w:t>
        </w:r>
        <w:r w:rsidRPr="00697C6C">
          <w:rPr>
            <w:rStyle w:val="Hyperlink"/>
            <w:rFonts w:cs="Calibri"/>
            <w:kern w:val="28"/>
            <w:szCs w:val="24"/>
          </w:rPr>
          <w:t xml:space="preserve"> Annual Report</w:t>
        </w:r>
      </w:hyperlink>
      <w:r w:rsidRPr="00697C6C">
        <w:rPr>
          <w:rFonts w:cs="Calibri"/>
          <w:kern w:val="28"/>
          <w:szCs w:val="24"/>
        </w:rPr>
        <w:t>.</w:t>
      </w:r>
    </w:p>
    <w:p w14:paraId="49AE7380" w14:textId="6AB8AA4A" w:rsidR="00F82C2D" w:rsidRPr="00697C6C" w:rsidRDefault="00F82C2D" w:rsidP="00F82C2D">
      <w:pPr>
        <w:rPr>
          <w:rFonts w:cs="Calibri"/>
          <w:kern w:val="28"/>
          <w:szCs w:val="24"/>
        </w:rPr>
      </w:pPr>
      <w:r w:rsidRPr="005E26D7">
        <w:rPr>
          <w:rFonts w:cs="Calibri"/>
          <w:kern w:val="28"/>
          <w:szCs w:val="24"/>
        </w:rPr>
        <w:t xml:space="preserve">Beginning in fiscal year 2024, HSIP funding will be distributed among FDOT Districts based on statutory formula to allow the Districts to have more clearly defined funding levels for which they can better plan to select and fund projects. MPOs and local agencies coordinate with FDOT Districts to identify and </w:t>
      </w:r>
      <w:r w:rsidRPr="00697C6C">
        <w:rPr>
          <w:rFonts w:cs="Calibri"/>
          <w:kern w:val="28"/>
          <w:szCs w:val="24"/>
        </w:rPr>
        <w:t xml:space="preserve">implement effective highway safety improvement projects on non-state roadways. </w:t>
      </w:r>
    </w:p>
    <w:p w14:paraId="4491DD93" w14:textId="77777777" w:rsidR="00F82C2D" w:rsidRPr="002A2891" w:rsidRDefault="00F82C2D" w:rsidP="00F82C2D">
      <w:pPr>
        <w:keepNext/>
        <w:tabs>
          <w:tab w:val="left" w:pos="2250"/>
        </w:tabs>
        <w:rPr>
          <w:rFonts w:cs="Calibri"/>
          <w:b/>
          <w:bCs/>
          <w:kern w:val="28"/>
          <w:szCs w:val="24"/>
          <w:u w:val="single"/>
        </w:rPr>
      </w:pPr>
      <w:r>
        <w:rPr>
          <w:rFonts w:cs="Calibri"/>
          <w:b/>
          <w:bCs/>
          <w:kern w:val="28"/>
          <w:szCs w:val="24"/>
          <w:u w:val="single"/>
        </w:rPr>
        <w:t xml:space="preserve">3.3.3 </w:t>
      </w:r>
      <w:r w:rsidRPr="002A2891">
        <w:rPr>
          <w:rFonts w:cs="Calibri"/>
          <w:b/>
          <w:bCs/>
          <w:kern w:val="28"/>
          <w:szCs w:val="24"/>
          <w:u w:val="single"/>
        </w:rPr>
        <w:t xml:space="preserve">Additional </w:t>
      </w:r>
      <w:r>
        <w:rPr>
          <w:rFonts w:cs="Calibri"/>
          <w:b/>
          <w:bCs/>
          <w:kern w:val="28"/>
          <w:szCs w:val="24"/>
          <w:u w:val="single"/>
        </w:rPr>
        <w:t xml:space="preserve">FDOT </w:t>
      </w:r>
      <w:r w:rsidRPr="002A2891">
        <w:rPr>
          <w:rFonts w:cs="Calibri"/>
          <w:b/>
          <w:bCs/>
          <w:kern w:val="28"/>
          <w:szCs w:val="24"/>
          <w:u w:val="single"/>
        </w:rPr>
        <w:t>Safety Planning</w:t>
      </w:r>
      <w:r>
        <w:rPr>
          <w:rFonts w:cs="Calibri"/>
          <w:b/>
          <w:bCs/>
          <w:kern w:val="28"/>
          <w:szCs w:val="24"/>
          <w:u w:val="single"/>
        </w:rPr>
        <w:t xml:space="preserve"> Activities</w:t>
      </w:r>
    </w:p>
    <w:p w14:paraId="2AEE35B5" w14:textId="0E55EA3C" w:rsidR="00F82C2D" w:rsidRPr="00697C6C" w:rsidRDefault="00F82C2D" w:rsidP="00F82C2D">
      <w:pPr>
        <w:rPr>
          <w:szCs w:val="24"/>
        </w:rPr>
      </w:pPr>
      <w:r w:rsidRPr="00697C6C">
        <w:rPr>
          <w:szCs w:val="24"/>
        </w:rPr>
        <w:t xml:space="preserve">In addition to HSIP, safety is considered as a factor in FDOT planning and priority setting for projects in preservation and capacity programs. Data is analyzed for each potential project, using traffic safety data and traffic demand modeling, among other data. The </w:t>
      </w:r>
      <w:hyperlink r:id="rId19" w:history="1">
        <w:r w:rsidRPr="00697C6C">
          <w:rPr>
            <w:rStyle w:val="Hyperlink"/>
            <w:szCs w:val="24"/>
          </w:rPr>
          <w:t>Florida PD&amp;E Manual</w:t>
        </w:r>
      </w:hyperlink>
      <w:r w:rsidRPr="00697C6C">
        <w:rPr>
          <w:szCs w:val="24"/>
        </w:rPr>
        <w:t xml:space="preserve"> requires the consideration of safety when preparing a proposed project’s purpose and need</w:t>
      </w:r>
      <w:r w:rsidR="00DA2F72">
        <w:rPr>
          <w:szCs w:val="24"/>
        </w:rPr>
        <w:t xml:space="preserve"> </w:t>
      </w:r>
      <w:r w:rsidRPr="00697C6C">
        <w:rPr>
          <w:szCs w:val="24"/>
        </w:rPr>
        <w:t xml:space="preserve">as part of the analysis of alternatives.  </w:t>
      </w:r>
      <w:r w:rsidRPr="00697C6C">
        <w:rPr>
          <w:rFonts w:cstheme="minorHAnsi"/>
          <w:bCs/>
          <w:szCs w:val="24"/>
        </w:rPr>
        <w:t xml:space="preserve">Florida design and construction standards include safety criteria and countermeasures, which are incorporated in every construction project. </w:t>
      </w:r>
      <w:r w:rsidRPr="00697C6C">
        <w:rPr>
          <w:szCs w:val="24"/>
        </w:rPr>
        <w:t>FDOT also recognizes the importance of the American Association of State Highway Transportation Official (AASHTO) Highway Safety Manual (HSM). Through dedicated and consistent training and messaging over the last several years, the HSM is now an integral part of project development and design</w:t>
      </w:r>
      <w:r w:rsidR="00C35C98" w:rsidRPr="00697C6C">
        <w:rPr>
          <w:szCs w:val="24"/>
        </w:rPr>
        <w:t xml:space="preserve">. </w:t>
      </w:r>
    </w:p>
    <w:p w14:paraId="0F8F2A69" w14:textId="77777777" w:rsidR="00F82C2D" w:rsidRPr="00697C6C" w:rsidRDefault="00F82C2D" w:rsidP="00F82C2D">
      <w:pPr>
        <w:rPr>
          <w:szCs w:val="24"/>
        </w:rPr>
      </w:pPr>
      <w:r w:rsidRPr="00697C6C">
        <w:rPr>
          <w:szCs w:val="24"/>
        </w:rPr>
        <w:t xml:space="preserve">FDOT holds Program Planning Workshops annually to determine the level of funding to be allocated over the next 5 to 10 years to preserve and provide for a safe transportation system. </w:t>
      </w:r>
      <w:r>
        <w:rPr>
          <w:szCs w:val="24"/>
        </w:rPr>
        <w:t>C</w:t>
      </w:r>
      <w:r w:rsidRPr="00697C6C">
        <w:rPr>
          <w:szCs w:val="24"/>
        </w:rPr>
        <w:t>ertain funding types are further analyzed and prioritized by FDOT Central Offices</w:t>
      </w:r>
      <w:r>
        <w:rPr>
          <w:szCs w:val="24"/>
        </w:rPr>
        <w:t xml:space="preserve">, after </w:t>
      </w:r>
      <w:r w:rsidRPr="00697C6C">
        <w:rPr>
          <w:szCs w:val="24"/>
        </w:rPr>
        <w:t xml:space="preserve">projects are prioritized collaboratively by the </w:t>
      </w:r>
      <w:r w:rsidRPr="00697C6C">
        <w:rPr>
          <w:szCs w:val="24"/>
        </w:rPr>
        <w:lastRenderedPageBreak/>
        <w:t>MPO</w:t>
      </w:r>
      <w:r>
        <w:rPr>
          <w:szCs w:val="24"/>
        </w:rPr>
        <w:t>s</w:t>
      </w:r>
      <w:r w:rsidRPr="00697C6C">
        <w:rPr>
          <w:szCs w:val="24"/>
        </w:rPr>
        <w:t>, local governments</w:t>
      </w:r>
      <w:r>
        <w:rPr>
          <w:szCs w:val="24"/>
        </w:rPr>
        <w:t>,</w:t>
      </w:r>
      <w:r w:rsidRPr="00697C6C">
        <w:rPr>
          <w:szCs w:val="24"/>
        </w:rPr>
        <w:t xml:space="preserve"> and FDOT </w:t>
      </w:r>
      <w:r>
        <w:rPr>
          <w:szCs w:val="24"/>
        </w:rPr>
        <w:t>D</w:t>
      </w:r>
      <w:r w:rsidRPr="00697C6C">
        <w:rPr>
          <w:szCs w:val="24"/>
        </w:rPr>
        <w:t xml:space="preserve">istricts; for example, the Safety Office is responsible for the HSIP and Highway Safety Program (HSP) and the Systems Implementation Office is responsible for the Strategic Intermodal System (SIS). Both the Safety and SIS programs consider the reduction of traffic fatalities and serious injuries in their criteria for ranking projects. </w:t>
      </w:r>
    </w:p>
    <w:p w14:paraId="025AC6D4" w14:textId="6237A8D9" w:rsidR="00F82C2D" w:rsidRDefault="00F82C2D" w:rsidP="00F82C2D">
      <w:pPr>
        <w:pStyle w:val="Heading2"/>
        <w:rPr>
          <w:rFonts w:cs="Calibri"/>
          <w:kern w:val="28"/>
          <w:sz w:val="24"/>
          <w:szCs w:val="24"/>
        </w:rPr>
      </w:pPr>
      <w:bookmarkStart w:id="10" w:name="_Toc126264196"/>
      <w:bookmarkStart w:id="11" w:name="_Hlk67150626"/>
      <w:r>
        <w:t>3.4 Safety Investments in the TIP</w:t>
      </w:r>
      <w:bookmarkEnd w:id="10"/>
    </w:p>
    <w:p w14:paraId="6F8A6DD5" w14:textId="77777777" w:rsidR="00F82C2D" w:rsidRDefault="00F82C2D" w:rsidP="00F82C2D">
      <w:pPr>
        <w:rPr>
          <w:rFonts w:cs="Calibri"/>
          <w:bCs/>
          <w:color w:val="000000"/>
          <w:kern w:val="36"/>
          <w:szCs w:val="24"/>
          <w:highlight w:val="yellow"/>
        </w:rPr>
      </w:pPr>
      <w:r w:rsidRPr="00BB3F9B">
        <w:rPr>
          <w:rFonts w:cs="Calibri"/>
          <w:bCs/>
          <w:color w:val="000000"/>
          <w:kern w:val="36"/>
          <w:szCs w:val="24"/>
          <w:highlight w:val="yellow"/>
        </w:rPr>
        <w:t xml:space="preserve">[The TIP document must include a written narrative describing the anticipated effect of the TIP toward achieving the targets, linking investment priorities to those performance targets. MPOs </w:t>
      </w:r>
      <w:r>
        <w:rPr>
          <w:rFonts w:cs="Calibri"/>
          <w:bCs/>
          <w:color w:val="000000"/>
          <w:kern w:val="36"/>
          <w:szCs w:val="24"/>
          <w:highlight w:val="yellow"/>
        </w:rPr>
        <w:t>sh</w:t>
      </w:r>
      <w:r w:rsidRPr="00BB3F9B">
        <w:rPr>
          <w:rFonts w:cs="Calibri"/>
          <w:bCs/>
          <w:color w:val="000000"/>
          <w:kern w:val="36"/>
          <w:szCs w:val="24"/>
          <w:highlight w:val="yellow"/>
        </w:rPr>
        <w:t>ould address this requirement by describing how the TIP implements goals, objectives, strategies, and investment priorities from other performance-based plans and processes (</w:t>
      </w:r>
      <w:r>
        <w:rPr>
          <w:rFonts w:cs="Calibri"/>
          <w:bCs/>
          <w:color w:val="000000"/>
          <w:kern w:val="36"/>
          <w:szCs w:val="24"/>
          <w:highlight w:val="yellow"/>
        </w:rPr>
        <w:t xml:space="preserve">i.e., </w:t>
      </w:r>
      <w:r w:rsidRPr="00BB3F9B">
        <w:rPr>
          <w:rFonts w:cs="Calibri"/>
          <w:bCs/>
          <w:color w:val="000000"/>
          <w:kern w:val="36"/>
          <w:szCs w:val="24"/>
          <w:highlight w:val="yellow"/>
        </w:rPr>
        <w:t>the HSIP and SHSP).</w:t>
      </w:r>
    </w:p>
    <w:p w14:paraId="2CA474C6" w14:textId="77777777" w:rsidR="00F82C2D" w:rsidRDefault="00F82C2D" w:rsidP="00F82C2D">
      <w:pPr>
        <w:rPr>
          <w:rFonts w:cs="Calibri"/>
          <w:bCs/>
          <w:color w:val="000000"/>
          <w:kern w:val="36"/>
          <w:szCs w:val="24"/>
          <w:highlight w:val="yellow"/>
        </w:rPr>
      </w:pPr>
      <w:r w:rsidRPr="00BB3F9B">
        <w:rPr>
          <w:rFonts w:cs="Calibri"/>
          <w:bCs/>
          <w:color w:val="000000"/>
          <w:kern w:val="36"/>
          <w:szCs w:val="24"/>
          <w:highlight w:val="yellow"/>
        </w:rPr>
        <w:t xml:space="preserve">The MPO should </w:t>
      </w:r>
      <w:r>
        <w:rPr>
          <w:rFonts w:cs="Calibri"/>
          <w:bCs/>
          <w:color w:val="000000"/>
          <w:kern w:val="36"/>
          <w:szCs w:val="24"/>
          <w:highlight w:val="yellow"/>
        </w:rPr>
        <w:t>include the following information as applicable:</w:t>
      </w:r>
    </w:p>
    <w:p w14:paraId="3C20AC2B" w14:textId="78C59207" w:rsidR="00F82C2D" w:rsidRPr="00A42AD4" w:rsidRDefault="00F82C2D" w:rsidP="0000371F">
      <w:pPr>
        <w:pStyle w:val="ListBullet"/>
      </w:pPr>
      <w:r w:rsidRPr="00A42AD4">
        <w:rPr>
          <w:highlight w:val="yellow"/>
        </w:rPr>
        <w:t>Discuss safety programs included in the TIP and how they link to the LRTP and SHSP</w:t>
      </w:r>
      <w:r w:rsidR="00124F3A" w:rsidRPr="00A42AD4">
        <w:rPr>
          <w:highlight w:val="yellow"/>
        </w:rPr>
        <w:t xml:space="preserve">. </w:t>
      </w:r>
      <w:r w:rsidRPr="00A42AD4">
        <w:rPr>
          <w:highlight w:val="yellow"/>
        </w:rPr>
        <w:t>The text should give particular attention to programs consistent with the SHSP emphasis areas, as well as programs involving extensive partner input such as the Community Traffic Safety Team and the Safe Routes to Schools Team.</w:t>
      </w:r>
    </w:p>
    <w:p w14:paraId="4C79B819" w14:textId="159E1F22" w:rsidR="00F82C2D" w:rsidRPr="00A42AD4" w:rsidRDefault="00F82C2D" w:rsidP="0000371F">
      <w:pPr>
        <w:pStyle w:val="ListBullet"/>
      </w:pPr>
      <w:bookmarkStart w:id="12" w:name="_Hlk63056920"/>
      <w:r w:rsidRPr="00A42AD4">
        <w:rPr>
          <w:highlight w:val="yellow"/>
        </w:rPr>
        <w:t>Discuss the prioritization process used to select safety related investment priorities in the TIP, including how the safety performance measures are considered in this process</w:t>
      </w:r>
      <w:r w:rsidRPr="0025186F">
        <w:rPr>
          <w:highlight w:val="yellow"/>
        </w:rPr>
        <w:t xml:space="preserve">. </w:t>
      </w:r>
      <w:r w:rsidR="00471C4A" w:rsidRPr="0025186F">
        <w:rPr>
          <w:highlight w:val="yellow"/>
        </w:rPr>
        <w:t xml:space="preserve">This discussion could include both how </w:t>
      </w:r>
      <w:r w:rsidR="00A85BDE" w:rsidRPr="0025186F">
        <w:rPr>
          <w:highlight w:val="yellow"/>
        </w:rPr>
        <w:t>priorities are set for safety-specific programs</w:t>
      </w:r>
      <w:r w:rsidR="00AB583D" w:rsidRPr="0025186F">
        <w:rPr>
          <w:highlight w:val="yellow"/>
        </w:rPr>
        <w:t xml:space="preserve"> </w:t>
      </w:r>
      <w:r w:rsidR="002C010E" w:rsidRPr="0025186F">
        <w:rPr>
          <w:highlight w:val="yellow"/>
        </w:rPr>
        <w:t>(such as HSIP), as well as how safety is a factor in setting priorities for preservation and cap</w:t>
      </w:r>
      <w:r w:rsidR="00AB583D" w:rsidRPr="0025186F">
        <w:rPr>
          <w:highlight w:val="yellow"/>
        </w:rPr>
        <w:t>acity programs.</w:t>
      </w:r>
    </w:p>
    <w:p w14:paraId="7498860C" w14:textId="77777777" w:rsidR="00F82C2D" w:rsidRPr="00A42AD4" w:rsidRDefault="00F82C2D" w:rsidP="0000371F">
      <w:pPr>
        <w:pStyle w:val="ListBullet"/>
      </w:pPr>
      <w:r w:rsidRPr="00A42AD4">
        <w:rPr>
          <w:highlight w:val="yellow"/>
        </w:rPr>
        <w:t>Reference safety data used in the decision-making process. For example, some project types, based on research, are anticipated to have a specific quantifiable effect (e.g., roundabouts, pedestrian beacons).</w:t>
      </w:r>
      <w:r w:rsidRPr="00A42AD4">
        <w:t xml:space="preserve"> </w:t>
      </w:r>
    </w:p>
    <w:p w14:paraId="1A5B7AF0" w14:textId="77777777" w:rsidR="00F82C2D" w:rsidRPr="00A42AD4" w:rsidRDefault="00F82C2D" w:rsidP="0000371F">
      <w:pPr>
        <w:pStyle w:val="ListBullet"/>
      </w:pPr>
      <w:r w:rsidRPr="00A42AD4">
        <w:rPr>
          <w:highlight w:val="yellow"/>
        </w:rPr>
        <w:t>Compare current levels of funding for specific safety-related projects to previous funding, and/or compare the number of specific safety-related project types to the current number of projects of the same type.</w:t>
      </w:r>
      <w:r w:rsidRPr="00A42AD4">
        <w:t xml:space="preserve"> </w:t>
      </w:r>
    </w:p>
    <w:p w14:paraId="42881756" w14:textId="77777777" w:rsidR="00F82C2D" w:rsidRPr="00A42AD4" w:rsidRDefault="00F82C2D" w:rsidP="0000371F">
      <w:pPr>
        <w:pStyle w:val="ListBullet"/>
      </w:pPr>
      <w:r w:rsidRPr="00A42AD4">
        <w:rPr>
          <w:highlight w:val="yellow"/>
        </w:rPr>
        <w:t xml:space="preserve">Identify examples of safety projects that address the most problematic locations in the MPO area. </w:t>
      </w:r>
      <w:bookmarkEnd w:id="12"/>
      <w:r w:rsidRPr="00A42AD4">
        <w:rPr>
          <w:highlight w:val="yellow"/>
        </w:rPr>
        <w:t xml:space="preserve">The MPO can provide information on HSIP projects and associated funding from the most recent HSIP Annual Report. </w:t>
      </w:r>
    </w:p>
    <w:p w14:paraId="79F42963" w14:textId="77777777" w:rsidR="00F82C2D" w:rsidRDefault="00F82C2D" w:rsidP="00F82C2D">
      <w:pPr>
        <w:rPr>
          <w:rFonts w:cs="Calibri"/>
          <w:bCs/>
          <w:color w:val="000000"/>
          <w:kern w:val="36"/>
          <w:szCs w:val="24"/>
          <w:highlight w:val="yellow"/>
        </w:rPr>
      </w:pPr>
      <w:r>
        <w:rPr>
          <w:rFonts w:cs="Calibri"/>
          <w:bCs/>
          <w:color w:val="000000"/>
          <w:kern w:val="36"/>
          <w:szCs w:val="24"/>
          <w:highlight w:val="yellow"/>
        </w:rPr>
        <w:t xml:space="preserve">Examples are provided below. </w:t>
      </w:r>
      <w:r w:rsidRPr="00BB3F9B">
        <w:rPr>
          <w:rFonts w:cs="Calibri"/>
          <w:bCs/>
          <w:color w:val="000000"/>
          <w:kern w:val="36"/>
          <w:szCs w:val="24"/>
          <w:highlight w:val="yellow"/>
        </w:rPr>
        <w:t xml:space="preserve">Note that MPOs are </w:t>
      </w:r>
      <w:r>
        <w:rPr>
          <w:rFonts w:cs="Calibri"/>
          <w:bCs/>
          <w:color w:val="000000"/>
          <w:kern w:val="36"/>
          <w:szCs w:val="24"/>
          <w:highlight w:val="yellow"/>
        </w:rPr>
        <w:t xml:space="preserve">not </w:t>
      </w:r>
      <w:r w:rsidRPr="00BB3F9B">
        <w:rPr>
          <w:rFonts w:cs="Calibri"/>
          <w:bCs/>
          <w:color w:val="000000"/>
          <w:kern w:val="36"/>
          <w:szCs w:val="24"/>
          <w:highlight w:val="yellow"/>
        </w:rPr>
        <w:t xml:space="preserve">required to describe the anticipated effect </w:t>
      </w:r>
      <w:r>
        <w:rPr>
          <w:rFonts w:cs="Calibri"/>
          <w:bCs/>
          <w:color w:val="000000"/>
          <w:kern w:val="36"/>
          <w:szCs w:val="24"/>
          <w:highlight w:val="yellow"/>
        </w:rPr>
        <w:t xml:space="preserve">of </w:t>
      </w:r>
      <w:r w:rsidRPr="00BB3F9B">
        <w:rPr>
          <w:rFonts w:cs="Calibri"/>
          <w:bCs/>
          <w:color w:val="000000"/>
          <w:kern w:val="36"/>
          <w:szCs w:val="24"/>
          <w:highlight w:val="yellow"/>
        </w:rPr>
        <w:t>individual projects in the TIP</w:t>
      </w:r>
      <w:r>
        <w:rPr>
          <w:rFonts w:cs="Calibri"/>
          <w:bCs/>
          <w:color w:val="000000"/>
          <w:kern w:val="36"/>
          <w:szCs w:val="24"/>
          <w:highlight w:val="yellow"/>
        </w:rPr>
        <w:t xml:space="preserve"> on achieving the targets, but rather must describe the </w:t>
      </w:r>
      <w:r w:rsidRPr="00BB3F9B">
        <w:rPr>
          <w:rFonts w:cs="Calibri"/>
          <w:bCs/>
          <w:color w:val="000000"/>
          <w:kern w:val="36"/>
          <w:szCs w:val="24"/>
          <w:highlight w:val="yellow"/>
        </w:rPr>
        <w:t xml:space="preserve">collective </w:t>
      </w:r>
      <w:r>
        <w:rPr>
          <w:rFonts w:cs="Calibri"/>
          <w:bCs/>
          <w:color w:val="000000"/>
          <w:kern w:val="36"/>
          <w:szCs w:val="24"/>
          <w:highlight w:val="yellow"/>
        </w:rPr>
        <w:t xml:space="preserve">impact of the </w:t>
      </w:r>
      <w:r w:rsidRPr="00BB3F9B">
        <w:rPr>
          <w:rFonts w:cs="Calibri"/>
          <w:bCs/>
          <w:color w:val="000000"/>
          <w:kern w:val="36"/>
          <w:szCs w:val="24"/>
          <w:highlight w:val="yellow"/>
        </w:rPr>
        <w:t>program of project activities.</w:t>
      </w:r>
      <w:r>
        <w:rPr>
          <w:rFonts w:cs="Calibri"/>
          <w:bCs/>
          <w:color w:val="000000"/>
          <w:kern w:val="36"/>
          <w:szCs w:val="24"/>
          <w:highlight w:val="yellow"/>
        </w:rPr>
        <w:t>]</w:t>
      </w:r>
    </w:p>
    <w:p w14:paraId="26E4B16E" w14:textId="4E801AB7" w:rsidR="00F82C2D" w:rsidRPr="00B70E7B" w:rsidRDefault="00F82C2D" w:rsidP="00F82C2D">
      <w:pPr>
        <w:rPr>
          <w:rFonts w:cs="Calibri"/>
          <w:bCs/>
          <w:iCs/>
          <w:color w:val="000000"/>
          <w:kern w:val="36"/>
          <w:szCs w:val="24"/>
        </w:rPr>
      </w:pPr>
      <w:r w:rsidRPr="00B70E7B">
        <w:rPr>
          <w:rFonts w:cs="Calibri"/>
          <w:bCs/>
          <w:iCs/>
          <w:color w:val="000000"/>
          <w:kern w:val="36"/>
          <w:szCs w:val="24"/>
        </w:rPr>
        <w:t>The TIP includes projects that fall into specific investment priorities established by the MPO in the LRTP</w:t>
      </w:r>
      <w:r w:rsidR="00124F3A" w:rsidRPr="00B70E7B">
        <w:rPr>
          <w:rFonts w:cs="Calibri"/>
          <w:bCs/>
          <w:iCs/>
          <w:color w:val="000000"/>
          <w:kern w:val="36"/>
          <w:szCs w:val="24"/>
        </w:rPr>
        <w:t xml:space="preserve">. </w:t>
      </w:r>
      <w:r w:rsidRPr="00B70E7B">
        <w:rPr>
          <w:rFonts w:cs="Calibri"/>
          <w:bCs/>
          <w:iCs/>
          <w:color w:val="000000"/>
          <w:kern w:val="36"/>
          <w:szCs w:val="24"/>
        </w:rPr>
        <w:t>This includes safety programs such as:</w:t>
      </w:r>
    </w:p>
    <w:p w14:paraId="2E77832E" w14:textId="77777777" w:rsidR="00F82C2D" w:rsidRPr="00B70E7B" w:rsidRDefault="00F82C2D" w:rsidP="00F82C2D">
      <w:pPr>
        <w:rPr>
          <w:rFonts w:cs="Calibri"/>
          <w:bCs/>
          <w:i/>
          <w:color w:val="000000"/>
          <w:kern w:val="36"/>
          <w:szCs w:val="24"/>
          <w:highlight w:val="yellow"/>
        </w:rPr>
      </w:pPr>
      <w:r w:rsidRPr="00B70E7B">
        <w:rPr>
          <w:rFonts w:cs="Calibri"/>
          <w:bCs/>
          <w:i/>
          <w:color w:val="000000"/>
          <w:kern w:val="36"/>
          <w:szCs w:val="24"/>
          <w:highlight w:val="yellow"/>
        </w:rPr>
        <w:t>- List infrastructure examples: Installation of school flashing signals, roadway lighting, traffic calming, traffic signals, bike lanes, sidewalks.</w:t>
      </w:r>
    </w:p>
    <w:p w14:paraId="39F05AB9" w14:textId="77777777" w:rsidR="00F82C2D" w:rsidRDefault="00F82C2D" w:rsidP="00F82C2D">
      <w:pPr>
        <w:rPr>
          <w:rFonts w:cs="Calibri"/>
          <w:bCs/>
          <w:i/>
          <w:color w:val="000000"/>
          <w:kern w:val="36"/>
          <w:szCs w:val="24"/>
        </w:rPr>
      </w:pPr>
      <w:r w:rsidRPr="00B70E7B">
        <w:rPr>
          <w:rFonts w:cs="Calibri"/>
          <w:bCs/>
          <w:i/>
          <w:color w:val="000000"/>
          <w:kern w:val="36"/>
          <w:szCs w:val="24"/>
          <w:highlight w:val="yellow"/>
        </w:rPr>
        <w:t>- List behavioral safety examples: Safe Routes to Schools education/enforcement activities, pedestrian/bicycle safety education.</w:t>
      </w:r>
    </w:p>
    <w:bookmarkEnd w:id="11"/>
    <w:p w14:paraId="14A6BDAD" w14:textId="77777777" w:rsidR="00F82C2D" w:rsidRDefault="00F82C2D" w:rsidP="00F82C2D">
      <w:pPr>
        <w:rPr>
          <w:rFonts w:cs="Calibri"/>
          <w:bCs/>
          <w:color w:val="000000"/>
          <w:kern w:val="36"/>
          <w:szCs w:val="24"/>
          <w:highlight w:val="yellow"/>
        </w:rPr>
      </w:pPr>
    </w:p>
    <w:p w14:paraId="5BC750D1" w14:textId="13FF3661" w:rsidR="00F82C2D" w:rsidRDefault="00F82C2D" w:rsidP="00F82C2D">
      <w:pPr>
        <w:spacing w:after="200" w:line="276" w:lineRule="auto"/>
        <w:jc w:val="left"/>
        <w:rPr>
          <w:rFonts w:cs="Calibri"/>
          <w:bCs/>
          <w:color w:val="000000"/>
          <w:kern w:val="36"/>
          <w:szCs w:val="24"/>
          <w:highlight w:val="yellow"/>
        </w:rPr>
      </w:pPr>
    </w:p>
    <w:p w14:paraId="6DDDC31B" w14:textId="77777777" w:rsidR="00F82C2D" w:rsidRPr="008276C0" w:rsidRDefault="00F82C2D" w:rsidP="00F82C2D">
      <w:pPr>
        <w:pBdr>
          <w:top w:val="single" w:sz="4" w:space="1" w:color="auto"/>
          <w:left w:val="single" w:sz="4" w:space="4" w:color="auto"/>
          <w:bottom w:val="single" w:sz="4" w:space="1" w:color="auto"/>
          <w:right w:val="single" w:sz="4" w:space="4" w:color="auto"/>
        </w:pBdr>
        <w:rPr>
          <w:rFonts w:cs="Calibri"/>
          <w:bCs/>
          <w:color w:val="000000"/>
          <w:kern w:val="36"/>
          <w:szCs w:val="24"/>
        </w:rPr>
      </w:pPr>
      <w:r>
        <w:rPr>
          <w:rFonts w:cs="Calibri"/>
          <w:bCs/>
          <w:color w:val="000000"/>
          <w:kern w:val="36"/>
          <w:szCs w:val="24"/>
        </w:rPr>
        <w:t>E</w:t>
      </w:r>
      <w:r w:rsidRPr="008276C0">
        <w:rPr>
          <w:rFonts w:cs="Calibri"/>
          <w:bCs/>
          <w:color w:val="000000"/>
          <w:kern w:val="36"/>
          <w:szCs w:val="24"/>
        </w:rPr>
        <w:t>xample from a recent MetroPlan Orlando TIP:</w:t>
      </w:r>
      <w:r w:rsidRPr="008276C0">
        <w:rPr>
          <w:rStyle w:val="FootnoteReference"/>
          <w:rFonts w:cs="Calibri"/>
          <w:bCs/>
          <w:color w:val="000000"/>
          <w:kern w:val="36"/>
          <w:szCs w:val="24"/>
        </w:rPr>
        <w:footnoteReference w:id="5"/>
      </w:r>
    </w:p>
    <w:p w14:paraId="6F92D67F" w14:textId="5B305961" w:rsidR="00F82C2D" w:rsidRDefault="00F82C2D" w:rsidP="00F82C2D">
      <w:pPr>
        <w:pBdr>
          <w:top w:val="single" w:sz="4" w:space="1" w:color="auto"/>
          <w:left w:val="single" w:sz="4" w:space="4" w:color="auto"/>
          <w:bottom w:val="single" w:sz="4" w:space="1" w:color="auto"/>
          <w:right w:val="single" w:sz="4" w:space="4" w:color="auto"/>
        </w:pBdr>
        <w:rPr>
          <w:rFonts w:cs="Calibri"/>
          <w:i/>
          <w:kern w:val="28"/>
          <w:szCs w:val="24"/>
        </w:rPr>
      </w:pPr>
      <w:r w:rsidRPr="00E73419">
        <w:rPr>
          <w:rFonts w:cs="Calibri"/>
          <w:i/>
          <w:kern w:val="28"/>
          <w:szCs w:val="24"/>
        </w:rPr>
        <w:t xml:space="preserve">The TIP considers potential projects that fall into specific investment priorities established by the MPO in the </w:t>
      </w:r>
      <w:r>
        <w:rPr>
          <w:rFonts w:cs="Calibri"/>
          <w:i/>
          <w:kern w:val="28"/>
          <w:szCs w:val="24"/>
        </w:rPr>
        <w:t xml:space="preserve">Metropolitan </w:t>
      </w:r>
      <w:r w:rsidRPr="00E73419">
        <w:rPr>
          <w:rFonts w:cs="Calibri"/>
          <w:i/>
          <w:kern w:val="28"/>
          <w:szCs w:val="24"/>
        </w:rPr>
        <w:t>Transportation Plan (</w:t>
      </w:r>
      <w:r>
        <w:rPr>
          <w:rFonts w:cs="Calibri"/>
          <w:i/>
          <w:kern w:val="28"/>
          <w:szCs w:val="24"/>
        </w:rPr>
        <w:t>M</w:t>
      </w:r>
      <w:r w:rsidRPr="00E73419">
        <w:rPr>
          <w:rFonts w:cs="Calibri"/>
          <w:i/>
          <w:kern w:val="28"/>
          <w:szCs w:val="24"/>
        </w:rPr>
        <w:t>TP)</w:t>
      </w:r>
      <w:r w:rsidR="00124F3A">
        <w:rPr>
          <w:rFonts w:cs="Calibri"/>
          <w:i/>
          <w:kern w:val="28"/>
          <w:szCs w:val="24"/>
        </w:rPr>
        <w:t xml:space="preserve">. </w:t>
      </w:r>
      <w:r w:rsidRPr="00E73419">
        <w:rPr>
          <w:rFonts w:cs="Calibri"/>
          <w:i/>
          <w:kern w:val="28"/>
          <w:szCs w:val="24"/>
        </w:rPr>
        <w:t>For MetroPlan Orlando this includes Transportation System Management and Operations</w:t>
      </w:r>
      <w:r>
        <w:rPr>
          <w:rFonts w:cs="Calibri"/>
          <w:i/>
          <w:kern w:val="28"/>
          <w:szCs w:val="24"/>
        </w:rPr>
        <w:t xml:space="preserve"> </w:t>
      </w:r>
      <w:r w:rsidRPr="00E73419">
        <w:rPr>
          <w:rFonts w:cs="Calibri"/>
          <w:i/>
          <w:kern w:val="28"/>
          <w:szCs w:val="24"/>
        </w:rPr>
        <w:t>(TSMO) projects specifically related to improving safety such as traffic signal retiming, adding turn lanes at intersections,</w:t>
      </w:r>
      <w:r>
        <w:rPr>
          <w:rFonts w:cs="Calibri"/>
          <w:i/>
          <w:kern w:val="28"/>
          <w:szCs w:val="24"/>
        </w:rPr>
        <w:t xml:space="preserve"> </w:t>
      </w:r>
      <w:r w:rsidRPr="00E73419">
        <w:rPr>
          <w:rFonts w:cs="Calibri"/>
          <w:i/>
          <w:kern w:val="28"/>
          <w:szCs w:val="24"/>
        </w:rPr>
        <w:t xml:space="preserve">dynamic message signs, roadway lighting, </w:t>
      </w:r>
      <w:r w:rsidR="00124F3A" w:rsidRPr="00E73419">
        <w:rPr>
          <w:rFonts w:cs="Calibri"/>
          <w:i/>
          <w:kern w:val="28"/>
          <w:szCs w:val="24"/>
        </w:rPr>
        <w:t>etc</w:t>
      </w:r>
      <w:r w:rsidR="00124F3A">
        <w:rPr>
          <w:rFonts w:cs="Calibri"/>
          <w:i/>
          <w:kern w:val="28"/>
          <w:szCs w:val="24"/>
        </w:rPr>
        <w:t xml:space="preserve">. </w:t>
      </w:r>
      <w:r w:rsidRPr="00E73419">
        <w:rPr>
          <w:rFonts w:cs="Calibri"/>
          <w:i/>
          <w:kern w:val="28"/>
          <w:szCs w:val="24"/>
        </w:rPr>
        <w:t>MetroPlan Orlando’s TSMO Advisory Committee was established several</w:t>
      </w:r>
      <w:r>
        <w:rPr>
          <w:rFonts w:cs="Calibri"/>
          <w:i/>
          <w:kern w:val="28"/>
          <w:szCs w:val="24"/>
        </w:rPr>
        <w:t xml:space="preserve"> </w:t>
      </w:r>
      <w:r w:rsidRPr="00E73419">
        <w:rPr>
          <w:rFonts w:cs="Calibri"/>
          <w:i/>
          <w:kern w:val="28"/>
          <w:szCs w:val="24"/>
        </w:rPr>
        <w:t>years ago to focus on the planning and implementation of TSMO projects and to provide input to the MetroPlan Orlando</w:t>
      </w:r>
      <w:r>
        <w:rPr>
          <w:rFonts w:cs="Calibri"/>
          <w:i/>
          <w:kern w:val="28"/>
          <w:szCs w:val="24"/>
        </w:rPr>
        <w:t xml:space="preserve"> </w:t>
      </w:r>
      <w:r w:rsidRPr="00E73419">
        <w:rPr>
          <w:rFonts w:cs="Calibri"/>
          <w:i/>
          <w:kern w:val="28"/>
          <w:szCs w:val="24"/>
        </w:rPr>
        <w:t>Board on the prioritization of these projects.</w:t>
      </w:r>
      <w:r>
        <w:rPr>
          <w:rFonts w:cs="Calibri"/>
          <w:i/>
          <w:kern w:val="28"/>
          <w:szCs w:val="24"/>
        </w:rPr>
        <w:t xml:space="preserve"> The list of TSMO projects is shown in Section VII in the TIP.</w:t>
      </w:r>
    </w:p>
    <w:p w14:paraId="6F3BB15B" w14:textId="77777777" w:rsidR="00F82C2D" w:rsidRPr="00E73419" w:rsidRDefault="00F82C2D" w:rsidP="00F82C2D">
      <w:pPr>
        <w:pBdr>
          <w:top w:val="single" w:sz="4" w:space="1" w:color="auto"/>
          <w:left w:val="single" w:sz="4" w:space="4" w:color="auto"/>
          <w:bottom w:val="single" w:sz="4" w:space="1" w:color="auto"/>
          <w:right w:val="single" w:sz="4" w:space="4" w:color="auto"/>
        </w:pBdr>
        <w:rPr>
          <w:rFonts w:cs="Calibri"/>
          <w:i/>
          <w:kern w:val="28"/>
          <w:szCs w:val="24"/>
        </w:rPr>
      </w:pPr>
      <w:r w:rsidRPr="00E73419">
        <w:rPr>
          <w:rFonts w:cs="Calibri"/>
          <w:i/>
          <w:kern w:val="28"/>
          <w:szCs w:val="24"/>
        </w:rPr>
        <w:t>In addition, in 2017, MetroPlan Orlando received a grant of $11.9 million from FHWA as part of the Advanced Traffic and</w:t>
      </w:r>
      <w:r>
        <w:rPr>
          <w:rFonts w:cs="Calibri"/>
          <w:i/>
          <w:kern w:val="28"/>
          <w:szCs w:val="24"/>
        </w:rPr>
        <w:t xml:space="preserve"> </w:t>
      </w:r>
      <w:r w:rsidRPr="00E73419">
        <w:rPr>
          <w:rFonts w:cs="Calibri"/>
          <w:i/>
          <w:kern w:val="28"/>
          <w:szCs w:val="24"/>
        </w:rPr>
        <w:t>Congestion Management Technology Deployment program which is being used for the installation and operation of</w:t>
      </w:r>
      <w:r>
        <w:rPr>
          <w:rFonts w:cs="Calibri"/>
          <w:i/>
          <w:kern w:val="28"/>
          <w:szCs w:val="24"/>
        </w:rPr>
        <w:t xml:space="preserve"> </w:t>
      </w:r>
      <w:r w:rsidRPr="00E73419">
        <w:rPr>
          <w:rFonts w:cs="Calibri"/>
          <w:i/>
          <w:kern w:val="28"/>
          <w:szCs w:val="24"/>
        </w:rPr>
        <w:t>advanced transportation technologies to improve safety, efficiency and system performance in east Orange County near</w:t>
      </w:r>
      <w:r>
        <w:rPr>
          <w:rFonts w:cs="Calibri"/>
          <w:i/>
          <w:kern w:val="28"/>
          <w:szCs w:val="24"/>
        </w:rPr>
        <w:t xml:space="preserve"> </w:t>
      </w:r>
      <w:r w:rsidRPr="00E73419">
        <w:rPr>
          <w:rFonts w:cs="Calibri"/>
          <w:i/>
          <w:kern w:val="28"/>
          <w:szCs w:val="24"/>
        </w:rPr>
        <w:t>the University of Central Florida.</w:t>
      </w:r>
    </w:p>
    <w:p w14:paraId="600FED90" w14:textId="384E12B2" w:rsidR="00F82C2D" w:rsidRPr="00E73419" w:rsidRDefault="00F82C2D" w:rsidP="00F82C2D">
      <w:pPr>
        <w:pBdr>
          <w:top w:val="single" w:sz="4" w:space="1" w:color="auto"/>
          <w:left w:val="single" w:sz="4" w:space="4" w:color="auto"/>
          <w:bottom w:val="single" w:sz="4" w:space="1" w:color="auto"/>
          <w:right w:val="single" w:sz="4" w:space="4" w:color="auto"/>
        </w:pBdr>
        <w:rPr>
          <w:rFonts w:cs="Calibri"/>
          <w:i/>
          <w:kern w:val="28"/>
          <w:szCs w:val="24"/>
        </w:rPr>
      </w:pPr>
      <w:r w:rsidRPr="00E73419">
        <w:rPr>
          <w:rFonts w:cs="Calibri"/>
          <w:i/>
          <w:kern w:val="28"/>
          <w:szCs w:val="24"/>
        </w:rPr>
        <w:t>Improving bicycle and pedestrian safety is also a high priority in the MetroPlan Orlando region, and includes adding</w:t>
      </w:r>
      <w:r>
        <w:rPr>
          <w:rFonts w:cs="Calibri"/>
          <w:i/>
          <w:kern w:val="28"/>
          <w:szCs w:val="24"/>
        </w:rPr>
        <w:t xml:space="preserve"> </w:t>
      </w:r>
      <w:r w:rsidRPr="00E73419">
        <w:rPr>
          <w:rFonts w:cs="Calibri"/>
          <w:i/>
          <w:kern w:val="28"/>
          <w:szCs w:val="24"/>
        </w:rPr>
        <w:t>infrastructure such as sidewalks and bike lanes as well as conducting education programs on bicycle and pedestrian safety</w:t>
      </w:r>
      <w:r w:rsidR="00F864CD">
        <w:rPr>
          <w:rFonts w:cs="Calibri"/>
          <w:i/>
          <w:kern w:val="28"/>
          <w:szCs w:val="24"/>
        </w:rPr>
        <w:t xml:space="preserve">. </w:t>
      </w:r>
      <w:r w:rsidRPr="00E73419">
        <w:rPr>
          <w:rFonts w:cs="Calibri"/>
          <w:i/>
          <w:kern w:val="28"/>
          <w:szCs w:val="24"/>
        </w:rPr>
        <w:t>One example of this is the Best Foot Forward program which is a safety initiative designed to improve pedestrian safety</w:t>
      </w:r>
      <w:r>
        <w:rPr>
          <w:rFonts w:cs="Calibri"/>
          <w:i/>
          <w:kern w:val="28"/>
          <w:szCs w:val="24"/>
        </w:rPr>
        <w:t xml:space="preserve"> </w:t>
      </w:r>
      <w:r w:rsidRPr="00E73419">
        <w:rPr>
          <w:rFonts w:cs="Calibri"/>
          <w:i/>
          <w:kern w:val="28"/>
          <w:szCs w:val="24"/>
        </w:rPr>
        <w:t xml:space="preserve">through education, </w:t>
      </w:r>
      <w:r w:rsidR="00E91250" w:rsidRPr="00E73419">
        <w:rPr>
          <w:rFonts w:cs="Calibri"/>
          <w:i/>
          <w:kern w:val="28"/>
          <w:szCs w:val="24"/>
        </w:rPr>
        <w:t>engineering,</w:t>
      </w:r>
      <w:r w:rsidRPr="00E73419">
        <w:rPr>
          <w:rFonts w:cs="Calibri"/>
          <w:i/>
          <w:kern w:val="28"/>
          <w:szCs w:val="24"/>
        </w:rPr>
        <w:t xml:space="preserve"> and enforcement.</w:t>
      </w:r>
      <w:r>
        <w:rPr>
          <w:rFonts w:cs="Calibri"/>
          <w:i/>
          <w:kern w:val="28"/>
          <w:szCs w:val="24"/>
        </w:rPr>
        <w:t xml:space="preserve"> The list of bicycle and pedestrian projects is shown in Section IX in the TIP.</w:t>
      </w:r>
    </w:p>
    <w:p w14:paraId="15D2A44A" w14:textId="13C35CEB" w:rsidR="00F82C2D" w:rsidRDefault="00F82C2D" w:rsidP="00F82C2D">
      <w:pPr>
        <w:pBdr>
          <w:top w:val="single" w:sz="4" w:space="1" w:color="auto"/>
          <w:left w:val="single" w:sz="4" w:space="4" w:color="auto"/>
          <w:bottom w:val="single" w:sz="4" w:space="1" w:color="auto"/>
          <w:right w:val="single" w:sz="4" w:space="4" w:color="auto"/>
        </w:pBdr>
        <w:rPr>
          <w:rFonts w:cs="Calibri"/>
          <w:i/>
          <w:kern w:val="28"/>
          <w:szCs w:val="24"/>
        </w:rPr>
      </w:pPr>
      <w:r w:rsidRPr="00E73419">
        <w:rPr>
          <w:rFonts w:cs="Calibri"/>
          <w:i/>
          <w:kern w:val="28"/>
          <w:szCs w:val="24"/>
        </w:rPr>
        <w:t>In recent years, MetroPlan Orlando and its partner jurisdictions and agencies have emphasized the implementation of</w:t>
      </w:r>
      <w:r>
        <w:rPr>
          <w:rFonts w:cs="Calibri"/>
          <w:i/>
          <w:kern w:val="28"/>
          <w:szCs w:val="24"/>
        </w:rPr>
        <w:t xml:space="preserve"> </w:t>
      </w:r>
      <w:r w:rsidRPr="00E73419">
        <w:rPr>
          <w:rFonts w:cs="Calibri"/>
          <w:i/>
          <w:kern w:val="28"/>
          <w:szCs w:val="24"/>
        </w:rPr>
        <w:t>Complete Streets projects in the region</w:t>
      </w:r>
      <w:r w:rsidR="00E91250">
        <w:rPr>
          <w:rFonts w:cs="Calibri"/>
          <w:i/>
          <w:kern w:val="28"/>
          <w:szCs w:val="24"/>
        </w:rPr>
        <w:t xml:space="preserve">. </w:t>
      </w:r>
      <w:r w:rsidRPr="00E73419">
        <w:rPr>
          <w:rFonts w:cs="Calibri"/>
          <w:i/>
          <w:kern w:val="28"/>
          <w:szCs w:val="24"/>
        </w:rPr>
        <w:t>These projects can include a combination of adding bicycle and pedestrian facilities,</w:t>
      </w:r>
      <w:r>
        <w:rPr>
          <w:rFonts w:cs="Calibri"/>
          <w:i/>
          <w:kern w:val="28"/>
          <w:szCs w:val="24"/>
        </w:rPr>
        <w:t xml:space="preserve"> </w:t>
      </w:r>
      <w:r w:rsidRPr="00E73419">
        <w:rPr>
          <w:rFonts w:cs="Calibri"/>
          <w:i/>
          <w:kern w:val="28"/>
          <w:szCs w:val="24"/>
        </w:rPr>
        <w:t>transit improvements such as bus pull-out</w:t>
      </w:r>
      <w:r w:rsidR="003E4B3D">
        <w:rPr>
          <w:rFonts w:cs="Calibri"/>
          <w:i/>
          <w:kern w:val="28"/>
          <w:szCs w:val="24"/>
        </w:rPr>
        <w:t>s</w:t>
      </w:r>
      <w:r w:rsidRPr="00E73419">
        <w:rPr>
          <w:rFonts w:cs="Calibri"/>
          <w:i/>
          <w:kern w:val="28"/>
          <w:szCs w:val="24"/>
        </w:rPr>
        <w:t>, and intersection improvements that are designed to improve traffic flow</w:t>
      </w:r>
      <w:r>
        <w:rPr>
          <w:rFonts w:cs="Calibri"/>
          <w:i/>
          <w:kern w:val="28"/>
          <w:szCs w:val="24"/>
        </w:rPr>
        <w:t xml:space="preserve"> </w:t>
      </w:r>
      <w:r w:rsidRPr="00E73419">
        <w:rPr>
          <w:rFonts w:cs="Calibri"/>
          <w:i/>
          <w:kern w:val="28"/>
          <w:szCs w:val="24"/>
        </w:rPr>
        <w:t>and safety along existing roadways without adding capacity.</w:t>
      </w:r>
    </w:p>
    <w:p w14:paraId="4CF56780" w14:textId="77777777" w:rsidR="00F82C2D" w:rsidRDefault="00F82C2D" w:rsidP="00F82C2D">
      <w:pPr>
        <w:rPr>
          <w:rFonts w:cs="Calibri"/>
          <w:iCs/>
          <w:kern w:val="28"/>
          <w:szCs w:val="24"/>
        </w:rPr>
      </w:pPr>
    </w:p>
    <w:p w14:paraId="7D907150" w14:textId="77777777" w:rsidR="00F82C2D" w:rsidRPr="00205447" w:rsidRDefault="00F82C2D" w:rsidP="00F82C2D">
      <w:pPr>
        <w:pBdr>
          <w:top w:val="single" w:sz="4" w:space="1" w:color="auto"/>
          <w:left w:val="single" w:sz="4" w:space="4" w:color="auto"/>
          <w:bottom w:val="single" w:sz="4" w:space="1" w:color="auto"/>
          <w:right w:val="single" w:sz="4" w:space="4" w:color="auto"/>
        </w:pBdr>
        <w:rPr>
          <w:rFonts w:cs="Calibri"/>
          <w:iCs/>
          <w:kern w:val="28"/>
          <w:szCs w:val="24"/>
        </w:rPr>
      </w:pPr>
      <w:r>
        <w:rPr>
          <w:rFonts w:cs="Calibri"/>
          <w:iCs/>
          <w:kern w:val="28"/>
          <w:szCs w:val="24"/>
        </w:rPr>
        <w:t>Example from the River to Sea TPO TIP:</w:t>
      </w:r>
      <w:r>
        <w:rPr>
          <w:rStyle w:val="FootnoteReference"/>
          <w:rFonts w:cs="Calibri"/>
          <w:iCs/>
          <w:kern w:val="28"/>
          <w:szCs w:val="24"/>
        </w:rPr>
        <w:footnoteReference w:id="6"/>
      </w:r>
    </w:p>
    <w:p w14:paraId="295805C5" w14:textId="73C3189D" w:rsidR="00F82C2D" w:rsidRPr="00205447" w:rsidRDefault="00F82C2D" w:rsidP="00F82C2D">
      <w:pPr>
        <w:pBdr>
          <w:top w:val="single" w:sz="4" w:space="1" w:color="auto"/>
          <w:left w:val="single" w:sz="4" w:space="4" w:color="auto"/>
          <w:bottom w:val="single" w:sz="4" w:space="1" w:color="auto"/>
          <w:right w:val="single" w:sz="4" w:space="4" w:color="auto"/>
        </w:pBdr>
        <w:rPr>
          <w:rFonts w:cs="Calibri"/>
          <w:i/>
          <w:kern w:val="28"/>
          <w:szCs w:val="24"/>
        </w:rPr>
      </w:pPr>
      <w:r w:rsidRPr="00205447">
        <w:rPr>
          <w:rFonts w:cs="Calibri"/>
          <w:i/>
          <w:kern w:val="28"/>
          <w:szCs w:val="24"/>
        </w:rPr>
        <w:t xml:space="preserve">The River to Sea TPO has had a longstanding commitment to improving transportation safety, which is demonstrated through planning and programming activities. Activities included in the Unified Planning Work Program such as the completion of school safety studies for all elementary and middle schools within the planning area, pedestrian law enforcement training and exercises, health and safety partnerships with local agencies, participation on the Community Traffic Safety Teams and helmet distribution programs have led to increased safety awareness and project specific recommendations to reduce injuries and fatalities throughout the planning area. </w:t>
      </w:r>
    </w:p>
    <w:p w14:paraId="53601F9B" w14:textId="62098BA7" w:rsidR="005310BA" w:rsidRDefault="00F82C2D" w:rsidP="00F82C2D">
      <w:pPr>
        <w:pBdr>
          <w:top w:val="single" w:sz="4" w:space="1" w:color="auto"/>
          <w:left w:val="single" w:sz="4" w:space="4" w:color="auto"/>
          <w:bottom w:val="single" w:sz="4" w:space="1" w:color="auto"/>
          <w:right w:val="single" w:sz="4" w:space="4" w:color="auto"/>
        </w:pBdr>
        <w:rPr>
          <w:rFonts w:cs="Calibri"/>
          <w:i/>
          <w:kern w:val="28"/>
          <w:szCs w:val="24"/>
        </w:rPr>
      </w:pPr>
      <w:r w:rsidRPr="00205447">
        <w:rPr>
          <w:rFonts w:cs="Calibri"/>
          <w:i/>
          <w:kern w:val="28"/>
          <w:szCs w:val="24"/>
        </w:rPr>
        <w:t xml:space="preserve">In order to achieve the reduction established by the safety targets, the TPO has evaluated projects that fall into specific investment categories established by the MPO in the project application, evaluation, and ranking process. All new projects added to the TIP by the TPO that will improve safety and help the TPO reach its safety targets include a statement to that effect. </w:t>
      </w:r>
    </w:p>
    <w:p w14:paraId="30E22C36" w14:textId="1D4EAF5C" w:rsidR="00F82C2D" w:rsidRDefault="00F82C2D" w:rsidP="00F82C2D">
      <w:pPr>
        <w:pBdr>
          <w:top w:val="single" w:sz="4" w:space="1" w:color="auto"/>
          <w:left w:val="single" w:sz="4" w:space="4" w:color="auto"/>
          <w:bottom w:val="single" w:sz="4" w:space="1" w:color="auto"/>
          <w:right w:val="single" w:sz="4" w:space="4" w:color="auto"/>
        </w:pBdr>
        <w:rPr>
          <w:rFonts w:cs="Calibri"/>
          <w:i/>
          <w:kern w:val="28"/>
          <w:szCs w:val="24"/>
        </w:rPr>
      </w:pPr>
      <w:r w:rsidRPr="00205447">
        <w:rPr>
          <w:rFonts w:cs="Calibri"/>
          <w:i/>
          <w:kern w:val="28"/>
          <w:szCs w:val="24"/>
        </w:rPr>
        <w:lastRenderedPageBreak/>
        <w:t>The TPO also reviewed safety-related projects that have been identified and added to the work program and TIP by other agencies such as Bicycle and Pedestrian Safety, Lighting projects, Safe Routes to School projects, and Community Traffic Safety Team initiatives. The TPO is very supportive of all agencies that seek to improve transportation safety and we will continue to work with those agencies to understand their selection methodology and to ensure they conform to guidance issued by federal and state agencies.</w:t>
      </w:r>
    </w:p>
    <w:p w14:paraId="0D6FE25B" w14:textId="51108C4D" w:rsidR="00F82C2D" w:rsidRPr="001F46E4" w:rsidRDefault="001F46E4" w:rsidP="00F82C2D">
      <w:pPr>
        <w:pBdr>
          <w:top w:val="single" w:sz="4" w:space="1" w:color="auto"/>
          <w:left w:val="single" w:sz="4" w:space="4" w:color="auto"/>
          <w:bottom w:val="single" w:sz="4" w:space="1" w:color="auto"/>
          <w:right w:val="single" w:sz="4" w:space="4" w:color="auto"/>
        </w:pBdr>
        <w:rPr>
          <w:rFonts w:cs="Calibri"/>
          <w:i/>
          <w:kern w:val="28"/>
          <w:szCs w:val="24"/>
        </w:rPr>
      </w:pPr>
      <w:r w:rsidRPr="0000371F">
        <w:rPr>
          <w:i/>
          <w:iCs/>
          <w:szCs w:val="24"/>
        </w:rPr>
        <w:t xml:space="preserve">This TIP includes specific investment priorities that support all of the TPO’s goals including safety, using a prioritization and project selection process established previously in the LRTP. The LRTP is currently being updated by the TPO and the role of Transportation Performance Management and safety in particular will be an emphasis area in the development of that plan. The TPO’s goal of reducing fatal and serious injury crashes is linked to this investment plan and the process used in prioritizing the projects is consistent with federal requirements. The TPO has long utilized an annual project ranking criteria that identifies and prioritizes projects aimed at improving transportation safety. The ranking criteria are included in the appendices of this TIP. Going forward, the project evaluation and prioritization process will continue to use a data-driven strategy that considers stakeholder input to evaluate projects that have an anticipated effect of reducing both fatal and injury crashes. The TPO’s goal of reducing fatal and serious injury crashes is linked to the TIP and the process used in prioritizing the projects is consistent with federal requirements. </w:t>
      </w:r>
    </w:p>
    <w:p w14:paraId="184B6ED0" w14:textId="77777777" w:rsidR="00F82C2D" w:rsidRPr="00B67F54" w:rsidRDefault="00F82C2D" w:rsidP="00F82C2D">
      <w:pPr>
        <w:rPr>
          <w:rFonts w:cs="Calibri"/>
          <w:bCs/>
          <w:color w:val="000000"/>
          <w:kern w:val="36"/>
          <w:szCs w:val="24"/>
        </w:rPr>
      </w:pPr>
    </w:p>
    <w:p w14:paraId="20E6EC6B" w14:textId="66A32E3D" w:rsidR="00F82C2D" w:rsidRPr="00E965A2" w:rsidRDefault="00F82C2D" w:rsidP="00F82C2D">
      <w:pPr>
        <w:pBdr>
          <w:top w:val="single" w:sz="4" w:space="1" w:color="auto"/>
          <w:left w:val="single" w:sz="4" w:space="4" w:color="auto"/>
          <w:bottom w:val="single" w:sz="4" w:space="1" w:color="auto"/>
          <w:right w:val="single" w:sz="4" w:space="4" w:color="auto"/>
        </w:pBdr>
        <w:jc w:val="left"/>
        <w:rPr>
          <w:rFonts w:cs="Calibri"/>
          <w:bCs/>
          <w:color w:val="000000"/>
          <w:kern w:val="36"/>
          <w:szCs w:val="24"/>
        </w:rPr>
      </w:pPr>
      <w:r w:rsidRPr="00E965A2">
        <w:rPr>
          <w:rFonts w:cs="Calibri"/>
          <w:bCs/>
          <w:color w:val="000000"/>
          <w:kern w:val="36"/>
          <w:szCs w:val="24"/>
        </w:rPr>
        <w:t>Example from the Broward MPO TIP:</w:t>
      </w:r>
      <w:r w:rsidR="001A71A9">
        <w:rPr>
          <w:rStyle w:val="FootnoteReference"/>
          <w:rFonts w:cs="Calibri"/>
          <w:bCs/>
          <w:color w:val="000000"/>
          <w:kern w:val="36"/>
          <w:szCs w:val="24"/>
        </w:rPr>
        <w:footnoteReference w:id="7"/>
      </w:r>
    </w:p>
    <w:p w14:paraId="401482B2" w14:textId="6E764FBC" w:rsidR="000851E7" w:rsidRPr="00B35143" w:rsidRDefault="00926A35" w:rsidP="00F82C2D">
      <w:pPr>
        <w:pBdr>
          <w:top w:val="single" w:sz="4" w:space="1" w:color="auto"/>
          <w:left w:val="single" w:sz="4" w:space="4" w:color="auto"/>
          <w:bottom w:val="single" w:sz="4" w:space="1" w:color="auto"/>
          <w:right w:val="single" w:sz="4" w:space="4" w:color="auto"/>
        </w:pBdr>
        <w:jc w:val="left"/>
        <w:rPr>
          <w:rFonts w:cs="Calibri"/>
          <w:i/>
          <w:iCs/>
          <w:kern w:val="28"/>
          <w:szCs w:val="24"/>
        </w:rPr>
      </w:pPr>
      <w:r w:rsidRPr="0000371F">
        <w:rPr>
          <w:i/>
          <w:iCs/>
          <w:szCs w:val="24"/>
        </w:rPr>
        <w:t xml:space="preserve">The MPO considers safety as a planning factor in the project selection process. One goal of the 2045 MTP is to reduce accidents, injuries, and fatalities. The MTP strengthened the connection between its spending and safety performance by continuing the CSMP, the CSLIP, and introduced the TSMO and safety program, which aim to improve safety of the transportation system. For example, Safety accounts for 20% of the CSLIP selection criteria. As part of the MTP and TIP, the MPO allocates a large portion of its discretionary funds to 37 these programs. Projects identified in these programs have been funded through the TIP. </w:t>
      </w:r>
    </w:p>
    <w:p w14:paraId="32119E8A" w14:textId="6A74F96F" w:rsidR="00926A35" w:rsidRPr="00B35143" w:rsidRDefault="00926A35" w:rsidP="00F82C2D">
      <w:pPr>
        <w:pBdr>
          <w:top w:val="single" w:sz="4" w:space="1" w:color="auto"/>
          <w:left w:val="single" w:sz="4" w:space="4" w:color="auto"/>
          <w:bottom w:val="single" w:sz="4" w:space="1" w:color="auto"/>
          <w:right w:val="single" w:sz="4" w:space="4" w:color="auto"/>
        </w:pBdr>
        <w:jc w:val="left"/>
        <w:rPr>
          <w:rFonts w:cs="Calibri"/>
          <w:i/>
          <w:iCs/>
          <w:kern w:val="28"/>
          <w:szCs w:val="24"/>
        </w:rPr>
      </w:pPr>
      <w:r w:rsidRPr="0000371F">
        <w:rPr>
          <w:i/>
          <w:iCs/>
          <w:szCs w:val="24"/>
        </w:rPr>
        <w:t>The TIP includes specific investment priorities that support all of the MPO’s goals including safety, using a prioritization, and project selection process established in the MTP. This process evaluates projects that have an anticipated effect of reducing both fatal and injury crashes. The MPO’s goal of reducing fatal and serious injury crashes is linked to this investment plan and the process used in prioritizing the projects is consistent with federal requirements. The TIP prioritization process uses stakeholder input as a criterion to evaluate projects that have an anticipated effect of reducing both fatal and injury crashes. The MPO’s goal of reducing fatal and serious injury crashes is linked to the TIP and the process used in prioritizing the projects is consistent with federal requirements.</w:t>
      </w:r>
    </w:p>
    <w:p w14:paraId="24BD72A3" w14:textId="4B45FFB2" w:rsidR="00315F4F" w:rsidRPr="00B35143" w:rsidRDefault="00315F4F" w:rsidP="00F82C2D">
      <w:pPr>
        <w:pBdr>
          <w:top w:val="single" w:sz="4" w:space="1" w:color="auto"/>
          <w:left w:val="single" w:sz="4" w:space="4" w:color="auto"/>
          <w:bottom w:val="single" w:sz="4" w:space="1" w:color="auto"/>
          <w:right w:val="single" w:sz="4" w:space="4" w:color="auto"/>
        </w:pBdr>
        <w:jc w:val="left"/>
        <w:rPr>
          <w:rFonts w:cs="Calibri"/>
          <w:i/>
          <w:iCs/>
          <w:kern w:val="28"/>
          <w:szCs w:val="24"/>
        </w:rPr>
      </w:pPr>
      <w:r w:rsidRPr="0000371F">
        <w:rPr>
          <w:i/>
          <w:iCs/>
          <w:szCs w:val="24"/>
        </w:rPr>
        <w:t xml:space="preserve">The program of projects identified through this process are anticipated to contribute toward achievement of the safety targets. The safety infrastructure investments are targeted at specific opportunities to improve safety. For example, additional roadway lighting at intersections will improve pedestrian visibility to drivers. In addition to the specific safety programs included in the TIP, other programs also consider safety as a key factor. Safety impacts are considered in the evaluation of proposed preservation, capacity, and operations projects, including projects on Florida’s Strategic Intermodal System as well as regionally significant facilities identified in the MTP. </w:t>
      </w:r>
    </w:p>
    <w:p w14:paraId="04D49D8D" w14:textId="77777777" w:rsidR="00977AB1" w:rsidRPr="0000371F" w:rsidRDefault="00977AB1" w:rsidP="00F82C2D">
      <w:pPr>
        <w:pBdr>
          <w:top w:val="single" w:sz="4" w:space="1" w:color="auto"/>
          <w:left w:val="single" w:sz="4" w:space="4" w:color="auto"/>
          <w:bottom w:val="single" w:sz="4" w:space="1" w:color="auto"/>
          <w:right w:val="single" w:sz="4" w:space="4" w:color="auto"/>
        </w:pBdr>
        <w:jc w:val="left"/>
        <w:rPr>
          <w:i/>
          <w:iCs/>
          <w:szCs w:val="24"/>
        </w:rPr>
      </w:pPr>
      <w:r w:rsidRPr="0000371F">
        <w:rPr>
          <w:i/>
          <w:iCs/>
          <w:szCs w:val="24"/>
        </w:rPr>
        <w:lastRenderedPageBreak/>
        <w:t xml:space="preserve">The TIP FY 2023 to 2027 includes 140 projects that improve safety conditions County-wide, totaling $350 million. These projects fall in the following categories. The MPO continues monitoring investments in the TIP and demonstrating progress toward goals and objectives. </w:t>
      </w:r>
    </w:p>
    <w:p w14:paraId="11F01FE7" w14:textId="77777777" w:rsidR="00977AB1" w:rsidRPr="0000371F" w:rsidRDefault="00977AB1" w:rsidP="0000371F">
      <w:pPr>
        <w:pBdr>
          <w:top w:val="single" w:sz="4" w:space="1" w:color="auto"/>
          <w:left w:val="single" w:sz="4" w:space="4" w:color="auto"/>
          <w:bottom w:val="single" w:sz="4" w:space="1" w:color="auto"/>
          <w:right w:val="single" w:sz="4" w:space="4" w:color="auto"/>
        </w:pBdr>
        <w:spacing w:after="120"/>
        <w:jc w:val="left"/>
        <w:rPr>
          <w:i/>
          <w:iCs/>
          <w:szCs w:val="24"/>
        </w:rPr>
      </w:pPr>
      <w:r w:rsidRPr="0000371F">
        <w:rPr>
          <w:i/>
          <w:iCs/>
          <w:szCs w:val="24"/>
        </w:rPr>
        <w:t xml:space="preserve">1. Bike lane/Sidewalk </w:t>
      </w:r>
    </w:p>
    <w:p w14:paraId="767C31DA" w14:textId="77777777" w:rsidR="00977AB1" w:rsidRPr="0000371F" w:rsidRDefault="00977AB1" w:rsidP="0000371F">
      <w:pPr>
        <w:pBdr>
          <w:top w:val="single" w:sz="4" w:space="1" w:color="auto"/>
          <w:left w:val="single" w:sz="4" w:space="4" w:color="auto"/>
          <w:bottom w:val="single" w:sz="4" w:space="1" w:color="auto"/>
          <w:right w:val="single" w:sz="4" w:space="4" w:color="auto"/>
        </w:pBdr>
        <w:spacing w:after="120"/>
        <w:jc w:val="left"/>
        <w:rPr>
          <w:i/>
          <w:iCs/>
          <w:szCs w:val="24"/>
        </w:rPr>
      </w:pPr>
      <w:r w:rsidRPr="0000371F">
        <w:rPr>
          <w:i/>
          <w:iCs/>
          <w:szCs w:val="24"/>
        </w:rPr>
        <w:t xml:space="preserve">2. Lighting </w:t>
      </w:r>
    </w:p>
    <w:p w14:paraId="3CC3291A" w14:textId="77777777" w:rsidR="00977AB1" w:rsidRPr="0000371F" w:rsidRDefault="00977AB1" w:rsidP="0000371F">
      <w:pPr>
        <w:pBdr>
          <w:top w:val="single" w:sz="4" w:space="1" w:color="auto"/>
          <w:left w:val="single" w:sz="4" w:space="4" w:color="auto"/>
          <w:bottom w:val="single" w:sz="4" w:space="1" w:color="auto"/>
          <w:right w:val="single" w:sz="4" w:space="4" w:color="auto"/>
        </w:pBdr>
        <w:spacing w:after="120"/>
        <w:jc w:val="left"/>
        <w:rPr>
          <w:i/>
          <w:iCs/>
          <w:szCs w:val="24"/>
        </w:rPr>
      </w:pPr>
      <w:r w:rsidRPr="0000371F">
        <w:rPr>
          <w:i/>
          <w:iCs/>
          <w:szCs w:val="24"/>
        </w:rPr>
        <w:t xml:space="preserve">3. Traffic control devices/system </w:t>
      </w:r>
    </w:p>
    <w:p w14:paraId="50FA6DAC" w14:textId="77777777" w:rsidR="00977AB1" w:rsidRPr="0000371F" w:rsidRDefault="00977AB1" w:rsidP="0000371F">
      <w:pPr>
        <w:pBdr>
          <w:top w:val="single" w:sz="4" w:space="1" w:color="auto"/>
          <w:left w:val="single" w:sz="4" w:space="4" w:color="auto"/>
          <w:bottom w:val="single" w:sz="4" w:space="1" w:color="auto"/>
          <w:right w:val="single" w:sz="4" w:space="4" w:color="auto"/>
        </w:pBdr>
        <w:spacing w:after="120"/>
        <w:jc w:val="left"/>
        <w:rPr>
          <w:i/>
          <w:iCs/>
          <w:szCs w:val="24"/>
        </w:rPr>
      </w:pPr>
      <w:r w:rsidRPr="0000371F">
        <w:rPr>
          <w:i/>
          <w:iCs/>
          <w:szCs w:val="24"/>
        </w:rPr>
        <w:t xml:space="preserve">4. Safety projects </w:t>
      </w:r>
    </w:p>
    <w:p w14:paraId="7961B7BF" w14:textId="77777777" w:rsidR="00977AB1" w:rsidRPr="0000371F" w:rsidRDefault="00977AB1" w:rsidP="0000371F">
      <w:pPr>
        <w:pBdr>
          <w:top w:val="single" w:sz="4" w:space="1" w:color="auto"/>
          <w:left w:val="single" w:sz="4" w:space="4" w:color="auto"/>
          <w:bottom w:val="single" w:sz="4" w:space="1" w:color="auto"/>
          <w:right w:val="single" w:sz="4" w:space="4" w:color="auto"/>
        </w:pBdr>
        <w:spacing w:after="120"/>
        <w:jc w:val="left"/>
        <w:rPr>
          <w:i/>
          <w:iCs/>
          <w:szCs w:val="24"/>
        </w:rPr>
      </w:pPr>
      <w:r w:rsidRPr="0000371F">
        <w:rPr>
          <w:i/>
          <w:iCs/>
          <w:szCs w:val="24"/>
        </w:rPr>
        <w:t xml:space="preserve">5. Push button </w:t>
      </w:r>
    </w:p>
    <w:p w14:paraId="60F3FFE8" w14:textId="77777777" w:rsidR="00977AB1" w:rsidRPr="0000371F" w:rsidRDefault="00977AB1" w:rsidP="0000371F">
      <w:pPr>
        <w:pBdr>
          <w:top w:val="single" w:sz="4" w:space="1" w:color="auto"/>
          <w:left w:val="single" w:sz="4" w:space="4" w:color="auto"/>
          <w:bottom w:val="single" w:sz="4" w:space="1" w:color="auto"/>
          <w:right w:val="single" w:sz="4" w:space="4" w:color="auto"/>
        </w:pBdr>
        <w:spacing w:after="120"/>
        <w:jc w:val="left"/>
        <w:rPr>
          <w:i/>
          <w:iCs/>
          <w:szCs w:val="24"/>
        </w:rPr>
      </w:pPr>
      <w:r w:rsidRPr="0000371F">
        <w:rPr>
          <w:i/>
          <w:iCs/>
          <w:szCs w:val="24"/>
        </w:rPr>
        <w:t xml:space="preserve">6. Corridor improvements </w:t>
      </w:r>
    </w:p>
    <w:p w14:paraId="05EB38AA" w14:textId="77777777" w:rsidR="00977AB1" w:rsidRPr="0000371F" w:rsidRDefault="00977AB1" w:rsidP="0000371F">
      <w:pPr>
        <w:pBdr>
          <w:top w:val="single" w:sz="4" w:space="1" w:color="auto"/>
          <w:left w:val="single" w:sz="4" w:space="4" w:color="auto"/>
          <w:bottom w:val="single" w:sz="4" w:space="1" w:color="auto"/>
          <w:right w:val="single" w:sz="4" w:space="4" w:color="auto"/>
        </w:pBdr>
        <w:spacing w:after="120"/>
        <w:jc w:val="left"/>
        <w:rPr>
          <w:i/>
          <w:iCs/>
          <w:szCs w:val="24"/>
        </w:rPr>
      </w:pPr>
      <w:r w:rsidRPr="0000371F">
        <w:rPr>
          <w:i/>
          <w:iCs/>
          <w:szCs w:val="24"/>
        </w:rPr>
        <w:t xml:space="preserve">7. Add turning lanes </w:t>
      </w:r>
    </w:p>
    <w:p w14:paraId="33C9EBAE" w14:textId="5304DE7F" w:rsidR="00F82C2D" w:rsidRPr="00B35143" w:rsidRDefault="00977AB1" w:rsidP="003B6CE5">
      <w:pPr>
        <w:pBdr>
          <w:top w:val="single" w:sz="4" w:space="1" w:color="auto"/>
          <w:left w:val="single" w:sz="4" w:space="4" w:color="auto"/>
          <w:bottom w:val="single" w:sz="4" w:space="1" w:color="auto"/>
          <w:right w:val="single" w:sz="4" w:space="4" w:color="auto"/>
        </w:pBdr>
        <w:jc w:val="left"/>
        <w:rPr>
          <w:rFonts w:cs="Calibri"/>
          <w:i/>
          <w:iCs/>
          <w:kern w:val="28"/>
          <w:szCs w:val="24"/>
        </w:rPr>
      </w:pPr>
      <w:r w:rsidRPr="0000371F">
        <w:rPr>
          <w:i/>
          <w:iCs/>
          <w:szCs w:val="24"/>
        </w:rPr>
        <w:t>8. Signing and pavement markings</w:t>
      </w:r>
    </w:p>
    <w:p w14:paraId="6463400F" w14:textId="126E1056" w:rsidR="00F82C2D" w:rsidRPr="00B35143" w:rsidRDefault="00D6773A" w:rsidP="00F82C2D">
      <w:pPr>
        <w:pBdr>
          <w:top w:val="single" w:sz="4" w:space="1" w:color="auto"/>
          <w:left w:val="single" w:sz="4" w:space="4" w:color="auto"/>
          <w:bottom w:val="single" w:sz="4" w:space="1" w:color="auto"/>
          <w:right w:val="single" w:sz="4" w:space="4" w:color="auto"/>
        </w:pBdr>
        <w:jc w:val="left"/>
        <w:rPr>
          <w:i/>
          <w:iCs/>
          <w:szCs w:val="24"/>
        </w:rPr>
      </w:pPr>
      <w:r w:rsidRPr="0000371F">
        <w:rPr>
          <w:i/>
          <w:iCs/>
          <w:szCs w:val="24"/>
        </w:rPr>
        <w:t xml:space="preserve">The 2045 The MTP is the primary source for identifying priority projects for inclusion in the TIP. There are many projects included in the 2045 MTP that focus on improving safety of the Broward county transportation systems. For the complete list of projects, refer to the plan at http://browardmpo.org/index.php/commitment-2045-metropolitan-transportation-plan. The MTP consolidates eligible classes of localized projects into one overall program, CSLIP. The MPO’s CSLIP provides funding for small local transportation projects which improve the safety and mobility for all transportation users in Broward. This competitive grant 38 program can fund projects such as (but not limited to): complete streets projects, traffic calming and intersection improvements, ADA upgrades, mobility hubs, bike racks, and technology advancements such as transit signal priority and traffic control devices. These projects are ranked based on the projects ability to address connectivity, mobility, safety, and economic development. The ranking is conducted objectively based on these categories to ensure an equal and fair distribution of funding. The MTP set aside 15% discretionary funds to the Systems Management and Safety </w:t>
      </w:r>
      <w:r w:rsidR="00411185" w:rsidRPr="0000371F">
        <w:rPr>
          <w:i/>
          <w:iCs/>
          <w:szCs w:val="24"/>
        </w:rPr>
        <w:t>program and</w:t>
      </w:r>
      <w:r w:rsidRPr="0000371F">
        <w:rPr>
          <w:i/>
          <w:iCs/>
          <w:szCs w:val="24"/>
        </w:rPr>
        <w:t xml:space="preserve"> proposes to utilize 10% of the available federal and state funding included in the “Other Roads” program for off-system safety projects (consistent with the published guidance provided by FDOT in the 2045 Revenue Forecast – Broward MPO/Broward Metropolitan Area). One goal of the Systems Management and Safety program is to identify, prioritize, and implement safety improvements at locations with high fatality and serious injuries. High priority crash locations are included in the MMPL for future safety study and capital project funding. A new off-system Road Safety Audit (RSA) process has also been developed to expedite safety studies and safety construction projects on off-system roadways.</w:t>
      </w:r>
    </w:p>
    <w:p w14:paraId="56CA10E6" w14:textId="48542D7E" w:rsidR="0053061A" w:rsidRPr="00B35143" w:rsidRDefault="00B35143" w:rsidP="00F82C2D">
      <w:pPr>
        <w:pBdr>
          <w:top w:val="single" w:sz="4" w:space="1" w:color="auto"/>
          <w:left w:val="single" w:sz="4" w:space="4" w:color="auto"/>
          <w:bottom w:val="single" w:sz="4" w:space="1" w:color="auto"/>
          <w:right w:val="single" w:sz="4" w:space="4" w:color="auto"/>
        </w:pBdr>
        <w:jc w:val="left"/>
        <w:rPr>
          <w:rFonts w:cs="Calibri"/>
          <w:i/>
          <w:iCs/>
          <w:kern w:val="28"/>
          <w:szCs w:val="24"/>
        </w:rPr>
      </w:pPr>
      <w:r w:rsidRPr="0000371F">
        <w:rPr>
          <w:i/>
          <w:iCs/>
          <w:szCs w:val="24"/>
        </w:rPr>
        <w:t xml:space="preserve">Broward MPO Complete Streets Initiative The MPO understands the importance of creating a transportation system that addresses the needs of all users of the road, including the needs of people who walk, bike, drive, and take transit. Health, safety, and economic development benefits have been directly attributed to roads planned, designed, and operated for all users. To ensure that this is firmly embedded into our transportation planning process, the Broward MPO developed the Complete Streets Initiative. This program, guided by the Complete Streets Advisory Committee (CSAC), with the main intent to provide the necessary tools to our local governments in implementing Complete Streets in their respective communities. The Complete Streets Initiative also serves as a platform to move forward active transportation projects identified in our plans, initiatives, and studies from the planning to design and ultimately to construction through the MPO’s CSMP. </w:t>
      </w:r>
    </w:p>
    <w:p w14:paraId="40C89B53" w14:textId="77777777" w:rsidR="0053061A" w:rsidRPr="00533C79" w:rsidRDefault="0053061A" w:rsidP="0053061A">
      <w:pPr>
        <w:keepNext/>
        <w:keepLines/>
        <w:pBdr>
          <w:top w:val="single" w:sz="4" w:space="1" w:color="auto"/>
          <w:left w:val="single" w:sz="4" w:space="4" w:color="auto"/>
          <w:bottom w:val="single" w:sz="4" w:space="1" w:color="auto"/>
          <w:right w:val="single" w:sz="4" w:space="4" w:color="auto"/>
        </w:pBdr>
        <w:rPr>
          <w:rFonts w:cs="Calibri"/>
          <w:bCs/>
          <w:color w:val="000000"/>
          <w:kern w:val="36"/>
          <w:szCs w:val="24"/>
        </w:rPr>
      </w:pPr>
      <w:r w:rsidRPr="008276C0">
        <w:rPr>
          <w:rFonts w:cs="Calibri"/>
          <w:bCs/>
          <w:color w:val="000000"/>
          <w:kern w:val="36"/>
          <w:szCs w:val="24"/>
        </w:rPr>
        <w:t xml:space="preserve">When referencing other programs such as Federal grants, the text should be clear about whether the referenced activities are included in the TIP. </w:t>
      </w:r>
      <w:r>
        <w:rPr>
          <w:rFonts w:cs="Calibri"/>
          <w:iCs/>
          <w:kern w:val="28"/>
          <w:szCs w:val="24"/>
        </w:rPr>
        <w:t>Example from</w:t>
      </w:r>
      <w:r w:rsidRPr="008276C0">
        <w:rPr>
          <w:rFonts w:cs="Calibri"/>
          <w:bCs/>
          <w:color w:val="000000"/>
          <w:kern w:val="36"/>
          <w:szCs w:val="24"/>
        </w:rPr>
        <w:t xml:space="preserve"> the Broward MPO TIP:</w:t>
      </w:r>
    </w:p>
    <w:p w14:paraId="1A8CBF6A" w14:textId="6AFB8582" w:rsidR="00F82C2D" w:rsidRPr="00B35143" w:rsidRDefault="0053061A" w:rsidP="0053061A">
      <w:pPr>
        <w:pBdr>
          <w:top w:val="single" w:sz="4" w:space="1" w:color="auto"/>
          <w:left w:val="single" w:sz="4" w:space="4" w:color="auto"/>
          <w:bottom w:val="single" w:sz="4" w:space="1" w:color="auto"/>
          <w:right w:val="single" w:sz="4" w:space="4" w:color="auto"/>
        </w:pBdr>
        <w:jc w:val="left"/>
        <w:rPr>
          <w:rFonts w:cs="Calibri"/>
          <w:i/>
          <w:iCs/>
          <w:kern w:val="28"/>
          <w:szCs w:val="24"/>
        </w:rPr>
      </w:pPr>
      <w:r w:rsidRPr="00747752">
        <w:rPr>
          <w:rFonts w:cs="Calibri"/>
          <w:i/>
          <w:kern w:val="28"/>
          <w:szCs w:val="24"/>
        </w:rPr>
        <w:t>The MPO considers safety as a planning factor in the project selection process. One goal of the 2045 MTP is to reduce accidents, injuries, and fatalities. The MTP strengthened the connection between its spending and safety performance by continuing the C</w:t>
      </w:r>
      <w:r>
        <w:rPr>
          <w:rFonts w:cs="Calibri"/>
          <w:i/>
          <w:kern w:val="28"/>
          <w:szCs w:val="24"/>
        </w:rPr>
        <w:t>omplete Streets Master Plan</w:t>
      </w:r>
      <w:r w:rsidRPr="00747752">
        <w:rPr>
          <w:rFonts w:cs="Calibri"/>
          <w:i/>
          <w:kern w:val="28"/>
          <w:szCs w:val="24"/>
        </w:rPr>
        <w:t>, the C</w:t>
      </w:r>
      <w:r>
        <w:rPr>
          <w:rFonts w:cs="Calibri"/>
          <w:i/>
          <w:kern w:val="28"/>
          <w:szCs w:val="24"/>
        </w:rPr>
        <w:t xml:space="preserve">omplete Streets and Localized Incentives program (CSLIP), </w:t>
      </w:r>
      <w:r w:rsidRPr="00747752">
        <w:rPr>
          <w:rFonts w:cs="Calibri"/>
          <w:i/>
          <w:kern w:val="28"/>
          <w:szCs w:val="24"/>
        </w:rPr>
        <w:t xml:space="preserve">and introduced </w:t>
      </w:r>
      <w:r w:rsidRPr="00747752">
        <w:rPr>
          <w:rFonts w:cs="Calibri"/>
          <w:i/>
          <w:kern w:val="28"/>
          <w:szCs w:val="24"/>
        </w:rPr>
        <w:lastRenderedPageBreak/>
        <w:t>the TSMO and safety program, which aim to improve safety of the transportation system. For example, Safety accounts for 30% of the CSLIP selection criteria. As part of the MTP and TIP, the MPO allocates a large portion of its discretionary funds to these programs. Projects identified in these programs have been funded through the TIP.</w:t>
      </w:r>
    </w:p>
    <w:p w14:paraId="24980546" w14:textId="3631E668" w:rsidR="00F82C2D" w:rsidRDefault="00F82C2D" w:rsidP="00F82C2D">
      <w:pPr>
        <w:rPr>
          <w:rFonts w:cs="Calibri"/>
          <w:bCs/>
          <w:color w:val="000000"/>
          <w:kern w:val="36"/>
          <w:szCs w:val="24"/>
          <w:highlight w:val="yellow"/>
        </w:rPr>
      </w:pPr>
    </w:p>
    <w:p w14:paraId="770F1802" w14:textId="77777777" w:rsidR="00F82C2D" w:rsidRPr="00E965A2" w:rsidRDefault="00F82C2D">
      <w:pPr>
        <w:keepNext/>
        <w:keepLines/>
        <w:pBdr>
          <w:top w:val="single" w:sz="4" w:space="1" w:color="auto"/>
          <w:left w:val="single" w:sz="4" w:space="4" w:color="auto"/>
          <w:bottom w:val="single" w:sz="4" w:space="1" w:color="auto"/>
          <w:right w:val="single" w:sz="4" w:space="4" w:color="auto"/>
        </w:pBdr>
        <w:rPr>
          <w:rFonts w:cs="Calibri"/>
          <w:iCs/>
          <w:kern w:val="28"/>
          <w:szCs w:val="24"/>
        </w:rPr>
      </w:pPr>
      <w:bookmarkStart w:id="13" w:name="_Toc425274"/>
      <w:r w:rsidRPr="005639AD">
        <w:rPr>
          <w:rFonts w:cs="Calibri"/>
          <w:iCs/>
          <w:kern w:val="28"/>
          <w:szCs w:val="24"/>
        </w:rPr>
        <w:t>Example from the Sarasota/Manatee MPO TIP:</w:t>
      </w:r>
      <w:r w:rsidRPr="005639AD">
        <w:rPr>
          <w:rStyle w:val="FootnoteReference"/>
          <w:rFonts w:cs="Calibri"/>
          <w:bCs/>
          <w:color w:val="000000"/>
          <w:kern w:val="36"/>
          <w:szCs w:val="24"/>
        </w:rPr>
        <w:footnoteReference w:id="8"/>
      </w:r>
    </w:p>
    <w:p w14:paraId="1918ECCE" w14:textId="77777777" w:rsidR="00F82C2D" w:rsidRPr="00767246" w:rsidRDefault="00F82C2D" w:rsidP="0000371F">
      <w:pPr>
        <w:keepLines/>
        <w:pBdr>
          <w:top w:val="single" w:sz="4" w:space="1" w:color="auto"/>
          <w:left w:val="single" w:sz="4" w:space="4" w:color="auto"/>
          <w:bottom w:val="single" w:sz="4" w:space="1" w:color="auto"/>
          <w:right w:val="single" w:sz="4" w:space="4" w:color="auto"/>
        </w:pBdr>
        <w:rPr>
          <w:rFonts w:cs="Calibri"/>
          <w:i/>
          <w:kern w:val="28"/>
          <w:szCs w:val="24"/>
        </w:rPr>
      </w:pPr>
      <w:r w:rsidRPr="00767246">
        <w:rPr>
          <w:rFonts w:cs="Calibri"/>
          <w:i/>
          <w:kern w:val="28"/>
          <w:szCs w:val="24"/>
        </w:rPr>
        <w:t>The TIP considers potential projects that fall into specific investment programs established by the MPO. The TIP includes specific investment projects that support all of the MPOs goals including safety, using a prioritization and project selection process. The TIP prioritization process continues to use a data-driven method to evaluate projects that have an anticipated effect of reducing both fatal and injury crashes. The MPO’s goal of reducing fatal and serious injury crashes is linked to this investment plan and the process used in prioritizing the projects is consistent with federal requirements.</w:t>
      </w:r>
    </w:p>
    <w:p w14:paraId="6C4159D9" w14:textId="77777777" w:rsidR="00F82C2D" w:rsidRPr="00767246" w:rsidRDefault="00F82C2D" w:rsidP="0000371F">
      <w:pPr>
        <w:keepLines/>
        <w:pBdr>
          <w:top w:val="single" w:sz="4" w:space="1" w:color="auto"/>
          <w:left w:val="single" w:sz="4" w:space="4" w:color="auto"/>
          <w:bottom w:val="single" w:sz="4" w:space="1" w:color="auto"/>
          <w:right w:val="single" w:sz="4" w:space="4" w:color="auto"/>
        </w:pBdr>
        <w:rPr>
          <w:rFonts w:cs="Calibri"/>
          <w:i/>
          <w:kern w:val="28"/>
          <w:szCs w:val="24"/>
        </w:rPr>
      </w:pPr>
      <w:r w:rsidRPr="00767246">
        <w:rPr>
          <w:rFonts w:cs="Calibri"/>
          <w:i/>
          <w:kern w:val="28"/>
          <w:szCs w:val="24"/>
        </w:rPr>
        <w:t>The Sarasota/Manatee MPO supports safety programs including Safe Routes to Schools (SRTS) and the Community Traffic Safety Team (CTST) where local law enforcement, emergency responders, jurisdiction engineers, and the school board come together to tackle safety issues within the region. The following safety factors are considered in the project prioritization process. Does the project:</w:t>
      </w:r>
    </w:p>
    <w:p w14:paraId="2220D0D2" w14:textId="77777777" w:rsidR="00F82C2D" w:rsidRPr="00767246" w:rsidRDefault="00F82C2D" w:rsidP="0000371F">
      <w:pPr>
        <w:keepLines/>
        <w:pBdr>
          <w:top w:val="single" w:sz="4" w:space="1" w:color="auto"/>
          <w:left w:val="single" w:sz="4" w:space="4" w:color="auto"/>
          <w:bottom w:val="single" w:sz="4" w:space="1" w:color="auto"/>
          <w:right w:val="single" w:sz="4" w:space="4" w:color="auto"/>
        </w:pBdr>
        <w:rPr>
          <w:rFonts w:cs="Calibri"/>
          <w:i/>
          <w:kern w:val="28"/>
          <w:szCs w:val="24"/>
        </w:rPr>
      </w:pPr>
      <w:r w:rsidRPr="00767246">
        <w:rPr>
          <w:rFonts w:cs="Calibri"/>
          <w:i/>
          <w:kern w:val="28"/>
          <w:szCs w:val="24"/>
        </w:rPr>
        <w:t xml:space="preserve">• Address an identified motorized or non-motorized high crash location? </w:t>
      </w:r>
    </w:p>
    <w:p w14:paraId="5FF7CCD9" w14:textId="77777777" w:rsidR="00F82C2D" w:rsidRPr="00767246" w:rsidRDefault="00F82C2D" w:rsidP="0000371F">
      <w:pPr>
        <w:keepLines/>
        <w:pBdr>
          <w:top w:val="single" w:sz="4" w:space="1" w:color="auto"/>
          <w:left w:val="single" w:sz="4" w:space="4" w:color="auto"/>
          <w:bottom w:val="single" w:sz="4" w:space="1" w:color="auto"/>
          <w:right w:val="single" w:sz="4" w:space="4" w:color="auto"/>
        </w:pBdr>
        <w:rPr>
          <w:rFonts w:cs="Calibri"/>
          <w:i/>
          <w:kern w:val="28"/>
          <w:szCs w:val="24"/>
        </w:rPr>
      </w:pPr>
      <w:r w:rsidRPr="00767246">
        <w:rPr>
          <w:rFonts w:cs="Calibri"/>
          <w:i/>
          <w:kern w:val="28"/>
          <w:szCs w:val="24"/>
        </w:rPr>
        <w:t>• Improve safety for vulnerable users?</w:t>
      </w:r>
    </w:p>
    <w:p w14:paraId="407A8264" w14:textId="77777777" w:rsidR="00F82C2D" w:rsidRDefault="00F82C2D" w:rsidP="0000371F">
      <w:pPr>
        <w:keepLines/>
        <w:pBdr>
          <w:top w:val="single" w:sz="4" w:space="1" w:color="auto"/>
          <w:left w:val="single" w:sz="4" w:space="4" w:color="auto"/>
          <w:bottom w:val="single" w:sz="4" w:space="1" w:color="auto"/>
          <w:right w:val="single" w:sz="4" w:space="4" w:color="auto"/>
        </w:pBdr>
        <w:rPr>
          <w:rFonts w:cs="Calibri"/>
          <w:i/>
          <w:kern w:val="28"/>
          <w:szCs w:val="24"/>
        </w:rPr>
      </w:pPr>
      <w:r w:rsidRPr="00767246">
        <w:rPr>
          <w:rFonts w:cs="Calibri"/>
          <w:i/>
          <w:kern w:val="28"/>
          <w:szCs w:val="24"/>
        </w:rPr>
        <w:t>• Improve traffic flow on an evacuation route</w:t>
      </w:r>
    </w:p>
    <w:p w14:paraId="36E8FCD6" w14:textId="4306C8D4" w:rsidR="00F82C2D" w:rsidRDefault="00F82C2D" w:rsidP="0000371F">
      <w:pPr>
        <w:keepLines/>
        <w:pBdr>
          <w:top w:val="single" w:sz="4" w:space="1" w:color="auto"/>
          <w:left w:val="single" w:sz="4" w:space="4" w:color="auto"/>
          <w:bottom w:val="single" w:sz="4" w:space="1" w:color="auto"/>
          <w:right w:val="single" w:sz="4" w:space="4" w:color="auto"/>
        </w:pBdr>
        <w:rPr>
          <w:rFonts w:cs="Calibri"/>
          <w:i/>
          <w:kern w:val="28"/>
          <w:szCs w:val="24"/>
        </w:rPr>
      </w:pPr>
      <w:r w:rsidRPr="00D564FF">
        <w:rPr>
          <w:rFonts w:cs="Calibri"/>
          <w:i/>
          <w:kern w:val="28"/>
          <w:szCs w:val="24"/>
        </w:rPr>
        <w:t>In FY 2017/18 the MPO conducted an in-depth analysis of all crashes. Using crash patterns identified throughout the region, the MPO developed a set of mitigation strategies aimed at improving safety. Then, in 2020, the MPO analyzed the US 41 Multi Modal Emphasis Corridor (MMEC) to examine existing conditions along the corridor to identify potential safety and mobility assessments that address the MPO’s safety, mobility, and environmental and livability performance measures. US 41 MMEC is a program included in the past two Long Range Transportation Plans (LRTP) and was recently expanded to include seven additional corridors in the Transform 2045 Long Range Transportation Plan (LRTP). For this LRTP, the MPO updated the 2019 Safety Report to incorporate in the 25 year long range transportation plan. Based on the safety recommendations from the 2018 safety analysis, the 2020 US 41 MMEC study, as well as high crash locations throughout the region, a list of over 70 high priority locations have been identified.</w:t>
      </w:r>
      <w:r w:rsidRPr="00643C6D">
        <w:rPr>
          <w:rFonts w:cs="Calibri"/>
          <w:i/>
          <w:kern w:val="28"/>
          <w:szCs w:val="24"/>
        </w:rPr>
        <w:t xml:space="preserve"> </w:t>
      </w:r>
    </w:p>
    <w:p w14:paraId="76534C2C" w14:textId="67E1B711" w:rsidR="00AD525B" w:rsidRPr="005E5739" w:rsidRDefault="005E5739" w:rsidP="0000371F">
      <w:pPr>
        <w:keepLines/>
        <w:pBdr>
          <w:top w:val="single" w:sz="4" w:space="1" w:color="auto"/>
          <w:left w:val="single" w:sz="4" w:space="4" w:color="auto"/>
          <w:bottom w:val="single" w:sz="4" w:space="1" w:color="auto"/>
          <w:right w:val="single" w:sz="4" w:space="4" w:color="auto"/>
        </w:pBdr>
        <w:rPr>
          <w:rFonts w:cs="Calibri"/>
          <w:i/>
          <w:iCs/>
          <w:kern w:val="28"/>
          <w:szCs w:val="24"/>
        </w:rPr>
      </w:pPr>
      <w:r w:rsidRPr="0000371F">
        <w:rPr>
          <w:i/>
          <w:iCs/>
          <w:szCs w:val="24"/>
        </w:rPr>
        <w:t>On February 28, 2022, the Sarasota/Manatee MPO Governing Board adopted Destination Zero: The Sarasota/Manatee Path to Zero Fatalities and Serious Injuries. This Action Plan is a commitment to making significant reductions in the rates of serious injury and fatal crashes on our roads. Development of the Action Plan was data-driven and built on the Safe System Approach, a set of six principles adopted by US DOT to improve road safety. The MPO Board also approved the formation of a dedicated Destination Zero Advisory Group to facilitate implementation of the Destination Zero Action Plan. Comprised of safety, transportation, and engineering professionals from the MPO’s jurisdictional partners, the Advisory Group exists to help local jurisdiction develop and adopt their own Destination Zero Action Plan.</w:t>
      </w:r>
    </w:p>
    <w:p w14:paraId="233874A9" w14:textId="6CAEC48B" w:rsidR="00F82C2D" w:rsidRPr="00767246" w:rsidRDefault="00F82C2D" w:rsidP="0000371F">
      <w:pPr>
        <w:keepLines/>
        <w:pBdr>
          <w:top w:val="single" w:sz="4" w:space="1" w:color="auto"/>
          <w:left w:val="single" w:sz="4" w:space="4" w:color="auto"/>
          <w:bottom w:val="single" w:sz="4" w:space="1" w:color="auto"/>
          <w:right w:val="single" w:sz="4" w:space="4" w:color="auto"/>
        </w:pBdr>
        <w:rPr>
          <w:rFonts w:cs="Calibri"/>
          <w:iCs/>
          <w:kern w:val="28"/>
          <w:szCs w:val="24"/>
        </w:rPr>
      </w:pPr>
    </w:p>
    <w:p w14:paraId="47E045D8" w14:textId="77777777" w:rsidR="00F82C2D" w:rsidRDefault="00F82C2D" w:rsidP="00F82C2D">
      <w:pPr>
        <w:pBdr>
          <w:top w:val="single" w:sz="4" w:space="1" w:color="auto"/>
          <w:left w:val="single" w:sz="4" w:space="4" w:color="auto"/>
          <w:bottom w:val="single" w:sz="4" w:space="1" w:color="auto"/>
          <w:right w:val="single" w:sz="4" w:space="4" w:color="auto"/>
        </w:pBdr>
        <w:rPr>
          <w:rFonts w:cs="Calibri"/>
          <w:i/>
          <w:kern w:val="28"/>
          <w:szCs w:val="24"/>
        </w:rPr>
      </w:pPr>
      <w:r>
        <w:rPr>
          <w:rFonts w:cs="Calibri"/>
          <w:i/>
          <w:noProof/>
          <w:kern w:val="28"/>
          <w:szCs w:val="24"/>
        </w:rPr>
        <w:lastRenderedPageBreak/>
        <w:drawing>
          <wp:inline distT="0" distB="0" distL="0" distR="0" wp14:anchorId="25938745" wp14:editId="27B931F1">
            <wp:extent cx="6400800" cy="1476375"/>
            <wp:effectExtent l="0" t="0" r="0" b="952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400800" cy="1476375"/>
                    </a:xfrm>
                    <a:prstGeom prst="rect">
                      <a:avLst/>
                    </a:prstGeom>
                  </pic:spPr>
                </pic:pic>
              </a:graphicData>
            </a:graphic>
          </wp:inline>
        </w:drawing>
      </w:r>
    </w:p>
    <w:p w14:paraId="01E45021" w14:textId="77777777" w:rsidR="00F82C2D" w:rsidRPr="00D564FF" w:rsidRDefault="00F82C2D" w:rsidP="00F82C2D">
      <w:pPr>
        <w:pBdr>
          <w:top w:val="single" w:sz="4" w:space="1" w:color="auto"/>
          <w:left w:val="single" w:sz="4" w:space="4" w:color="auto"/>
          <w:bottom w:val="single" w:sz="4" w:space="1" w:color="auto"/>
          <w:right w:val="single" w:sz="4" w:space="4" w:color="auto"/>
        </w:pBdr>
        <w:rPr>
          <w:rFonts w:cs="Calibri"/>
          <w:i/>
          <w:kern w:val="28"/>
          <w:szCs w:val="24"/>
        </w:rPr>
      </w:pPr>
      <w:r w:rsidRPr="00D564FF">
        <w:rPr>
          <w:rFonts w:cs="Calibri"/>
          <w:i/>
          <w:kern w:val="28"/>
          <w:szCs w:val="24"/>
        </w:rPr>
        <w:t>The Sarasota/Manatee MPO continues monitoring investments in the TIP and demonstrating progress toward goals and objectives. The TIP 2021 to 2026 includes $125 million totaling 34 projects improving safety between the two counties. These projects fall in the following categories: Bike lane/Sidewalk; Lighting; Traffic control devices/system; Safety projects; Push button; Corridor improvements; Add turning lanes; and Signing and pavement markings.</w:t>
      </w:r>
      <w:r>
        <w:rPr>
          <w:rFonts w:cs="Calibri"/>
          <w:i/>
          <w:kern w:val="28"/>
          <w:szCs w:val="24"/>
        </w:rPr>
        <w:t xml:space="preserve"> </w:t>
      </w:r>
    </w:p>
    <w:p w14:paraId="2EE2C19B" w14:textId="77777777" w:rsidR="00F82C2D" w:rsidRPr="00643C6D" w:rsidRDefault="00F82C2D" w:rsidP="00F82C2D">
      <w:pPr>
        <w:pBdr>
          <w:top w:val="single" w:sz="4" w:space="1" w:color="auto"/>
          <w:left w:val="single" w:sz="4" w:space="4" w:color="auto"/>
          <w:bottom w:val="single" w:sz="4" w:space="1" w:color="auto"/>
          <w:right w:val="single" w:sz="4" w:space="4" w:color="auto"/>
        </w:pBdr>
        <w:rPr>
          <w:rFonts w:cs="Calibri"/>
          <w:i/>
          <w:kern w:val="28"/>
          <w:szCs w:val="24"/>
        </w:rPr>
      </w:pPr>
      <w:r>
        <w:rPr>
          <w:rFonts w:cs="Calibri"/>
          <w:i/>
          <w:noProof/>
          <w:kern w:val="28"/>
          <w:szCs w:val="24"/>
        </w:rPr>
        <w:drawing>
          <wp:inline distT="0" distB="0" distL="0" distR="0" wp14:anchorId="06BDB628" wp14:editId="3701DA93">
            <wp:extent cx="6400800" cy="2359025"/>
            <wp:effectExtent l="0" t="0" r="0" b="3175"/>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400800" cy="2359025"/>
                    </a:xfrm>
                    <a:prstGeom prst="rect">
                      <a:avLst/>
                    </a:prstGeom>
                  </pic:spPr>
                </pic:pic>
              </a:graphicData>
            </a:graphic>
          </wp:inline>
        </w:drawing>
      </w:r>
    </w:p>
    <w:bookmarkEnd w:id="13"/>
    <w:p w14:paraId="4C2A12F4" w14:textId="07B6FD17" w:rsidR="00F82C2D" w:rsidRDefault="00F82C2D" w:rsidP="00F82C2D">
      <w:pPr>
        <w:rPr>
          <w:szCs w:val="24"/>
        </w:rPr>
      </w:pPr>
      <w:r>
        <w:rPr>
          <w:noProof/>
        </w:rPr>
        <mc:AlternateContent>
          <mc:Choice Requires="wps">
            <w:drawing>
              <wp:anchor distT="0" distB="0" distL="114300" distR="114300" simplePos="0" relativeHeight="251662336" behindDoc="1" locked="0" layoutInCell="1" allowOverlap="1" wp14:anchorId="5D2AFC29" wp14:editId="5518AB07">
                <wp:simplePos x="0" y="0"/>
                <wp:positionH relativeFrom="margin">
                  <wp:posOffset>2423160</wp:posOffset>
                </wp:positionH>
                <wp:positionV relativeFrom="paragraph">
                  <wp:posOffset>2177034</wp:posOffset>
                </wp:positionV>
                <wp:extent cx="1718945" cy="1033145"/>
                <wp:effectExtent l="0" t="0" r="0" b="0"/>
                <wp:wrapNone/>
                <wp:docPr id="5" name="Rectangle 5"/>
                <wp:cNvGraphicFramePr/>
                <a:graphic xmlns:a="http://schemas.openxmlformats.org/drawingml/2006/main">
                  <a:graphicData uri="http://schemas.microsoft.com/office/word/2010/wordprocessingShape">
                    <wps:wsp>
                      <wps:cNvSpPr/>
                      <wps:spPr>
                        <a:xfrm>
                          <a:off x="0" y="0"/>
                          <a:ext cx="1718945" cy="1033145"/>
                        </a:xfrm>
                        <a:prstGeom prst="rect">
                          <a:avLst/>
                        </a:prstGeom>
                        <a:solidFill>
                          <a:schemeClr val="bg2">
                            <a:alpha val="5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7418E" id="Rectangle 5" o:spid="_x0000_s1026" style="position:absolute;margin-left:190.8pt;margin-top:171.4pt;width:135.35pt;height:81.35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" fillcolor="white [3214]" stroked="f" strokeweight="2pt">
                <v:fill opacity="38036f"/>
                <w10:wrap anchorx="margin"/>
              </v:rect>
            </w:pict>
          </mc:Fallback>
        </mc:AlternateContent>
      </w:r>
      <w:r w:rsidRPr="00697C6C">
        <w:rPr>
          <w:szCs w:val="24"/>
        </w:rPr>
        <w:t xml:space="preserve">Because safety is inherent in so many </w:t>
      </w:r>
      <w:r>
        <w:rPr>
          <w:szCs w:val="24"/>
        </w:rPr>
        <w:t xml:space="preserve">FDOT and </w:t>
      </w:r>
      <w:r w:rsidRPr="005639AD">
        <w:rPr>
          <w:szCs w:val="24"/>
          <w:highlight w:val="yellow"/>
        </w:rPr>
        <w:t>[insert MPO name]</w:t>
      </w:r>
      <w:r>
        <w:rPr>
          <w:szCs w:val="24"/>
        </w:rPr>
        <w:t xml:space="preserve"> </w:t>
      </w:r>
      <w:r w:rsidRPr="00697C6C">
        <w:rPr>
          <w:szCs w:val="24"/>
        </w:rPr>
        <w:t xml:space="preserve">programs and projects, and because of the broad and holistic approach FDOT is undertaking with its commitment to Vision Zero, the program of projects in this TIP is anticipated to support progress towards achieving </w:t>
      </w:r>
      <w:r>
        <w:rPr>
          <w:szCs w:val="24"/>
        </w:rPr>
        <w:t xml:space="preserve">the safety </w:t>
      </w:r>
      <w:r w:rsidRPr="00697C6C">
        <w:rPr>
          <w:szCs w:val="24"/>
        </w:rPr>
        <w:t>targets</w:t>
      </w:r>
      <w:r w:rsidR="00E91250" w:rsidRPr="00697C6C">
        <w:rPr>
          <w:szCs w:val="24"/>
        </w:rPr>
        <w:t xml:space="preserve">. </w:t>
      </w:r>
    </w:p>
    <w:p w14:paraId="0525FB9A" w14:textId="77777777" w:rsidR="00F82C2D" w:rsidRPr="008A2DFD" w:rsidRDefault="00F82C2D" w:rsidP="00F82C2D">
      <w:pPr>
        <w:rPr>
          <w:b/>
          <w:caps/>
          <w:kern w:val="28"/>
          <w:szCs w:val="24"/>
        </w:rPr>
      </w:pPr>
    </w:p>
    <w:p w14:paraId="74FE58CF" w14:textId="77777777" w:rsidR="00541669" w:rsidRDefault="00541669">
      <w:pPr>
        <w:spacing w:after="200" w:line="276" w:lineRule="auto"/>
        <w:jc w:val="left"/>
        <w:rPr>
          <w:b/>
          <w:caps/>
          <w:kern w:val="28"/>
          <w:sz w:val="36"/>
          <w:szCs w:val="36"/>
        </w:rPr>
      </w:pPr>
      <w:r>
        <w:br w:type="page"/>
      </w:r>
    </w:p>
    <w:p w14:paraId="6FB6BD0E" w14:textId="60886E19" w:rsidR="007E16DA" w:rsidRPr="007E16DA" w:rsidRDefault="003B3907" w:rsidP="00DD5E3F">
      <w:pPr>
        <w:pStyle w:val="Heading1"/>
        <w:spacing w:after="360"/>
      </w:pPr>
      <w:bookmarkStart w:id="14" w:name="_4_-_Bridge"/>
      <w:bookmarkStart w:id="15" w:name="_Toc126264197"/>
      <w:bookmarkEnd w:id="14"/>
      <w:r>
        <w:lastRenderedPageBreak/>
        <w:t>4</w:t>
      </w:r>
      <w:r w:rsidR="008131C9">
        <w:t xml:space="preserve"> </w:t>
      </w:r>
      <w:r w:rsidR="00A32EE0">
        <w:t>–</w:t>
      </w:r>
      <w:r w:rsidR="008131C9">
        <w:t xml:space="preserve"> </w:t>
      </w:r>
      <w:r w:rsidR="00823C8B">
        <w:t>P</w:t>
      </w:r>
      <w:r w:rsidR="005A26AC">
        <w:t>avement</w:t>
      </w:r>
      <w:r w:rsidR="00A32EE0">
        <w:t xml:space="preserve"> &amp; Bridge</w:t>
      </w:r>
      <w:r w:rsidR="007E16DA" w:rsidRPr="007E16DA">
        <w:t xml:space="preserve"> Condition Measures (PM2)</w:t>
      </w:r>
      <w:bookmarkEnd w:id="6"/>
      <w:bookmarkEnd w:id="15"/>
    </w:p>
    <w:p w14:paraId="507FAFEE" w14:textId="042006B1" w:rsidR="007E16DA" w:rsidRDefault="0050155E" w:rsidP="00BA58CC">
      <w:pPr>
        <w:rPr>
          <w:rFonts w:cs="Calibri"/>
          <w:szCs w:val="24"/>
        </w:rPr>
      </w:pPr>
      <w:r>
        <w:rPr>
          <w:rFonts w:cs="Calibri"/>
          <w:szCs w:val="24"/>
        </w:rPr>
        <w:t xml:space="preserve">FHWA’s </w:t>
      </w:r>
      <w:r w:rsidR="007E16DA" w:rsidRPr="007E16DA">
        <w:rPr>
          <w:rFonts w:cs="Calibri"/>
          <w:szCs w:val="24"/>
        </w:rPr>
        <w:t>Bridge</w:t>
      </w:r>
      <w:r w:rsidR="00823C8B">
        <w:rPr>
          <w:rFonts w:cs="Calibri"/>
          <w:szCs w:val="24"/>
        </w:rPr>
        <w:t xml:space="preserve"> &amp; Pavement</w:t>
      </w:r>
      <w:r w:rsidR="007E16DA" w:rsidRPr="007E16DA">
        <w:rPr>
          <w:rFonts w:cs="Calibri"/>
          <w:szCs w:val="24"/>
        </w:rPr>
        <w:t xml:space="preserve"> Condition Performance Measures Final Rule, which is also referred to as the PM2 rule</w:t>
      </w:r>
      <w:r w:rsidR="00CF09C5">
        <w:rPr>
          <w:rFonts w:cs="Calibri"/>
          <w:szCs w:val="24"/>
        </w:rPr>
        <w:t xml:space="preserve">, </w:t>
      </w:r>
      <w:r w:rsidR="002D5683" w:rsidRPr="007E16DA">
        <w:rPr>
          <w:rFonts w:cs="Calibri"/>
          <w:szCs w:val="24"/>
        </w:rPr>
        <w:t xml:space="preserve">requires </w:t>
      </w:r>
      <w:r w:rsidR="002D5683">
        <w:rPr>
          <w:rFonts w:cs="Calibri"/>
          <w:szCs w:val="24"/>
        </w:rPr>
        <w:t xml:space="preserve">state DOTs and </w:t>
      </w:r>
      <w:r w:rsidR="002D5683" w:rsidRPr="007E16DA">
        <w:rPr>
          <w:rFonts w:cs="Calibri"/>
          <w:szCs w:val="24"/>
        </w:rPr>
        <w:t xml:space="preserve">MPOs to </w:t>
      </w:r>
      <w:r w:rsidR="002D5683">
        <w:rPr>
          <w:rFonts w:cs="Calibri"/>
          <w:szCs w:val="24"/>
        </w:rPr>
        <w:t>establish</w:t>
      </w:r>
      <w:r w:rsidR="002D5683" w:rsidRPr="007E16DA">
        <w:rPr>
          <w:rFonts w:cs="Calibri"/>
          <w:szCs w:val="24"/>
        </w:rPr>
        <w:t xml:space="preserve"> targets for </w:t>
      </w:r>
      <w:r w:rsidR="007E16DA" w:rsidRPr="007E16DA">
        <w:rPr>
          <w:rFonts w:cs="Calibri"/>
          <w:szCs w:val="24"/>
        </w:rPr>
        <w:t>the following six performance measures:</w:t>
      </w:r>
    </w:p>
    <w:p w14:paraId="72D7A820" w14:textId="42A5BBE2" w:rsidR="00364D82" w:rsidRPr="007E16DA" w:rsidRDefault="00364D82" w:rsidP="0000371F">
      <w:pPr>
        <w:pStyle w:val="ListNumber"/>
        <w:numPr>
          <w:ilvl w:val="0"/>
          <w:numId w:val="44"/>
        </w:numPr>
        <w:ind w:left="360"/>
      </w:pPr>
      <w:r w:rsidRPr="007E16DA">
        <w:t xml:space="preserve">Percent of NHS bridges </w:t>
      </w:r>
      <w:r>
        <w:t>(</w:t>
      </w:r>
      <w:r w:rsidRPr="007E16DA">
        <w:t>by deck area</w:t>
      </w:r>
      <w:r>
        <w:t>)</w:t>
      </w:r>
      <w:r w:rsidRPr="007E16DA">
        <w:t xml:space="preserve"> classified as in good condition; </w:t>
      </w:r>
    </w:p>
    <w:p w14:paraId="16C554A5" w14:textId="44347E7E" w:rsidR="00940CB9" w:rsidRDefault="00364D82" w:rsidP="0000371F">
      <w:pPr>
        <w:pStyle w:val="ListNumber"/>
      </w:pPr>
      <w:r w:rsidRPr="00364D82">
        <w:t>Percent of NHS bridges (by deck area) classified as in poor condition</w:t>
      </w:r>
      <w:r w:rsidR="00513276">
        <w:t>;</w:t>
      </w:r>
    </w:p>
    <w:p w14:paraId="4D8D2264" w14:textId="77777777" w:rsidR="007E16DA" w:rsidRPr="007E16DA" w:rsidRDefault="007E16DA" w:rsidP="0000371F">
      <w:pPr>
        <w:pStyle w:val="ListNumber"/>
      </w:pPr>
      <w:r w:rsidRPr="007E16DA">
        <w:t>Percent of Interstate pavements in good condition;</w:t>
      </w:r>
    </w:p>
    <w:p w14:paraId="3A6D2381" w14:textId="77777777" w:rsidR="007E16DA" w:rsidRPr="007E16DA" w:rsidRDefault="007E16DA" w:rsidP="0000371F">
      <w:pPr>
        <w:pStyle w:val="ListNumber"/>
      </w:pPr>
      <w:r w:rsidRPr="007E16DA">
        <w:t>Percent of Interstate pavements in poor condition;</w:t>
      </w:r>
    </w:p>
    <w:p w14:paraId="07F7E927" w14:textId="2B5205E4" w:rsidR="007E16DA" w:rsidRPr="007E16DA" w:rsidRDefault="007E16DA" w:rsidP="0000371F">
      <w:pPr>
        <w:pStyle w:val="ListNumber"/>
      </w:pPr>
      <w:r w:rsidRPr="007E16DA">
        <w:t>Percent of non-Interstate National Highway System (NHS) pavements in good condition;</w:t>
      </w:r>
      <w:r w:rsidR="00513276">
        <w:t xml:space="preserve"> and</w:t>
      </w:r>
    </w:p>
    <w:p w14:paraId="4CB8361D" w14:textId="77777777" w:rsidR="007E16DA" w:rsidRPr="007E16DA" w:rsidRDefault="007E16DA" w:rsidP="0000371F">
      <w:pPr>
        <w:pStyle w:val="ListNumber"/>
      </w:pPr>
      <w:r w:rsidRPr="007E16DA">
        <w:t>Percent of non-Interstate NHS pavements in poor condition;</w:t>
      </w:r>
    </w:p>
    <w:p w14:paraId="2143D258" w14:textId="77777777" w:rsidR="009C5072" w:rsidRDefault="007E16DA" w:rsidP="003D07C8">
      <w:pPr>
        <w:rPr>
          <w:rFonts w:cs="Calibri"/>
          <w:kern w:val="28"/>
          <w:szCs w:val="24"/>
        </w:rPr>
      </w:pPr>
      <w:r w:rsidRPr="007E16DA">
        <w:rPr>
          <w:rFonts w:cs="Calibri"/>
          <w:kern w:val="28"/>
          <w:szCs w:val="24"/>
        </w:rPr>
        <w:t xml:space="preserve">For the pavement measures, five pavement metrics are used to assess condition: </w:t>
      </w:r>
    </w:p>
    <w:p w14:paraId="41E93DEE" w14:textId="20F54FD3" w:rsidR="003F608D" w:rsidRPr="00FA0470" w:rsidRDefault="007E16DA" w:rsidP="0000371F">
      <w:pPr>
        <w:pStyle w:val="ListBullet"/>
      </w:pPr>
      <w:r w:rsidRPr="00FA0470">
        <w:t>International Roughness Index (IRI)</w:t>
      </w:r>
      <w:r w:rsidR="00FA0470" w:rsidRPr="00FA0470">
        <w:t xml:space="preserve"> - an indicator of roughness; applicable to asphalt</w:t>
      </w:r>
      <w:r w:rsidR="001F67E3">
        <w:t>, jointed concrete,</w:t>
      </w:r>
      <w:r w:rsidR="00FA0470" w:rsidRPr="00FA0470">
        <w:t xml:space="preserve"> and </w:t>
      </w:r>
      <w:r w:rsidR="001F67E3">
        <w:t xml:space="preserve">continuous </w:t>
      </w:r>
      <w:r w:rsidR="00FA0470" w:rsidRPr="00FA0470">
        <w:t>concrete pavements</w:t>
      </w:r>
      <w:r w:rsidRPr="00FA0470">
        <w:t xml:space="preserve">; </w:t>
      </w:r>
    </w:p>
    <w:p w14:paraId="2BF9AF23" w14:textId="7E399E25" w:rsidR="003F608D" w:rsidRPr="005F1FE7" w:rsidRDefault="007E16DA" w:rsidP="0000371F">
      <w:pPr>
        <w:pStyle w:val="ListBullet"/>
      </w:pPr>
      <w:r w:rsidRPr="005F1FE7">
        <w:t xml:space="preserve">Cracking </w:t>
      </w:r>
      <w:r w:rsidR="003F608D">
        <w:t>p</w:t>
      </w:r>
      <w:r w:rsidRPr="005F1FE7">
        <w:t>ercent</w:t>
      </w:r>
      <w:r w:rsidR="00FA0470">
        <w:t xml:space="preserve"> - </w:t>
      </w:r>
      <w:r w:rsidR="00FA0470" w:rsidRPr="00FA0470">
        <w:t>percentage of pavement surface exhibiting cracking; applicable to asphalt</w:t>
      </w:r>
      <w:r w:rsidR="001F67E3">
        <w:t>, jointed concrete,</w:t>
      </w:r>
      <w:r w:rsidR="00FA0470" w:rsidRPr="00FA0470">
        <w:t xml:space="preserve"> and </w:t>
      </w:r>
      <w:r w:rsidR="001F67E3">
        <w:t xml:space="preserve">continuous </w:t>
      </w:r>
      <w:r w:rsidR="00FA0470" w:rsidRPr="00FA0470">
        <w:t>concrete pavements</w:t>
      </w:r>
      <w:r w:rsidRPr="005F1FE7">
        <w:t xml:space="preserve">; </w:t>
      </w:r>
    </w:p>
    <w:p w14:paraId="24C0A171" w14:textId="4382C65B" w:rsidR="003F608D" w:rsidRPr="005F1FE7" w:rsidRDefault="007E16DA" w:rsidP="0000371F">
      <w:pPr>
        <w:pStyle w:val="ListBullet"/>
      </w:pPr>
      <w:r w:rsidRPr="005F1FE7">
        <w:t>Rutting</w:t>
      </w:r>
      <w:r w:rsidR="00FA0470">
        <w:t xml:space="preserve"> - </w:t>
      </w:r>
      <w:r w:rsidR="00FA0470" w:rsidRPr="00FA0470">
        <w:t>extent of surface depressions; applicable to asphalt pavements</w:t>
      </w:r>
      <w:r w:rsidR="001F67E3">
        <w:t xml:space="preserve"> only</w:t>
      </w:r>
      <w:r w:rsidRPr="005F1FE7">
        <w:t xml:space="preserve">; </w:t>
      </w:r>
    </w:p>
    <w:p w14:paraId="0CFE29B8" w14:textId="0374F64B" w:rsidR="003F608D" w:rsidRPr="005F1FE7" w:rsidRDefault="007E16DA" w:rsidP="0000371F">
      <w:pPr>
        <w:pStyle w:val="ListBullet"/>
      </w:pPr>
      <w:r w:rsidRPr="005F1FE7">
        <w:t>Faulting</w:t>
      </w:r>
      <w:r w:rsidR="00FA0470">
        <w:t xml:space="preserve"> - </w:t>
      </w:r>
      <w:r w:rsidR="00FA0470" w:rsidRPr="00FA0470">
        <w:t xml:space="preserve">vertical misalignment of pavement joints; applicable to </w:t>
      </w:r>
      <w:r w:rsidR="001F67E3">
        <w:t>jointed</w:t>
      </w:r>
      <w:r w:rsidR="00FA0470" w:rsidRPr="00FA0470">
        <w:t xml:space="preserve"> concrete pavements</w:t>
      </w:r>
      <w:r w:rsidR="001F67E3">
        <w:t xml:space="preserve"> only</w:t>
      </w:r>
      <w:r w:rsidRPr="005F1FE7">
        <w:t xml:space="preserve">; and </w:t>
      </w:r>
    </w:p>
    <w:p w14:paraId="0D933E21" w14:textId="77777777" w:rsidR="003F608D" w:rsidRPr="005F1FE7" w:rsidRDefault="007E16DA" w:rsidP="0000371F">
      <w:pPr>
        <w:pStyle w:val="ListBullet"/>
      </w:pPr>
      <w:r w:rsidRPr="005F1FE7">
        <w:t>Present Serviceability Rating (PSR)</w:t>
      </w:r>
      <w:r w:rsidR="00FA0470">
        <w:t xml:space="preserve"> – a quality rating applicable </w:t>
      </w:r>
      <w:r w:rsidR="00944CF1">
        <w:t xml:space="preserve">only </w:t>
      </w:r>
      <w:r w:rsidR="00EB0F34">
        <w:t>to NHS</w:t>
      </w:r>
      <w:r w:rsidR="001F67E3" w:rsidRPr="001F67E3">
        <w:t xml:space="preserve"> roads with posted speed limits of less than 40 miles per hour (e.g., toll plazas, border crossings). States may choose to collect and report PSR for applicable segments as an alternative to the other four metrics</w:t>
      </w:r>
      <w:r w:rsidRPr="005F1FE7">
        <w:t xml:space="preserve">. </w:t>
      </w:r>
    </w:p>
    <w:p w14:paraId="49276C14" w14:textId="5A6A1C4F" w:rsidR="00AB31F6" w:rsidRPr="007E16DA" w:rsidRDefault="003B3907" w:rsidP="002D2C00">
      <w:pPr>
        <w:pStyle w:val="Heading2"/>
        <w:spacing w:before="0"/>
      </w:pPr>
      <w:bookmarkStart w:id="16" w:name="_Toc425284"/>
      <w:bookmarkStart w:id="17" w:name="_Toc97743201"/>
      <w:bookmarkStart w:id="18" w:name="_Toc126264198"/>
      <w:r>
        <w:t>4</w:t>
      </w:r>
      <w:r w:rsidR="0047448A">
        <w:t>.1</w:t>
      </w:r>
      <w:r w:rsidR="00211B45">
        <w:t xml:space="preserve"> </w:t>
      </w:r>
      <w:r w:rsidR="00902A8B">
        <w:t>Bridge</w:t>
      </w:r>
      <w:r w:rsidR="001079FC">
        <w:t xml:space="preserve"> &amp;</w:t>
      </w:r>
      <w:r w:rsidR="006E1DB7">
        <w:t xml:space="preserve"> Pavement</w:t>
      </w:r>
      <w:r w:rsidR="00902A8B">
        <w:t xml:space="preserve"> Condition </w:t>
      </w:r>
      <w:r w:rsidR="00AB31F6">
        <w:t>T</w:t>
      </w:r>
      <w:r w:rsidR="00AB31F6" w:rsidRPr="007E16DA">
        <w:t>arget</w:t>
      </w:r>
      <w:r w:rsidR="00AB31F6">
        <w:t>s</w:t>
      </w:r>
      <w:bookmarkEnd w:id="16"/>
      <w:bookmarkEnd w:id="17"/>
      <w:bookmarkEnd w:id="18"/>
    </w:p>
    <w:p w14:paraId="53072FD5" w14:textId="50827057" w:rsidR="00902A8B" w:rsidRPr="00902A8B" w:rsidRDefault="00902A8B" w:rsidP="002D2C00">
      <w:pPr>
        <w:pStyle w:val="Heading3"/>
        <w:spacing w:before="0"/>
      </w:pPr>
      <w:r w:rsidRPr="00902A8B">
        <w:t>4.1.1 Statewide Targets</w:t>
      </w:r>
    </w:p>
    <w:p w14:paraId="06AE5AEE" w14:textId="6DF1C668" w:rsidR="0047448A" w:rsidRDefault="00902A8B" w:rsidP="00C56757">
      <w:pPr>
        <w:rPr>
          <w:rFonts w:cs="Calibri"/>
          <w:kern w:val="28"/>
          <w:szCs w:val="24"/>
        </w:rPr>
      </w:pPr>
      <w:r w:rsidRPr="007E16DA">
        <w:rPr>
          <w:rFonts w:cs="Calibri"/>
          <w:kern w:val="28"/>
          <w:szCs w:val="24"/>
        </w:rPr>
        <w:t>Federal rules require state</w:t>
      </w:r>
      <w:r>
        <w:rPr>
          <w:rFonts w:cs="Calibri"/>
          <w:kern w:val="28"/>
          <w:szCs w:val="24"/>
        </w:rPr>
        <w:t xml:space="preserve"> DOTs to establish </w:t>
      </w:r>
      <w:r w:rsidR="007D20C8">
        <w:rPr>
          <w:rFonts w:cs="Calibri"/>
          <w:kern w:val="28"/>
          <w:szCs w:val="24"/>
        </w:rPr>
        <w:t xml:space="preserve">two-year and four-year targets for </w:t>
      </w:r>
      <w:r w:rsidR="00D77244">
        <w:rPr>
          <w:rFonts w:cs="Calibri"/>
          <w:kern w:val="28"/>
          <w:szCs w:val="24"/>
        </w:rPr>
        <w:t>the</w:t>
      </w:r>
      <w:r w:rsidR="007D20C8">
        <w:rPr>
          <w:rFonts w:cs="Calibri"/>
          <w:kern w:val="28"/>
          <w:szCs w:val="24"/>
        </w:rPr>
        <w:t xml:space="preserve"> </w:t>
      </w:r>
      <w:r w:rsidR="00330480">
        <w:rPr>
          <w:rFonts w:cs="Calibri"/>
          <w:kern w:val="28"/>
          <w:szCs w:val="24"/>
        </w:rPr>
        <w:t xml:space="preserve">bridge and </w:t>
      </w:r>
      <w:r w:rsidR="007D20C8">
        <w:rPr>
          <w:rFonts w:cs="Calibri"/>
          <w:kern w:val="28"/>
          <w:szCs w:val="24"/>
        </w:rPr>
        <w:t xml:space="preserve">pavement condition measures. </w:t>
      </w:r>
      <w:r w:rsidR="008C5D75">
        <w:rPr>
          <w:rFonts w:cs="Calibri"/>
          <w:kern w:val="28"/>
          <w:szCs w:val="24"/>
        </w:rPr>
        <w:t xml:space="preserve">On </w:t>
      </w:r>
      <w:r w:rsidR="00726BE3">
        <w:rPr>
          <w:rFonts w:cs="Calibri"/>
          <w:kern w:val="28"/>
          <w:szCs w:val="24"/>
        </w:rPr>
        <w:t>December 16</w:t>
      </w:r>
      <w:r w:rsidR="008C5D75">
        <w:rPr>
          <w:rFonts w:cs="Calibri"/>
          <w:kern w:val="28"/>
          <w:szCs w:val="24"/>
        </w:rPr>
        <w:t>, 20</w:t>
      </w:r>
      <w:r w:rsidR="00726BE3">
        <w:rPr>
          <w:rFonts w:cs="Calibri"/>
          <w:kern w:val="28"/>
          <w:szCs w:val="24"/>
        </w:rPr>
        <w:t>22</w:t>
      </w:r>
      <w:r w:rsidR="008C5D75">
        <w:rPr>
          <w:rFonts w:cs="Calibri"/>
          <w:kern w:val="28"/>
          <w:szCs w:val="24"/>
        </w:rPr>
        <w:t>, FDOT established statewide bridge</w:t>
      </w:r>
      <w:r w:rsidR="00C141DF">
        <w:rPr>
          <w:rFonts w:cs="Calibri"/>
          <w:kern w:val="28"/>
          <w:szCs w:val="24"/>
        </w:rPr>
        <w:t xml:space="preserve"> and pavement</w:t>
      </w:r>
      <w:r w:rsidR="008C5D75">
        <w:rPr>
          <w:rFonts w:cs="Calibri"/>
          <w:kern w:val="28"/>
          <w:szCs w:val="24"/>
        </w:rPr>
        <w:t xml:space="preserve"> targets</w:t>
      </w:r>
      <w:r w:rsidR="001162FB">
        <w:rPr>
          <w:rFonts w:cs="Calibri"/>
          <w:kern w:val="28"/>
          <w:szCs w:val="24"/>
        </w:rPr>
        <w:t xml:space="preserve"> for the </w:t>
      </w:r>
      <w:r w:rsidR="00983577">
        <w:rPr>
          <w:rFonts w:cs="Calibri"/>
          <w:kern w:val="28"/>
          <w:szCs w:val="24"/>
        </w:rPr>
        <w:t>second</w:t>
      </w:r>
      <w:r w:rsidR="001162FB">
        <w:rPr>
          <w:rFonts w:cs="Calibri"/>
          <w:kern w:val="28"/>
          <w:szCs w:val="24"/>
        </w:rPr>
        <w:t xml:space="preserve"> performance period ending in 202</w:t>
      </w:r>
      <w:r w:rsidR="00983577">
        <w:rPr>
          <w:rFonts w:cs="Calibri"/>
          <w:kern w:val="28"/>
          <w:szCs w:val="24"/>
        </w:rPr>
        <w:t>5</w:t>
      </w:r>
      <w:r w:rsidR="008C5D75">
        <w:rPr>
          <w:rFonts w:cs="Calibri"/>
          <w:kern w:val="28"/>
          <w:szCs w:val="24"/>
        </w:rPr>
        <w:t xml:space="preserve">. </w:t>
      </w:r>
      <w:r w:rsidR="00B024AA">
        <w:rPr>
          <w:rFonts w:cs="Calibri"/>
          <w:kern w:val="28"/>
          <w:szCs w:val="24"/>
        </w:rPr>
        <w:t xml:space="preserve">These targets are identical to those set for 2019 and 2021, respectively. Florida’s </w:t>
      </w:r>
      <w:r w:rsidR="009B127A">
        <w:rPr>
          <w:rFonts w:cs="Calibri"/>
          <w:kern w:val="28"/>
          <w:szCs w:val="24"/>
        </w:rPr>
        <w:t xml:space="preserve">performance through 2021 exceeds the targets. </w:t>
      </w:r>
      <w:r w:rsidR="007D20C8" w:rsidRPr="008C5D75">
        <w:rPr>
          <w:rFonts w:cs="Calibri"/>
          <w:kern w:val="28"/>
          <w:szCs w:val="24"/>
        </w:rPr>
        <w:t xml:space="preserve">The two-year </w:t>
      </w:r>
      <w:r w:rsidR="00D77244">
        <w:rPr>
          <w:rFonts w:cs="Calibri"/>
          <w:kern w:val="28"/>
          <w:szCs w:val="24"/>
        </w:rPr>
        <w:t xml:space="preserve">targets </w:t>
      </w:r>
      <w:r w:rsidR="007D20C8" w:rsidRPr="008C5D75">
        <w:rPr>
          <w:rFonts w:cs="Calibri"/>
          <w:kern w:val="28"/>
          <w:szCs w:val="24"/>
        </w:rPr>
        <w:t>represent bridge</w:t>
      </w:r>
      <w:r w:rsidR="00C141DF">
        <w:rPr>
          <w:rFonts w:cs="Calibri"/>
          <w:kern w:val="28"/>
          <w:szCs w:val="24"/>
        </w:rPr>
        <w:t xml:space="preserve"> and pavement</w:t>
      </w:r>
      <w:r w:rsidR="007D20C8" w:rsidRPr="008C5D75">
        <w:rPr>
          <w:rFonts w:cs="Calibri"/>
          <w:kern w:val="28"/>
          <w:szCs w:val="24"/>
        </w:rPr>
        <w:t xml:space="preserve"> condition at the end of calendar year 20</w:t>
      </w:r>
      <w:r w:rsidR="00983577">
        <w:rPr>
          <w:rFonts w:cs="Calibri"/>
          <w:kern w:val="28"/>
          <w:szCs w:val="24"/>
        </w:rPr>
        <w:t>23</w:t>
      </w:r>
      <w:r w:rsidR="00D77244">
        <w:rPr>
          <w:rFonts w:cs="Calibri"/>
          <w:kern w:val="28"/>
          <w:szCs w:val="24"/>
        </w:rPr>
        <w:t xml:space="preserve">, while the four-year targets represent condition at the end of </w:t>
      </w:r>
      <w:r w:rsidR="007D20C8" w:rsidRPr="008C5D75">
        <w:rPr>
          <w:rFonts w:cs="Calibri"/>
          <w:kern w:val="28"/>
          <w:szCs w:val="24"/>
        </w:rPr>
        <w:t>20</w:t>
      </w:r>
      <w:r w:rsidR="00983577">
        <w:rPr>
          <w:rFonts w:cs="Calibri"/>
          <w:kern w:val="28"/>
          <w:szCs w:val="24"/>
        </w:rPr>
        <w:t>25</w:t>
      </w:r>
      <w:r w:rsidR="007D20C8" w:rsidRPr="008C5D75">
        <w:rPr>
          <w:rFonts w:cs="Calibri"/>
          <w:kern w:val="28"/>
          <w:szCs w:val="24"/>
        </w:rPr>
        <w:t xml:space="preserve">. </w:t>
      </w:r>
      <w:r w:rsidR="0047448A">
        <w:rPr>
          <w:rFonts w:cs="Calibri"/>
          <w:kern w:val="28"/>
          <w:szCs w:val="24"/>
        </w:rPr>
        <w:t xml:space="preserve">Table </w:t>
      </w:r>
      <w:r w:rsidR="003B3907">
        <w:rPr>
          <w:rFonts w:cs="Calibri"/>
          <w:kern w:val="28"/>
          <w:szCs w:val="24"/>
        </w:rPr>
        <w:t>4</w:t>
      </w:r>
      <w:r w:rsidR="0047448A">
        <w:rPr>
          <w:rFonts w:cs="Calibri"/>
          <w:kern w:val="28"/>
          <w:szCs w:val="24"/>
        </w:rPr>
        <w:t xml:space="preserve">.1 </w:t>
      </w:r>
      <w:r w:rsidR="00D77244">
        <w:rPr>
          <w:rFonts w:cs="Calibri"/>
          <w:kern w:val="28"/>
          <w:szCs w:val="24"/>
        </w:rPr>
        <w:t>presents</w:t>
      </w:r>
      <w:r w:rsidR="0047448A">
        <w:rPr>
          <w:rFonts w:cs="Calibri"/>
          <w:kern w:val="28"/>
          <w:szCs w:val="24"/>
        </w:rPr>
        <w:t xml:space="preserve"> the statewide targets</w:t>
      </w:r>
      <w:r w:rsidR="00E91250">
        <w:rPr>
          <w:rFonts w:cs="Calibri"/>
          <w:kern w:val="28"/>
          <w:szCs w:val="24"/>
        </w:rPr>
        <w:t xml:space="preserve">. </w:t>
      </w:r>
    </w:p>
    <w:p w14:paraId="5F30A971" w14:textId="77777777" w:rsidR="006B4D82" w:rsidRDefault="006B4D82" w:rsidP="00C56757">
      <w:pPr>
        <w:rPr>
          <w:rFonts w:cs="Calibri"/>
          <w:kern w:val="28"/>
          <w:szCs w:val="24"/>
        </w:rPr>
      </w:pPr>
    </w:p>
    <w:p w14:paraId="69E3110F" w14:textId="3AFDDFCC" w:rsidR="0047448A" w:rsidRDefault="0047448A" w:rsidP="00922E8F">
      <w:pPr>
        <w:keepNext/>
        <w:keepLines/>
        <w:spacing w:after="120"/>
        <w:rPr>
          <w:rFonts w:cs="Calibri"/>
          <w:kern w:val="28"/>
          <w:szCs w:val="24"/>
        </w:rPr>
      </w:pPr>
      <w:r>
        <w:rPr>
          <w:b/>
        </w:rPr>
        <w:lastRenderedPageBreak/>
        <w:t xml:space="preserve">Table </w:t>
      </w:r>
      <w:r w:rsidR="003B3907">
        <w:rPr>
          <w:b/>
        </w:rPr>
        <w:t>4</w:t>
      </w:r>
      <w:r>
        <w:rPr>
          <w:b/>
        </w:rPr>
        <w:t>.1.  Statewide Pavement and Bridge Condition Performance Targets</w:t>
      </w:r>
    </w:p>
    <w:tbl>
      <w:tblPr>
        <w:tblW w:w="945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43" w:type="dxa"/>
          <w:right w:w="43" w:type="dxa"/>
        </w:tblCellMar>
        <w:tblLook w:val="01E0" w:firstRow="1" w:lastRow="1" w:firstColumn="1" w:lastColumn="1" w:noHBand="0" w:noVBand="0"/>
      </w:tblPr>
      <w:tblGrid>
        <w:gridCol w:w="6030"/>
        <w:gridCol w:w="1710"/>
        <w:gridCol w:w="1719"/>
      </w:tblGrid>
      <w:tr w:rsidR="00F469D2" w:rsidRPr="007E16DA" w14:paraId="6966ADF0" w14:textId="4C17DA7E" w:rsidTr="00F469D2">
        <w:trPr>
          <w:trHeight w:val="20"/>
          <w:tblHeader/>
        </w:trPr>
        <w:tc>
          <w:tcPr>
            <w:tcW w:w="6030" w:type="dxa"/>
            <w:vAlign w:val="center"/>
          </w:tcPr>
          <w:p w14:paraId="261074AC" w14:textId="77777777" w:rsidR="00F469D2" w:rsidRPr="007E16DA" w:rsidRDefault="00F469D2" w:rsidP="0000371F">
            <w:pPr>
              <w:pStyle w:val="TableHeadText"/>
            </w:pPr>
            <w:r>
              <w:t xml:space="preserve">Performance </w:t>
            </w:r>
            <w:r w:rsidRPr="007E16DA">
              <w:t>Measure</w:t>
            </w:r>
          </w:p>
        </w:tc>
        <w:tc>
          <w:tcPr>
            <w:tcW w:w="1710" w:type="dxa"/>
            <w:vAlign w:val="bottom"/>
          </w:tcPr>
          <w:p w14:paraId="478A802C" w14:textId="544D47B5" w:rsidR="00F469D2" w:rsidRPr="007E16DA" w:rsidRDefault="00D77244" w:rsidP="0000371F">
            <w:pPr>
              <w:pStyle w:val="TableHeadText"/>
              <w:jc w:val="center"/>
            </w:pPr>
            <w:r w:rsidRPr="00983577">
              <w:t>20</w:t>
            </w:r>
            <w:r w:rsidR="0095114D">
              <w:t>23</w:t>
            </w:r>
            <w:r w:rsidR="00F469D2" w:rsidRPr="007E16DA">
              <w:t xml:space="preserve"> Statewide Target</w:t>
            </w:r>
          </w:p>
        </w:tc>
        <w:tc>
          <w:tcPr>
            <w:tcW w:w="1719" w:type="dxa"/>
            <w:vAlign w:val="center"/>
          </w:tcPr>
          <w:p w14:paraId="3DD9D900" w14:textId="33C4D2E8" w:rsidR="00F469D2" w:rsidRPr="007E16DA" w:rsidRDefault="00D77244" w:rsidP="0000371F">
            <w:pPr>
              <w:pStyle w:val="TableHeadText"/>
              <w:jc w:val="center"/>
            </w:pPr>
            <w:r w:rsidRPr="00983577">
              <w:t>202</w:t>
            </w:r>
            <w:r w:rsidR="00687FF8">
              <w:t>5</w:t>
            </w:r>
            <w:r w:rsidR="00F469D2" w:rsidRPr="007E16DA">
              <w:t xml:space="preserve"> Statewide Target</w:t>
            </w:r>
          </w:p>
        </w:tc>
      </w:tr>
      <w:tr w:rsidR="00F469D2" w:rsidRPr="007E16DA" w14:paraId="1C5774CD" w14:textId="2A6D24FA" w:rsidTr="00F469D2">
        <w:trPr>
          <w:trHeight w:val="20"/>
        </w:trPr>
        <w:tc>
          <w:tcPr>
            <w:tcW w:w="6030" w:type="dxa"/>
            <w:shd w:val="clear" w:color="auto" w:fill="F1F1F1"/>
            <w:vAlign w:val="center"/>
          </w:tcPr>
          <w:p w14:paraId="232BC155" w14:textId="20DBD431" w:rsidR="00F469D2" w:rsidRPr="007E16DA" w:rsidRDefault="00F469D2" w:rsidP="0000371F">
            <w:pPr>
              <w:pStyle w:val="TableBodyText"/>
            </w:pPr>
            <w:r w:rsidRPr="007E16DA">
              <w:t xml:space="preserve">Percent of </w:t>
            </w:r>
            <w:r w:rsidR="000C7687">
              <w:t>NHS bridges (by deck area) in good condition</w:t>
            </w:r>
          </w:p>
        </w:tc>
        <w:tc>
          <w:tcPr>
            <w:tcW w:w="1710" w:type="dxa"/>
            <w:shd w:val="clear" w:color="auto" w:fill="F1F1F1"/>
            <w:vAlign w:val="center"/>
          </w:tcPr>
          <w:p w14:paraId="60A497FE" w14:textId="4CFA3D4A" w:rsidR="00F469D2" w:rsidRPr="007E16DA" w:rsidRDefault="000733F6" w:rsidP="0000371F">
            <w:pPr>
              <w:pStyle w:val="TableBodyText"/>
              <w:jc w:val="center"/>
            </w:pPr>
            <w:r>
              <w:t>50</w:t>
            </w:r>
            <w:r w:rsidR="00F35CAB">
              <w:t>.0</w:t>
            </w:r>
            <w:r w:rsidR="0035765E" w:rsidRPr="007E16DA">
              <w:t>%</w:t>
            </w:r>
          </w:p>
        </w:tc>
        <w:tc>
          <w:tcPr>
            <w:tcW w:w="1719" w:type="dxa"/>
            <w:shd w:val="clear" w:color="auto" w:fill="F1F1F1"/>
            <w:vAlign w:val="center"/>
          </w:tcPr>
          <w:p w14:paraId="2567DB5E" w14:textId="4E80A093" w:rsidR="00F469D2" w:rsidRPr="007E16DA" w:rsidRDefault="000733F6" w:rsidP="0000371F">
            <w:pPr>
              <w:pStyle w:val="TableBodyText"/>
              <w:jc w:val="center"/>
            </w:pPr>
            <w:r>
              <w:t>50</w:t>
            </w:r>
            <w:r w:rsidR="00817B84">
              <w:t>.0</w:t>
            </w:r>
            <w:r w:rsidR="00F469D2" w:rsidRPr="007E16DA">
              <w:t>%</w:t>
            </w:r>
          </w:p>
        </w:tc>
      </w:tr>
      <w:tr w:rsidR="00F469D2" w:rsidRPr="007E16DA" w14:paraId="08885C12" w14:textId="3389D975" w:rsidTr="00F469D2">
        <w:tc>
          <w:tcPr>
            <w:tcW w:w="6030" w:type="dxa"/>
            <w:vAlign w:val="center"/>
          </w:tcPr>
          <w:p w14:paraId="6228932B" w14:textId="31391898" w:rsidR="00F469D2" w:rsidRPr="007E16DA" w:rsidRDefault="00F469D2" w:rsidP="0000371F">
            <w:pPr>
              <w:pStyle w:val="TableBodyText"/>
            </w:pPr>
            <w:r w:rsidRPr="007E16DA">
              <w:t xml:space="preserve">Percent of </w:t>
            </w:r>
            <w:r w:rsidR="000C7687">
              <w:t>NHS bridges (by deck area) in poor condition</w:t>
            </w:r>
          </w:p>
        </w:tc>
        <w:tc>
          <w:tcPr>
            <w:tcW w:w="1710" w:type="dxa"/>
            <w:vAlign w:val="center"/>
          </w:tcPr>
          <w:p w14:paraId="49A2C963" w14:textId="370E2D81" w:rsidR="00F469D2" w:rsidRPr="007E16DA" w:rsidRDefault="000733F6" w:rsidP="0000371F">
            <w:pPr>
              <w:pStyle w:val="TableBodyText"/>
              <w:jc w:val="center"/>
            </w:pPr>
            <w:r>
              <w:t>10</w:t>
            </w:r>
            <w:r w:rsidR="00F35CAB">
              <w:t>.0</w:t>
            </w:r>
            <w:r w:rsidR="0035765E" w:rsidRPr="007E16DA">
              <w:t>%</w:t>
            </w:r>
          </w:p>
        </w:tc>
        <w:tc>
          <w:tcPr>
            <w:tcW w:w="1719" w:type="dxa"/>
            <w:vAlign w:val="center"/>
          </w:tcPr>
          <w:p w14:paraId="0514C2F8" w14:textId="379D0417" w:rsidR="00F469D2" w:rsidRPr="007E16DA" w:rsidRDefault="000733F6" w:rsidP="0000371F">
            <w:pPr>
              <w:pStyle w:val="TableBodyText"/>
              <w:jc w:val="center"/>
            </w:pPr>
            <w:r>
              <w:t>10</w:t>
            </w:r>
            <w:r w:rsidR="00817B84">
              <w:t>.0</w:t>
            </w:r>
            <w:r w:rsidR="00F469D2" w:rsidRPr="007E16DA">
              <w:t>%</w:t>
            </w:r>
          </w:p>
        </w:tc>
      </w:tr>
      <w:tr w:rsidR="00F469D2" w:rsidRPr="007E16DA" w14:paraId="6BD4E4E7" w14:textId="17294A4C" w:rsidTr="00F469D2">
        <w:tc>
          <w:tcPr>
            <w:tcW w:w="6030" w:type="dxa"/>
            <w:shd w:val="clear" w:color="auto" w:fill="F1F1F1"/>
            <w:vAlign w:val="center"/>
          </w:tcPr>
          <w:p w14:paraId="7240C5F3" w14:textId="30C82492" w:rsidR="00F469D2" w:rsidRPr="007E16DA" w:rsidRDefault="00F469D2" w:rsidP="0000371F">
            <w:pPr>
              <w:pStyle w:val="TableBodyText"/>
            </w:pPr>
            <w:r w:rsidRPr="007E16DA">
              <w:t xml:space="preserve">Percent of </w:t>
            </w:r>
            <w:r w:rsidR="001C1392">
              <w:t xml:space="preserve">Interstate </w:t>
            </w:r>
            <w:r w:rsidRPr="007E16DA">
              <w:t>pavements in good condition</w:t>
            </w:r>
          </w:p>
        </w:tc>
        <w:tc>
          <w:tcPr>
            <w:tcW w:w="1710" w:type="dxa"/>
            <w:shd w:val="clear" w:color="auto" w:fill="F1F1F1"/>
            <w:vAlign w:val="center"/>
          </w:tcPr>
          <w:p w14:paraId="39F6E9F2" w14:textId="35F47DBD" w:rsidR="00F469D2" w:rsidRPr="007E16DA" w:rsidRDefault="005F0BCB" w:rsidP="0000371F">
            <w:pPr>
              <w:pStyle w:val="TableBodyText"/>
              <w:jc w:val="center"/>
            </w:pPr>
            <w:r>
              <w:t>60</w:t>
            </w:r>
            <w:r w:rsidR="00F35CAB">
              <w:t>.0</w:t>
            </w:r>
            <w:r w:rsidR="00F469D2" w:rsidRPr="007E16DA">
              <w:t>%</w:t>
            </w:r>
          </w:p>
        </w:tc>
        <w:tc>
          <w:tcPr>
            <w:tcW w:w="1719" w:type="dxa"/>
            <w:shd w:val="clear" w:color="auto" w:fill="F1F1F1"/>
            <w:vAlign w:val="center"/>
          </w:tcPr>
          <w:p w14:paraId="5079CDB1" w14:textId="1DB2BFBF" w:rsidR="00F469D2" w:rsidRPr="007E16DA" w:rsidRDefault="005F0BCB" w:rsidP="0000371F">
            <w:pPr>
              <w:pStyle w:val="TableBodyText"/>
              <w:jc w:val="center"/>
            </w:pPr>
            <w:r>
              <w:t>60</w:t>
            </w:r>
            <w:r w:rsidR="00817B84">
              <w:t>.0</w:t>
            </w:r>
            <w:r w:rsidR="00F469D2" w:rsidRPr="007E16DA">
              <w:t>%</w:t>
            </w:r>
          </w:p>
        </w:tc>
      </w:tr>
      <w:tr w:rsidR="00F469D2" w:rsidRPr="007E16DA" w14:paraId="61E1900F" w14:textId="66C078BE" w:rsidTr="00F469D2">
        <w:tc>
          <w:tcPr>
            <w:tcW w:w="6030" w:type="dxa"/>
            <w:vAlign w:val="center"/>
          </w:tcPr>
          <w:p w14:paraId="615E5772" w14:textId="462469A6" w:rsidR="00F469D2" w:rsidRPr="007E16DA" w:rsidRDefault="00F469D2" w:rsidP="0000371F">
            <w:pPr>
              <w:pStyle w:val="TableBodyText"/>
            </w:pPr>
            <w:r w:rsidRPr="007E16DA">
              <w:t xml:space="preserve">Percent of </w:t>
            </w:r>
            <w:r w:rsidR="001C1392">
              <w:t xml:space="preserve">Interstate </w:t>
            </w:r>
            <w:r w:rsidRPr="007E16DA">
              <w:t>pavements in poor condition</w:t>
            </w:r>
          </w:p>
        </w:tc>
        <w:tc>
          <w:tcPr>
            <w:tcW w:w="1710" w:type="dxa"/>
            <w:vAlign w:val="center"/>
          </w:tcPr>
          <w:p w14:paraId="7B4D8F0C" w14:textId="7F888742" w:rsidR="00F469D2" w:rsidRPr="007E16DA" w:rsidRDefault="00F469D2" w:rsidP="0000371F">
            <w:pPr>
              <w:pStyle w:val="TableBodyText"/>
              <w:jc w:val="center"/>
            </w:pPr>
            <w:r w:rsidRPr="007E16DA">
              <w:t>5</w:t>
            </w:r>
            <w:r w:rsidR="00817B84">
              <w:t>.0</w:t>
            </w:r>
            <w:r w:rsidRPr="007E16DA">
              <w:t>%</w:t>
            </w:r>
          </w:p>
        </w:tc>
        <w:tc>
          <w:tcPr>
            <w:tcW w:w="1719" w:type="dxa"/>
            <w:vAlign w:val="center"/>
          </w:tcPr>
          <w:p w14:paraId="6975A902" w14:textId="6D72D09C" w:rsidR="00F469D2" w:rsidRPr="007E16DA" w:rsidRDefault="00F469D2" w:rsidP="0000371F">
            <w:pPr>
              <w:pStyle w:val="TableBodyText"/>
              <w:jc w:val="center"/>
            </w:pPr>
            <w:r w:rsidRPr="007E16DA">
              <w:t>5</w:t>
            </w:r>
            <w:r w:rsidR="00817B84">
              <w:t>.0</w:t>
            </w:r>
            <w:r w:rsidRPr="007E16DA">
              <w:t>%</w:t>
            </w:r>
          </w:p>
        </w:tc>
      </w:tr>
      <w:tr w:rsidR="00F469D2" w:rsidRPr="007E16DA" w14:paraId="28F11138" w14:textId="69498F7F" w:rsidTr="00F469D2">
        <w:tc>
          <w:tcPr>
            <w:tcW w:w="6030" w:type="dxa"/>
            <w:shd w:val="clear" w:color="auto" w:fill="F1F1F1"/>
            <w:vAlign w:val="center"/>
          </w:tcPr>
          <w:p w14:paraId="25608397" w14:textId="557940C7" w:rsidR="00F469D2" w:rsidRPr="007E16DA" w:rsidRDefault="00F469D2" w:rsidP="0000371F">
            <w:pPr>
              <w:pStyle w:val="TableBodyText"/>
            </w:pPr>
            <w:r w:rsidRPr="007E16DA">
              <w:t xml:space="preserve">Percent of </w:t>
            </w:r>
            <w:r w:rsidR="003B65A5">
              <w:t>non-Interstate pavements</w:t>
            </w:r>
            <w:r w:rsidRPr="007E16DA">
              <w:t xml:space="preserve"> in good condition</w:t>
            </w:r>
          </w:p>
        </w:tc>
        <w:tc>
          <w:tcPr>
            <w:tcW w:w="1710" w:type="dxa"/>
            <w:shd w:val="clear" w:color="auto" w:fill="F1F1F1"/>
            <w:vAlign w:val="center"/>
          </w:tcPr>
          <w:p w14:paraId="02A5002A" w14:textId="33B9F9BF" w:rsidR="00F469D2" w:rsidRPr="007E16DA" w:rsidRDefault="001D476C" w:rsidP="0000371F">
            <w:pPr>
              <w:pStyle w:val="TableBodyText"/>
              <w:jc w:val="center"/>
            </w:pPr>
            <w:r>
              <w:t>40</w:t>
            </w:r>
            <w:r w:rsidR="00817B84">
              <w:t>.0</w:t>
            </w:r>
            <w:r w:rsidR="00F469D2" w:rsidRPr="007E16DA">
              <w:t>%</w:t>
            </w:r>
          </w:p>
        </w:tc>
        <w:tc>
          <w:tcPr>
            <w:tcW w:w="1719" w:type="dxa"/>
            <w:shd w:val="clear" w:color="auto" w:fill="F1F1F1"/>
            <w:vAlign w:val="center"/>
          </w:tcPr>
          <w:p w14:paraId="0F04099A" w14:textId="68B9E2C9" w:rsidR="00F469D2" w:rsidRPr="007E16DA" w:rsidRDefault="001D476C" w:rsidP="0000371F">
            <w:pPr>
              <w:pStyle w:val="TableBodyText"/>
              <w:jc w:val="center"/>
            </w:pPr>
            <w:r>
              <w:t>40</w:t>
            </w:r>
            <w:r w:rsidR="00817B84">
              <w:t>.0</w:t>
            </w:r>
            <w:r w:rsidR="00F469D2" w:rsidRPr="007E16DA">
              <w:t>%</w:t>
            </w:r>
          </w:p>
        </w:tc>
      </w:tr>
      <w:tr w:rsidR="00F469D2" w:rsidRPr="007E16DA" w14:paraId="0958ECBD" w14:textId="60F3793B" w:rsidTr="00F469D2">
        <w:tc>
          <w:tcPr>
            <w:tcW w:w="6030" w:type="dxa"/>
            <w:vAlign w:val="center"/>
          </w:tcPr>
          <w:p w14:paraId="432E6BA2" w14:textId="11D5C9F0" w:rsidR="00F469D2" w:rsidRPr="007E16DA" w:rsidRDefault="00F469D2" w:rsidP="0000371F">
            <w:pPr>
              <w:pStyle w:val="TableBodyText"/>
            </w:pPr>
            <w:r w:rsidRPr="007E16DA">
              <w:t xml:space="preserve">Percent of </w:t>
            </w:r>
            <w:r w:rsidR="003B65A5">
              <w:t xml:space="preserve">non-Interstate </w:t>
            </w:r>
            <w:r w:rsidR="000733F6">
              <w:t>pavements</w:t>
            </w:r>
            <w:r w:rsidRPr="007E16DA">
              <w:t xml:space="preserve"> in poor condition</w:t>
            </w:r>
          </w:p>
        </w:tc>
        <w:tc>
          <w:tcPr>
            <w:tcW w:w="1710" w:type="dxa"/>
            <w:vAlign w:val="center"/>
          </w:tcPr>
          <w:p w14:paraId="66E3FAF8" w14:textId="00AED727" w:rsidR="00F469D2" w:rsidRPr="007E16DA" w:rsidRDefault="001D476C" w:rsidP="0000371F">
            <w:pPr>
              <w:pStyle w:val="TableBodyText"/>
              <w:jc w:val="center"/>
            </w:pPr>
            <w:r>
              <w:t>5</w:t>
            </w:r>
            <w:r w:rsidR="00817B84">
              <w:t>.0</w:t>
            </w:r>
            <w:r w:rsidR="00F469D2" w:rsidRPr="007E16DA">
              <w:t>%</w:t>
            </w:r>
          </w:p>
        </w:tc>
        <w:tc>
          <w:tcPr>
            <w:tcW w:w="1719" w:type="dxa"/>
            <w:vAlign w:val="center"/>
          </w:tcPr>
          <w:p w14:paraId="531FE31F" w14:textId="3E3E2B6F" w:rsidR="00F469D2" w:rsidRPr="007E16DA" w:rsidRDefault="001D476C" w:rsidP="0000371F">
            <w:pPr>
              <w:pStyle w:val="TableBodyText"/>
              <w:jc w:val="center"/>
            </w:pPr>
            <w:r>
              <w:t>5</w:t>
            </w:r>
            <w:r w:rsidR="00817B84">
              <w:t>.0</w:t>
            </w:r>
            <w:r w:rsidR="00F469D2" w:rsidRPr="007E16DA">
              <w:t>%</w:t>
            </w:r>
          </w:p>
        </w:tc>
      </w:tr>
    </w:tbl>
    <w:p w14:paraId="337EC549" w14:textId="77777777" w:rsidR="0047448A" w:rsidRDefault="0047448A" w:rsidP="0047448A">
      <w:pPr>
        <w:keepNext/>
        <w:keepLines/>
        <w:rPr>
          <w:rFonts w:cs="Calibri"/>
          <w:kern w:val="28"/>
          <w:szCs w:val="24"/>
        </w:rPr>
      </w:pPr>
    </w:p>
    <w:p w14:paraId="216344F5" w14:textId="34CCED4D" w:rsidR="0047448A" w:rsidRPr="007E16DA" w:rsidRDefault="0047448A" w:rsidP="003D07C8">
      <w:pPr>
        <w:keepNext/>
        <w:keepLines/>
        <w:rPr>
          <w:rFonts w:cs="Calibri"/>
          <w:szCs w:val="24"/>
        </w:rPr>
      </w:pPr>
      <w:r>
        <w:rPr>
          <w:rFonts w:cs="Calibri"/>
          <w:kern w:val="28"/>
          <w:szCs w:val="24"/>
        </w:rPr>
        <w:t xml:space="preserve">For comparative purposes, </w:t>
      </w:r>
      <w:r w:rsidR="003E6A15">
        <w:rPr>
          <w:rFonts w:cs="Calibri"/>
          <w:szCs w:val="24"/>
        </w:rPr>
        <w:t>the baseline (20</w:t>
      </w:r>
      <w:r w:rsidR="00D22E31">
        <w:rPr>
          <w:rFonts w:cs="Calibri"/>
          <w:szCs w:val="24"/>
        </w:rPr>
        <w:t>21</w:t>
      </w:r>
      <w:r w:rsidR="003E6A15">
        <w:rPr>
          <w:rFonts w:cs="Calibri"/>
          <w:szCs w:val="24"/>
        </w:rPr>
        <w:t xml:space="preserve">) </w:t>
      </w:r>
      <w:r>
        <w:rPr>
          <w:rFonts w:cs="Calibri"/>
          <w:szCs w:val="24"/>
        </w:rPr>
        <w:t>conditions are as follows:</w:t>
      </w:r>
    </w:p>
    <w:p w14:paraId="77B27D1B" w14:textId="02B6C16C" w:rsidR="002E5D56" w:rsidRPr="00BF3B9B" w:rsidRDefault="004B73EB" w:rsidP="0000371F">
      <w:pPr>
        <w:pStyle w:val="ListBullet"/>
      </w:pPr>
      <w:r w:rsidRPr="002E5D56">
        <w:t>6</w:t>
      </w:r>
      <w:r w:rsidR="00425F39">
        <w:t>1.3</w:t>
      </w:r>
      <w:r w:rsidRPr="002E5D56">
        <w:t xml:space="preserve"> percent of NHS bridges (by deck area) is in good condition and </w:t>
      </w:r>
      <w:r w:rsidR="00A63B7C">
        <w:t>0</w:t>
      </w:r>
      <w:r w:rsidRPr="002E5D56">
        <w:t>.</w:t>
      </w:r>
      <w:r w:rsidR="00A63B7C">
        <w:t>5</w:t>
      </w:r>
      <w:r w:rsidRPr="002E5D56">
        <w:t xml:space="preserve"> percent is in poor condition.</w:t>
      </w:r>
    </w:p>
    <w:p w14:paraId="785930C2" w14:textId="4A2CE64D" w:rsidR="0047448A" w:rsidRPr="002E5D56" w:rsidRDefault="00451545" w:rsidP="0000371F">
      <w:pPr>
        <w:pStyle w:val="ListBullet"/>
      </w:pPr>
      <w:r w:rsidRPr="002E5D56">
        <w:t>70.</w:t>
      </w:r>
      <w:r w:rsidR="00A63B7C">
        <w:t>5</w:t>
      </w:r>
      <w:r w:rsidR="0047448A" w:rsidRPr="002E5D56">
        <w:t xml:space="preserve"> percent of the Interstate pavement is in good condition and </w:t>
      </w:r>
      <w:r w:rsidRPr="002E5D56">
        <w:t>0.7</w:t>
      </w:r>
      <w:r w:rsidR="0047448A" w:rsidRPr="002E5D56">
        <w:t xml:space="preserve"> percent is in poor condition;</w:t>
      </w:r>
    </w:p>
    <w:p w14:paraId="10B086CE" w14:textId="5E490020" w:rsidR="0047448A" w:rsidRPr="00BF3B9B" w:rsidRDefault="00171863" w:rsidP="0000371F">
      <w:pPr>
        <w:pStyle w:val="ListBullet"/>
      </w:pPr>
      <w:r>
        <w:t>47.5</w:t>
      </w:r>
      <w:r w:rsidR="0047448A" w:rsidRPr="00BF3B9B">
        <w:t xml:space="preserve"> percent of the non-Interstate NHS pavement is in good condition and </w:t>
      </w:r>
      <w:r>
        <w:t>1.1</w:t>
      </w:r>
      <w:r w:rsidR="0047448A" w:rsidRPr="00BF3B9B">
        <w:t xml:space="preserve"> percent is in poor condition; and</w:t>
      </w:r>
    </w:p>
    <w:p w14:paraId="3BE5EE23" w14:textId="225CEC7C" w:rsidR="008B194B" w:rsidRPr="004B73EB" w:rsidRDefault="008B194B" w:rsidP="00EB09A6">
      <w:pPr>
        <w:tabs>
          <w:tab w:val="left" w:pos="2250"/>
        </w:tabs>
        <w:jc w:val="left"/>
        <w:rPr>
          <w:rFonts w:cs="Calibri"/>
          <w:bCs/>
          <w:color w:val="000000"/>
          <w:kern w:val="36"/>
          <w:szCs w:val="24"/>
        </w:rPr>
      </w:pPr>
      <w:r w:rsidRPr="004B73EB">
        <w:rPr>
          <w:rFonts w:cs="Calibri"/>
          <w:bCs/>
          <w:color w:val="000000"/>
          <w:kern w:val="36"/>
          <w:szCs w:val="24"/>
        </w:rPr>
        <w:t xml:space="preserve">In determining its approach to </w:t>
      </w:r>
      <w:r w:rsidR="00A14CB6" w:rsidRPr="004B73EB">
        <w:rPr>
          <w:rFonts w:cs="Calibri"/>
          <w:bCs/>
          <w:color w:val="000000"/>
          <w:kern w:val="36"/>
          <w:szCs w:val="24"/>
        </w:rPr>
        <w:t>establishing</w:t>
      </w:r>
      <w:r w:rsidRPr="004B73EB">
        <w:rPr>
          <w:rFonts w:cs="Calibri"/>
          <w:bCs/>
          <w:color w:val="000000"/>
          <w:kern w:val="36"/>
          <w:szCs w:val="24"/>
        </w:rPr>
        <w:t xml:space="preserve"> performance targets for the federal bridge</w:t>
      </w:r>
      <w:r w:rsidR="00CC7D61">
        <w:rPr>
          <w:rFonts w:cs="Calibri"/>
          <w:bCs/>
          <w:color w:val="000000"/>
          <w:kern w:val="36"/>
          <w:szCs w:val="24"/>
        </w:rPr>
        <w:t xml:space="preserve"> and pavement</w:t>
      </w:r>
      <w:r w:rsidRPr="004B73EB">
        <w:rPr>
          <w:rFonts w:cs="Calibri"/>
          <w:bCs/>
          <w:color w:val="000000"/>
          <w:kern w:val="36"/>
          <w:szCs w:val="24"/>
        </w:rPr>
        <w:t xml:space="preserve"> condition performance measures, FDOT considered many factors</w:t>
      </w:r>
      <w:r w:rsidR="00E91250" w:rsidRPr="004B73EB">
        <w:rPr>
          <w:rFonts w:cs="Calibri"/>
          <w:bCs/>
          <w:color w:val="000000"/>
          <w:kern w:val="36"/>
          <w:szCs w:val="24"/>
        </w:rPr>
        <w:t xml:space="preserve">. </w:t>
      </w:r>
      <w:r w:rsidR="00750A4A" w:rsidRPr="004B73EB">
        <w:rPr>
          <w:rFonts w:cs="Calibri"/>
          <w:bCs/>
          <w:color w:val="000000"/>
          <w:kern w:val="36"/>
          <w:szCs w:val="24"/>
        </w:rPr>
        <w:t>FDOT</w:t>
      </w:r>
      <w:r w:rsidRPr="004B73EB">
        <w:rPr>
          <w:rFonts w:cs="Calibri"/>
          <w:bCs/>
          <w:color w:val="000000"/>
          <w:kern w:val="36"/>
          <w:szCs w:val="24"/>
        </w:rPr>
        <w:t xml:space="preserve"> is mandated by Florida Statute 334.046 to preserve the state’s bridges </w:t>
      </w:r>
      <w:r w:rsidR="00891147">
        <w:rPr>
          <w:rFonts w:cs="Calibri"/>
          <w:bCs/>
          <w:color w:val="000000"/>
          <w:kern w:val="36"/>
          <w:szCs w:val="24"/>
        </w:rPr>
        <w:t xml:space="preserve">and pavement </w:t>
      </w:r>
      <w:r w:rsidRPr="004B73EB">
        <w:rPr>
          <w:rFonts w:cs="Calibri"/>
          <w:bCs/>
          <w:color w:val="000000"/>
          <w:kern w:val="36"/>
          <w:szCs w:val="24"/>
        </w:rPr>
        <w:t xml:space="preserve">to specific </w:t>
      </w:r>
      <w:r w:rsidR="000C0DF4" w:rsidRPr="004B73EB">
        <w:rPr>
          <w:rFonts w:cs="Calibri"/>
          <w:bCs/>
          <w:color w:val="000000"/>
          <w:kern w:val="36"/>
          <w:szCs w:val="24"/>
        </w:rPr>
        <w:t xml:space="preserve">state-defined </w:t>
      </w:r>
      <w:r w:rsidRPr="004B73EB">
        <w:rPr>
          <w:rFonts w:cs="Calibri"/>
          <w:bCs/>
          <w:color w:val="000000"/>
          <w:kern w:val="36"/>
          <w:szCs w:val="24"/>
        </w:rPr>
        <w:t>standards</w:t>
      </w:r>
      <w:r w:rsidR="00E91250" w:rsidRPr="004B73EB">
        <w:rPr>
          <w:rFonts w:cs="Calibri"/>
          <w:bCs/>
          <w:color w:val="000000"/>
          <w:kern w:val="36"/>
          <w:szCs w:val="24"/>
        </w:rPr>
        <w:t xml:space="preserve">. </w:t>
      </w:r>
      <w:r w:rsidRPr="004B73EB">
        <w:rPr>
          <w:rFonts w:cs="Calibri"/>
          <w:bCs/>
          <w:color w:val="000000"/>
          <w:kern w:val="36"/>
          <w:szCs w:val="24"/>
        </w:rPr>
        <w:t xml:space="preserve">To adhere to the statutory guidelines, </w:t>
      </w:r>
      <w:r w:rsidR="00750A4A" w:rsidRPr="004B73EB">
        <w:rPr>
          <w:rFonts w:cs="Calibri"/>
          <w:bCs/>
          <w:color w:val="000000"/>
          <w:kern w:val="36"/>
          <w:szCs w:val="24"/>
        </w:rPr>
        <w:t>FDOT</w:t>
      </w:r>
      <w:r w:rsidRPr="004B73EB">
        <w:rPr>
          <w:rFonts w:cs="Calibri"/>
          <w:bCs/>
          <w:color w:val="000000"/>
          <w:kern w:val="36"/>
          <w:szCs w:val="24"/>
        </w:rPr>
        <w:t xml:space="preserve"> prioritizes funding allocations to ensure the current transportation system is adequately preserved and maintained before funding is allocated for capacity improvements</w:t>
      </w:r>
      <w:r w:rsidR="00E91250" w:rsidRPr="004B73EB">
        <w:rPr>
          <w:rFonts w:cs="Calibri"/>
          <w:bCs/>
          <w:color w:val="000000"/>
          <w:kern w:val="36"/>
          <w:szCs w:val="24"/>
        </w:rPr>
        <w:t xml:space="preserve">. </w:t>
      </w:r>
      <w:r w:rsidRPr="004B73EB">
        <w:rPr>
          <w:rFonts w:cs="Calibri"/>
          <w:bCs/>
          <w:color w:val="000000"/>
          <w:kern w:val="36"/>
          <w:szCs w:val="24"/>
        </w:rPr>
        <w:t xml:space="preserve">These </w:t>
      </w:r>
      <w:r w:rsidR="001B1FCA" w:rsidRPr="004B73EB">
        <w:rPr>
          <w:rFonts w:cs="Calibri"/>
          <w:bCs/>
          <w:color w:val="000000"/>
          <w:kern w:val="36"/>
          <w:szCs w:val="24"/>
        </w:rPr>
        <w:t xml:space="preserve">state </w:t>
      </w:r>
      <w:r w:rsidRPr="004B73EB">
        <w:rPr>
          <w:rFonts w:cs="Calibri"/>
          <w:bCs/>
          <w:color w:val="000000"/>
          <w:kern w:val="36"/>
          <w:szCs w:val="24"/>
        </w:rPr>
        <w:t>statutory guidelines envelope the statewide federal targets that have been established for pavements and bridges.</w:t>
      </w:r>
    </w:p>
    <w:p w14:paraId="7EED7F0A" w14:textId="2BADEB85" w:rsidR="008B194B" w:rsidRDefault="008B194B" w:rsidP="00922E8F">
      <w:pPr>
        <w:tabs>
          <w:tab w:val="left" w:pos="2250"/>
        </w:tabs>
        <w:rPr>
          <w:rFonts w:cs="Calibri"/>
          <w:bCs/>
          <w:color w:val="000000"/>
          <w:kern w:val="36"/>
          <w:szCs w:val="24"/>
        </w:rPr>
      </w:pPr>
      <w:r>
        <w:rPr>
          <w:rFonts w:cs="Calibri"/>
          <w:bCs/>
          <w:color w:val="000000"/>
          <w:kern w:val="36"/>
          <w:szCs w:val="24"/>
        </w:rPr>
        <w:t>In addition, F</w:t>
      </w:r>
      <w:r w:rsidRPr="00C3591D">
        <w:rPr>
          <w:rFonts w:cs="Calibri"/>
          <w:bCs/>
          <w:color w:val="000000"/>
          <w:kern w:val="36"/>
          <w:szCs w:val="24"/>
        </w:rPr>
        <w:t>DOT</w:t>
      </w:r>
      <w:r>
        <w:rPr>
          <w:rFonts w:cs="Calibri"/>
          <w:bCs/>
          <w:color w:val="000000"/>
          <w:kern w:val="36"/>
          <w:szCs w:val="24"/>
        </w:rPr>
        <w:t xml:space="preserve"> </w:t>
      </w:r>
      <w:r w:rsidRPr="00C3591D">
        <w:rPr>
          <w:rFonts w:cs="Calibri"/>
          <w:bCs/>
          <w:color w:val="000000"/>
          <w:kern w:val="36"/>
          <w:szCs w:val="24"/>
        </w:rPr>
        <w:t>develop</w:t>
      </w:r>
      <w:r w:rsidR="00633516">
        <w:rPr>
          <w:rFonts w:cs="Calibri"/>
          <w:bCs/>
          <w:color w:val="000000"/>
          <w:kern w:val="36"/>
          <w:szCs w:val="24"/>
        </w:rPr>
        <w:t>s</w:t>
      </w:r>
      <w:r w:rsidRPr="00C3591D">
        <w:rPr>
          <w:rFonts w:cs="Calibri"/>
          <w:bCs/>
          <w:color w:val="000000"/>
          <w:kern w:val="36"/>
          <w:szCs w:val="24"/>
        </w:rPr>
        <w:t xml:space="preserve"> a Transportation Asset</w:t>
      </w:r>
      <w:r>
        <w:rPr>
          <w:rFonts w:cs="Calibri"/>
          <w:bCs/>
          <w:color w:val="000000"/>
          <w:kern w:val="36"/>
          <w:szCs w:val="24"/>
        </w:rPr>
        <w:t xml:space="preserve"> </w:t>
      </w:r>
      <w:r w:rsidRPr="00C3591D">
        <w:rPr>
          <w:rFonts w:cs="Calibri"/>
          <w:bCs/>
          <w:color w:val="000000"/>
          <w:kern w:val="36"/>
          <w:szCs w:val="24"/>
        </w:rPr>
        <w:t>Management Plan (TAMP) for all</w:t>
      </w:r>
      <w:r>
        <w:rPr>
          <w:rFonts w:cs="Calibri"/>
          <w:bCs/>
          <w:color w:val="000000"/>
          <w:kern w:val="36"/>
          <w:szCs w:val="24"/>
        </w:rPr>
        <w:t xml:space="preserve"> </w:t>
      </w:r>
      <w:r w:rsidRPr="00C3591D">
        <w:rPr>
          <w:rFonts w:cs="Calibri"/>
          <w:bCs/>
          <w:color w:val="000000"/>
          <w:kern w:val="36"/>
          <w:szCs w:val="24"/>
        </w:rPr>
        <w:t>NHS pavements and bridges within</w:t>
      </w:r>
      <w:r>
        <w:rPr>
          <w:rFonts w:cs="Calibri"/>
          <w:bCs/>
          <w:color w:val="000000"/>
          <w:kern w:val="36"/>
          <w:szCs w:val="24"/>
        </w:rPr>
        <w:t xml:space="preserve"> </w:t>
      </w:r>
      <w:r w:rsidRPr="00C3591D">
        <w:rPr>
          <w:rFonts w:cs="Calibri"/>
          <w:bCs/>
          <w:color w:val="000000"/>
          <w:kern w:val="36"/>
          <w:szCs w:val="24"/>
        </w:rPr>
        <w:t>the state</w:t>
      </w:r>
      <w:r w:rsidR="00E91250">
        <w:rPr>
          <w:rFonts w:cs="Calibri"/>
          <w:bCs/>
          <w:color w:val="000000"/>
          <w:kern w:val="36"/>
          <w:szCs w:val="24"/>
        </w:rPr>
        <w:t xml:space="preserve">. </w:t>
      </w:r>
      <w:r w:rsidRPr="00C3591D">
        <w:rPr>
          <w:rFonts w:cs="Calibri"/>
          <w:bCs/>
          <w:color w:val="000000"/>
          <w:kern w:val="36"/>
          <w:szCs w:val="24"/>
        </w:rPr>
        <w:t>The TAMP must include</w:t>
      </w:r>
      <w:r>
        <w:rPr>
          <w:rFonts w:cs="Calibri"/>
          <w:bCs/>
          <w:color w:val="000000"/>
          <w:kern w:val="36"/>
          <w:szCs w:val="24"/>
        </w:rPr>
        <w:t xml:space="preserve"> </w:t>
      </w:r>
      <w:r w:rsidRPr="00C3591D">
        <w:rPr>
          <w:rFonts w:cs="Calibri"/>
          <w:bCs/>
          <w:color w:val="000000"/>
          <w:kern w:val="36"/>
          <w:szCs w:val="24"/>
        </w:rPr>
        <w:t>investment strategies leading to a</w:t>
      </w:r>
      <w:r>
        <w:rPr>
          <w:rFonts w:cs="Calibri"/>
          <w:bCs/>
          <w:color w:val="000000"/>
          <w:kern w:val="36"/>
          <w:szCs w:val="24"/>
        </w:rPr>
        <w:t xml:space="preserve"> </w:t>
      </w:r>
      <w:r w:rsidRPr="00C3591D">
        <w:rPr>
          <w:rFonts w:cs="Calibri"/>
          <w:bCs/>
          <w:color w:val="000000"/>
          <w:kern w:val="36"/>
          <w:szCs w:val="24"/>
        </w:rPr>
        <w:t>program of projects that would</w:t>
      </w:r>
      <w:r>
        <w:rPr>
          <w:rFonts w:cs="Calibri"/>
          <w:bCs/>
          <w:color w:val="000000"/>
          <w:kern w:val="36"/>
          <w:szCs w:val="24"/>
        </w:rPr>
        <w:t xml:space="preserve"> </w:t>
      </w:r>
      <w:r w:rsidRPr="00C3591D">
        <w:rPr>
          <w:rFonts w:cs="Calibri"/>
          <w:bCs/>
          <w:color w:val="000000"/>
          <w:kern w:val="36"/>
          <w:szCs w:val="24"/>
        </w:rPr>
        <w:t>make progress toward</w:t>
      </w:r>
      <w:r>
        <w:rPr>
          <w:rFonts w:cs="Calibri"/>
          <w:bCs/>
          <w:color w:val="000000"/>
          <w:kern w:val="36"/>
          <w:szCs w:val="24"/>
        </w:rPr>
        <w:t xml:space="preserve"> </w:t>
      </w:r>
      <w:r w:rsidRPr="00C3591D">
        <w:rPr>
          <w:rFonts w:cs="Calibri"/>
          <w:bCs/>
          <w:color w:val="000000"/>
          <w:kern w:val="36"/>
          <w:szCs w:val="24"/>
        </w:rPr>
        <w:t xml:space="preserve">achievement of the </w:t>
      </w:r>
      <w:r w:rsidR="00633516">
        <w:rPr>
          <w:rFonts w:cs="Calibri"/>
          <w:bCs/>
          <w:color w:val="000000"/>
          <w:kern w:val="36"/>
          <w:szCs w:val="24"/>
        </w:rPr>
        <w:t>S</w:t>
      </w:r>
      <w:r w:rsidRPr="00C3591D">
        <w:rPr>
          <w:rFonts w:cs="Calibri"/>
          <w:bCs/>
          <w:color w:val="000000"/>
          <w:kern w:val="36"/>
          <w:szCs w:val="24"/>
        </w:rPr>
        <w:t>tate</w:t>
      </w:r>
      <w:r w:rsidR="00633516">
        <w:rPr>
          <w:rFonts w:cs="Calibri"/>
          <w:bCs/>
          <w:color w:val="000000"/>
          <w:kern w:val="36"/>
          <w:szCs w:val="24"/>
        </w:rPr>
        <w:t>’s</w:t>
      </w:r>
      <w:r w:rsidRPr="00C3591D">
        <w:rPr>
          <w:rFonts w:cs="Calibri"/>
          <w:bCs/>
          <w:color w:val="000000"/>
          <w:kern w:val="36"/>
          <w:szCs w:val="24"/>
        </w:rPr>
        <w:t xml:space="preserve"> targets for asset condition and</w:t>
      </w:r>
      <w:r>
        <w:rPr>
          <w:rFonts w:cs="Calibri"/>
          <w:bCs/>
          <w:color w:val="000000"/>
          <w:kern w:val="36"/>
          <w:szCs w:val="24"/>
        </w:rPr>
        <w:t xml:space="preserve"> </w:t>
      </w:r>
      <w:r w:rsidRPr="00C3591D">
        <w:rPr>
          <w:rFonts w:cs="Calibri"/>
          <w:bCs/>
          <w:color w:val="000000"/>
          <w:kern w:val="36"/>
          <w:szCs w:val="24"/>
        </w:rPr>
        <w:t>performance of the NHS</w:t>
      </w:r>
      <w:r w:rsidR="00E91250">
        <w:rPr>
          <w:rFonts w:cs="Calibri"/>
          <w:bCs/>
          <w:color w:val="000000"/>
          <w:kern w:val="36"/>
          <w:szCs w:val="24"/>
        </w:rPr>
        <w:t xml:space="preserve">. </w:t>
      </w:r>
      <w:r w:rsidRPr="00C3591D">
        <w:rPr>
          <w:rFonts w:cs="Calibri"/>
          <w:bCs/>
          <w:color w:val="000000"/>
          <w:kern w:val="36"/>
          <w:szCs w:val="24"/>
        </w:rPr>
        <w:t>FDOT’s</w:t>
      </w:r>
      <w:r>
        <w:rPr>
          <w:rFonts w:cs="Calibri"/>
          <w:bCs/>
          <w:color w:val="000000"/>
          <w:kern w:val="36"/>
          <w:szCs w:val="24"/>
        </w:rPr>
        <w:t xml:space="preserve"> </w:t>
      </w:r>
      <w:r w:rsidR="00633516">
        <w:rPr>
          <w:rFonts w:cs="Calibri"/>
          <w:bCs/>
          <w:color w:val="000000"/>
          <w:kern w:val="36"/>
          <w:szCs w:val="24"/>
        </w:rPr>
        <w:t xml:space="preserve">first </w:t>
      </w:r>
      <w:r w:rsidRPr="00C3591D">
        <w:rPr>
          <w:rFonts w:cs="Calibri"/>
          <w:bCs/>
          <w:color w:val="000000"/>
          <w:kern w:val="36"/>
          <w:szCs w:val="24"/>
        </w:rPr>
        <w:t>TAMP was</w:t>
      </w:r>
      <w:r w:rsidR="00861E8C">
        <w:rPr>
          <w:rFonts w:cs="Calibri"/>
          <w:bCs/>
          <w:color w:val="000000"/>
          <w:kern w:val="36"/>
          <w:szCs w:val="24"/>
        </w:rPr>
        <w:t xml:space="preserve"> approved on June 28, 2019</w:t>
      </w:r>
      <w:r w:rsidR="00E91250">
        <w:rPr>
          <w:rFonts w:cs="Calibri"/>
          <w:bCs/>
          <w:color w:val="000000"/>
          <w:kern w:val="36"/>
          <w:szCs w:val="24"/>
        </w:rPr>
        <w:t xml:space="preserve">. </w:t>
      </w:r>
      <w:r w:rsidR="001162FB" w:rsidRPr="005B34FA">
        <w:rPr>
          <w:rFonts w:cs="Calibri"/>
          <w:bCs/>
          <w:color w:val="000000"/>
          <w:kern w:val="36"/>
          <w:szCs w:val="24"/>
        </w:rPr>
        <w:t xml:space="preserve">The TAMP </w:t>
      </w:r>
      <w:r w:rsidR="00157741">
        <w:rPr>
          <w:rFonts w:cs="Calibri"/>
          <w:bCs/>
          <w:color w:val="000000"/>
          <w:kern w:val="36"/>
          <w:szCs w:val="24"/>
        </w:rPr>
        <w:t xml:space="preserve">has since been </w:t>
      </w:r>
      <w:r w:rsidR="004D6272">
        <w:rPr>
          <w:rFonts w:cs="Calibri"/>
          <w:bCs/>
          <w:color w:val="000000"/>
          <w:kern w:val="36"/>
          <w:szCs w:val="24"/>
        </w:rPr>
        <w:t xml:space="preserve">updated </w:t>
      </w:r>
      <w:r w:rsidR="001162FB" w:rsidRPr="005B34FA">
        <w:rPr>
          <w:rFonts w:cs="Calibri"/>
          <w:bCs/>
          <w:color w:val="000000"/>
          <w:kern w:val="36"/>
          <w:szCs w:val="24"/>
        </w:rPr>
        <w:t>in 2022</w:t>
      </w:r>
      <w:r w:rsidR="004D6272">
        <w:rPr>
          <w:rFonts w:cs="Calibri"/>
          <w:bCs/>
          <w:color w:val="000000"/>
          <w:kern w:val="36"/>
          <w:szCs w:val="24"/>
        </w:rPr>
        <w:t xml:space="preserve"> and is waiting </w:t>
      </w:r>
      <w:r w:rsidR="001B1FCA">
        <w:rPr>
          <w:rFonts w:cs="Calibri"/>
          <w:bCs/>
          <w:color w:val="000000"/>
          <w:kern w:val="36"/>
          <w:szCs w:val="24"/>
        </w:rPr>
        <w:t xml:space="preserve">final </w:t>
      </w:r>
      <w:r w:rsidR="004D6272">
        <w:rPr>
          <w:rFonts w:cs="Calibri"/>
          <w:bCs/>
          <w:color w:val="000000"/>
          <w:kern w:val="36"/>
          <w:szCs w:val="24"/>
        </w:rPr>
        <w:t>approval from FHWA.</w:t>
      </w:r>
    </w:p>
    <w:p w14:paraId="4445DFB4" w14:textId="7EFE863D" w:rsidR="00DC5147" w:rsidRDefault="008B194B" w:rsidP="00922E8F">
      <w:pPr>
        <w:tabs>
          <w:tab w:val="left" w:pos="2250"/>
        </w:tabs>
        <w:rPr>
          <w:rFonts w:cs="Calibri"/>
          <w:bCs/>
          <w:color w:val="000000"/>
          <w:kern w:val="36"/>
          <w:szCs w:val="24"/>
        </w:rPr>
      </w:pPr>
      <w:r>
        <w:rPr>
          <w:rFonts w:cs="Calibri"/>
          <w:bCs/>
          <w:color w:val="000000"/>
          <w:kern w:val="36"/>
          <w:szCs w:val="24"/>
        </w:rPr>
        <w:t>Further, t</w:t>
      </w:r>
      <w:r w:rsidRPr="00491133">
        <w:rPr>
          <w:rFonts w:cs="Calibri"/>
          <w:bCs/>
          <w:color w:val="000000"/>
          <w:kern w:val="36"/>
          <w:szCs w:val="24"/>
        </w:rPr>
        <w:t>he federal pavement condition measure</w:t>
      </w:r>
      <w:r>
        <w:rPr>
          <w:rFonts w:cs="Calibri"/>
          <w:bCs/>
          <w:color w:val="000000"/>
          <w:kern w:val="36"/>
          <w:szCs w:val="24"/>
        </w:rPr>
        <w:t>s</w:t>
      </w:r>
      <w:r w:rsidRPr="00491133">
        <w:rPr>
          <w:rFonts w:cs="Calibri"/>
          <w:bCs/>
          <w:color w:val="000000"/>
          <w:kern w:val="36"/>
          <w:szCs w:val="24"/>
        </w:rPr>
        <w:t xml:space="preserve"> require a methodology that is </w:t>
      </w:r>
      <w:r w:rsidR="00DB570E">
        <w:rPr>
          <w:rFonts w:cs="Calibri"/>
          <w:bCs/>
          <w:color w:val="000000"/>
          <w:kern w:val="36"/>
          <w:szCs w:val="24"/>
        </w:rPr>
        <w:t xml:space="preserve">different from </w:t>
      </w:r>
      <w:r w:rsidRPr="00491133">
        <w:rPr>
          <w:rFonts w:cs="Calibri"/>
          <w:bCs/>
          <w:color w:val="000000"/>
          <w:kern w:val="36"/>
          <w:szCs w:val="24"/>
        </w:rPr>
        <w:t xml:space="preserve">the methods </w:t>
      </w:r>
      <w:r w:rsidR="008C648F">
        <w:rPr>
          <w:rFonts w:cs="Calibri"/>
          <w:bCs/>
          <w:color w:val="000000"/>
          <w:kern w:val="36"/>
          <w:szCs w:val="24"/>
        </w:rPr>
        <w:t xml:space="preserve">historically </w:t>
      </w:r>
      <w:r w:rsidR="008C648F" w:rsidRPr="00491133">
        <w:rPr>
          <w:rFonts w:cs="Calibri"/>
          <w:bCs/>
          <w:color w:val="000000"/>
          <w:kern w:val="36"/>
          <w:szCs w:val="24"/>
        </w:rPr>
        <w:t>used</w:t>
      </w:r>
      <w:r w:rsidRPr="00491133">
        <w:rPr>
          <w:rFonts w:cs="Calibri"/>
          <w:bCs/>
          <w:color w:val="000000"/>
          <w:kern w:val="36"/>
          <w:szCs w:val="24"/>
        </w:rPr>
        <w:t xml:space="preserve"> by </w:t>
      </w:r>
      <w:r w:rsidR="00750A4A">
        <w:rPr>
          <w:rFonts w:cs="Calibri"/>
          <w:bCs/>
          <w:color w:val="000000"/>
          <w:kern w:val="36"/>
          <w:szCs w:val="24"/>
        </w:rPr>
        <w:t>FDOT</w:t>
      </w:r>
      <w:r w:rsidR="00E91250">
        <w:rPr>
          <w:rFonts w:cs="Calibri"/>
          <w:bCs/>
          <w:color w:val="000000"/>
          <w:kern w:val="36"/>
          <w:szCs w:val="24"/>
        </w:rPr>
        <w:t>.</w:t>
      </w:r>
      <w:r w:rsidR="00E54DBB" w:rsidRPr="00E54DBB">
        <w:rPr>
          <w:rFonts w:cs="Calibri"/>
          <w:bCs/>
          <w:color w:val="000000"/>
          <w:kern w:val="36"/>
          <w:szCs w:val="24"/>
        </w:rPr>
        <w:t xml:space="preserve"> </w:t>
      </w:r>
      <w:r w:rsidR="00E54DBB">
        <w:rPr>
          <w:rFonts w:cs="Calibri"/>
          <w:bCs/>
          <w:color w:val="000000"/>
          <w:kern w:val="36"/>
          <w:szCs w:val="24"/>
        </w:rPr>
        <w:t xml:space="preserve">For bridge condition, the </w:t>
      </w:r>
      <w:r w:rsidR="00E54DBB" w:rsidRPr="0035189E">
        <w:rPr>
          <w:rFonts w:cs="Calibri"/>
          <w:bCs/>
          <w:color w:val="000000"/>
          <w:kern w:val="36"/>
          <w:szCs w:val="24"/>
        </w:rPr>
        <w:t>performance is</w:t>
      </w:r>
      <w:r w:rsidR="00E54DBB">
        <w:rPr>
          <w:rFonts w:cs="Calibri"/>
          <w:bCs/>
          <w:color w:val="000000"/>
          <w:kern w:val="36"/>
          <w:szCs w:val="24"/>
        </w:rPr>
        <w:t xml:space="preserve"> </w:t>
      </w:r>
      <w:r w:rsidR="00E54DBB" w:rsidRPr="0035189E">
        <w:rPr>
          <w:rFonts w:cs="Calibri"/>
          <w:bCs/>
          <w:color w:val="000000"/>
          <w:kern w:val="36"/>
          <w:szCs w:val="24"/>
        </w:rPr>
        <w:t xml:space="preserve">measured in deck area </w:t>
      </w:r>
      <w:r w:rsidR="00E54DBB">
        <w:rPr>
          <w:rFonts w:cs="Calibri"/>
          <w:bCs/>
          <w:color w:val="000000"/>
          <w:kern w:val="36"/>
          <w:szCs w:val="24"/>
        </w:rPr>
        <w:t xml:space="preserve">under the federal measure, </w:t>
      </w:r>
      <w:r w:rsidR="00E54DBB" w:rsidRPr="0035189E">
        <w:rPr>
          <w:rFonts w:cs="Calibri"/>
          <w:bCs/>
          <w:color w:val="000000"/>
          <w:kern w:val="36"/>
          <w:szCs w:val="24"/>
        </w:rPr>
        <w:t>while</w:t>
      </w:r>
      <w:r w:rsidR="00E54DBB">
        <w:rPr>
          <w:rFonts w:cs="Calibri"/>
          <w:bCs/>
          <w:color w:val="000000"/>
          <w:kern w:val="36"/>
          <w:szCs w:val="24"/>
        </w:rPr>
        <w:t xml:space="preserve"> FDOT</w:t>
      </w:r>
      <w:r w:rsidR="00E54DBB" w:rsidRPr="0035189E">
        <w:rPr>
          <w:rFonts w:cs="Calibri"/>
          <w:bCs/>
          <w:color w:val="000000"/>
          <w:kern w:val="36"/>
          <w:szCs w:val="24"/>
        </w:rPr>
        <w:t xml:space="preserve"> programs its bridge</w:t>
      </w:r>
      <w:r w:rsidR="00E54DBB">
        <w:rPr>
          <w:rFonts w:cs="Calibri"/>
          <w:bCs/>
          <w:color w:val="000000"/>
          <w:kern w:val="36"/>
          <w:szCs w:val="24"/>
        </w:rPr>
        <w:t xml:space="preserve"> </w:t>
      </w:r>
      <w:r w:rsidR="00E54DBB" w:rsidRPr="0035189E">
        <w:rPr>
          <w:rFonts w:cs="Calibri"/>
          <w:bCs/>
          <w:color w:val="000000"/>
          <w:kern w:val="36"/>
          <w:szCs w:val="24"/>
        </w:rPr>
        <w:t>repair or replacement work on a</w:t>
      </w:r>
      <w:r w:rsidR="00E54DBB">
        <w:rPr>
          <w:rFonts w:cs="Calibri"/>
          <w:bCs/>
          <w:color w:val="000000"/>
          <w:kern w:val="36"/>
          <w:szCs w:val="24"/>
        </w:rPr>
        <w:t xml:space="preserve"> </w:t>
      </w:r>
      <w:r w:rsidR="00E54DBB" w:rsidRPr="0035189E">
        <w:rPr>
          <w:rFonts w:cs="Calibri"/>
          <w:bCs/>
          <w:color w:val="000000"/>
          <w:kern w:val="36"/>
          <w:szCs w:val="24"/>
        </w:rPr>
        <w:t>bridge-by-bridge basis</w:t>
      </w:r>
      <w:r w:rsidR="00E54DBB">
        <w:rPr>
          <w:rFonts w:cs="Calibri"/>
          <w:bCs/>
          <w:color w:val="000000"/>
          <w:kern w:val="36"/>
          <w:szCs w:val="24"/>
        </w:rPr>
        <w:t xml:space="preserve">. </w:t>
      </w:r>
      <w:r w:rsidR="00E54DBB" w:rsidRPr="00491133">
        <w:rPr>
          <w:rFonts w:cs="Calibri"/>
          <w:bCs/>
          <w:color w:val="000000"/>
          <w:kern w:val="36"/>
          <w:szCs w:val="24"/>
        </w:rPr>
        <w:t>As such, the federal measure</w:t>
      </w:r>
      <w:r w:rsidR="00E54DBB">
        <w:rPr>
          <w:rFonts w:cs="Calibri"/>
          <w:bCs/>
          <w:color w:val="000000"/>
          <w:kern w:val="36"/>
          <w:szCs w:val="24"/>
        </w:rPr>
        <w:t>s are</w:t>
      </w:r>
      <w:r w:rsidR="00E54DBB" w:rsidRPr="00491133">
        <w:rPr>
          <w:rFonts w:cs="Calibri"/>
          <w:bCs/>
          <w:color w:val="000000"/>
          <w:kern w:val="36"/>
          <w:szCs w:val="24"/>
        </w:rPr>
        <w:t xml:space="preserve"> not directly comparable to the method</w:t>
      </w:r>
      <w:r w:rsidR="00E54DBB">
        <w:rPr>
          <w:rFonts w:cs="Calibri"/>
          <w:bCs/>
          <w:color w:val="000000"/>
          <w:kern w:val="36"/>
          <w:szCs w:val="24"/>
        </w:rPr>
        <w:t>s</w:t>
      </w:r>
      <w:r w:rsidR="00E54DBB" w:rsidRPr="00491133">
        <w:rPr>
          <w:rFonts w:cs="Calibri"/>
          <w:bCs/>
          <w:color w:val="000000"/>
          <w:kern w:val="36"/>
          <w:szCs w:val="24"/>
        </w:rPr>
        <w:t xml:space="preserve"> that </w:t>
      </w:r>
      <w:r w:rsidR="00E54DBB">
        <w:rPr>
          <w:rFonts w:cs="Calibri"/>
          <w:bCs/>
          <w:color w:val="000000"/>
          <w:kern w:val="36"/>
          <w:szCs w:val="24"/>
        </w:rPr>
        <w:t xml:space="preserve">are </w:t>
      </w:r>
      <w:r w:rsidR="00E54DBB" w:rsidRPr="00491133">
        <w:rPr>
          <w:rFonts w:cs="Calibri"/>
          <w:bCs/>
          <w:color w:val="000000"/>
          <w:kern w:val="36"/>
          <w:szCs w:val="24"/>
        </w:rPr>
        <w:t xml:space="preserve">most familiar to </w:t>
      </w:r>
      <w:r w:rsidR="00E54DBB">
        <w:rPr>
          <w:rFonts w:cs="Calibri"/>
          <w:bCs/>
          <w:color w:val="000000"/>
          <w:kern w:val="36"/>
          <w:szCs w:val="24"/>
        </w:rPr>
        <w:t>FDOT</w:t>
      </w:r>
      <w:r w:rsidR="0000078C" w:rsidRPr="00491133">
        <w:rPr>
          <w:rFonts w:cs="Calibri"/>
          <w:bCs/>
          <w:color w:val="000000"/>
          <w:kern w:val="36"/>
          <w:szCs w:val="24"/>
        </w:rPr>
        <w:t xml:space="preserve">. </w:t>
      </w:r>
      <w:r w:rsidR="0070078F">
        <w:rPr>
          <w:rFonts w:cs="Calibri"/>
          <w:bCs/>
          <w:color w:val="000000"/>
          <w:kern w:val="36"/>
          <w:szCs w:val="24"/>
        </w:rPr>
        <w:t>For pavement condition, the methodology</w:t>
      </w:r>
      <w:r w:rsidRPr="00491133">
        <w:rPr>
          <w:rFonts w:cs="Calibri"/>
          <w:bCs/>
          <w:color w:val="000000"/>
          <w:kern w:val="36"/>
          <w:szCs w:val="24"/>
        </w:rPr>
        <w:t xml:space="preserve"> uses different ratings and pavement segment lengths</w:t>
      </w:r>
      <w:r w:rsidR="0070078F">
        <w:rPr>
          <w:rFonts w:cs="Calibri"/>
          <w:bCs/>
          <w:color w:val="000000"/>
          <w:kern w:val="36"/>
          <w:szCs w:val="24"/>
        </w:rPr>
        <w:t>, and FDOT only has one year of data available for non-Interstate NHS pavement using the federal methodology</w:t>
      </w:r>
      <w:r w:rsidR="00E91250">
        <w:rPr>
          <w:rFonts w:cs="Calibri"/>
          <w:bCs/>
          <w:color w:val="000000"/>
          <w:kern w:val="36"/>
          <w:szCs w:val="24"/>
        </w:rPr>
        <w:t xml:space="preserve">. </w:t>
      </w:r>
    </w:p>
    <w:p w14:paraId="4B85BB17" w14:textId="2F0484A7" w:rsidR="00AE77E0" w:rsidRDefault="009A2CBC" w:rsidP="0000371F">
      <w:pPr>
        <w:tabs>
          <w:tab w:val="left" w:pos="2250"/>
        </w:tabs>
        <w:rPr>
          <w:rFonts w:ascii="Calibri" w:hAnsi="Calibri"/>
        </w:rPr>
      </w:pPr>
      <w:r w:rsidRPr="009A2CBC">
        <w:rPr>
          <w:rFonts w:cs="Calibri"/>
          <w:bCs/>
          <w:color w:val="000000"/>
          <w:kern w:val="36"/>
          <w:szCs w:val="24"/>
        </w:rPr>
        <w:t>FDOT collects and reports bridge and pavement data to FHWA each year to</w:t>
      </w:r>
      <w:r>
        <w:rPr>
          <w:rFonts w:cs="Calibri"/>
          <w:bCs/>
          <w:color w:val="000000"/>
          <w:kern w:val="36"/>
          <w:szCs w:val="24"/>
        </w:rPr>
        <w:t xml:space="preserve"> </w:t>
      </w:r>
      <w:r w:rsidRPr="009A2CBC">
        <w:rPr>
          <w:rFonts w:cs="Calibri"/>
          <w:bCs/>
          <w:color w:val="000000"/>
          <w:kern w:val="36"/>
          <w:szCs w:val="24"/>
        </w:rPr>
        <w:t>track performance and progress toward the targets</w:t>
      </w:r>
      <w:r>
        <w:rPr>
          <w:rFonts w:cs="Calibri"/>
          <w:bCs/>
          <w:color w:val="000000"/>
          <w:kern w:val="36"/>
          <w:szCs w:val="24"/>
        </w:rPr>
        <w:t xml:space="preserve">. </w:t>
      </w:r>
      <w:r w:rsidR="00F85356">
        <w:t xml:space="preserve">The percentage of Florida’s bridges in </w:t>
      </w:r>
      <w:r w:rsidR="00575259">
        <w:t>g</w:t>
      </w:r>
      <w:r w:rsidR="00F85356">
        <w:t>ood condition is slowly decreasing, which is to be expected as the bridge inventory grows older</w:t>
      </w:r>
      <w:r w:rsidR="00E91250">
        <w:t xml:space="preserve">. </w:t>
      </w:r>
      <w:r>
        <w:rPr>
          <w:rFonts w:cs="Calibri"/>
          <w:bCs/>
          <w:color w:val="000000"/>
          <w:kern w:val="36"/>
          <w:szCs w:val="24"/>
        </w:rPr>
        <w:t>R</w:t>
      </w:r>
      <w:r w:rsidRPr="009A2CBC">
        <w:rPr>
          <w:rFonts w:cs="Calibri"/>
          <w:bCs/>
          <w:color w:val="000000"/>
          <w:kern w:val="36"/>
          <w:szCs w:val="24"/>
        </w:rPr>
        <w:t xml:space="preserve">eported </w:t>
      </w:r>
      <w:r w:rsidR="00346428">
        <w:rPr>
          <w:rFonts w:cs="Calibri"/>
          <w:bCs/>
          <w:color w:val="000000"/>
          <w:kern w:val="36"/>
          <w:szCs w:val="24"/>
        </w:rPr>
        <w:t>bridge</w:t>
      </w:r>
      <w:r w:rsidR="00AC1DC1">
        <w:rPr>
          <w:rFonts w:cs="Calibri"/>
          <w:bCs/>
          <w:color w:val="000000"/>
          <w:kern w:val="36"/>
          <w:szCs w:val="24"/>
        </w:rPr>
        <w:t xml:space="preserve"> and pavement </w:t>
      </w:r>
      <w:r w:rsidRPr="009A2CBC">
        <w:rPr>
          <w:rFonts w:cs="Calibri"/>
          <w:bCs/>
          <w:color w:val="000000"/>
          <w:kern w:val="36"/>
          <w:szCs w:val="24"/>
        </w:rPr>
        <w:t xml:space="preserve">data </w:t>
      </w:r>
      <w:r w:rsidR="004B55EB">
        <w:rPr>
          <w:rFonts w:cs="Calibri"/>
          <w:bCs/>
          <w:color w:val="000000"/>
          <w:kern w:val="36"/>
          <w:szCs w:val="24"/>
        </w:rPr>
        <w:t xml:space="preserve">through </w:t>
      </w:r>
      <w:r w:rsidR="00653195">
        <w:rPr>
          <w:rFonts w:cs="Calibri"/>
          <w:bCs/>
          <w:color w:val="000000"/>
          <w:kern w:val="36"/>
          <w:szCs w:val="24"/>
        </w:rPr>
        <w:t>2021 exceeded</w:t>
      </w:r>
      <w:r w:rsidR="00346428">
        <w:rPr>
          <w:rFonts w:cs="Calibri"/>
          <w:bCs/>
          <w:color w:val="000000"/>
          <w:kern w:val="36"/>
          <w:szCs w:val="24"/>
        </w:rPr>
        <w:t xml:space="preserve"> the </w:t>
      </w:r>
      <w:r w:rsidR="00346428">
        <w:rPr>
          <w:rFonts w:cs="Calibri"/>
          <w:bCs/>
          <w:color w:val="000000"/>
          <w:kern w:val="36"/>
          <w:szCs w:val="24"/>
        </w:rPr>
        <w:lastRenderedPageBreak/>
        <w:t xml:space="preserve">established </w:t>
      </w:r>
      <w:r w:rsidR="00653195">
        <w:rPr>
          <w:rFonts w:cs="Calibri"/>
          <w:bCs/>
          <w:color w:val="000000"/>
          <w:kern w:val="36"/>
          <w:szCs w:val="24"/>
        </w:rPr>
        <w:t>targets.</w:t>
      </w:r>
      <w:r w:rsidR="00346428">
        <w:rPr>
          <w:rFonts w:cs="Calibri"/>
          <w:bCs/>
          <w:color w:val="000000"/>
          <w:kern w:val="36"/>
          <w:szCs w:val="24"/>
        </w:rPr>
        <w:t xml:space="preserve"> </w:t>
      </w:r>
      <w:r w:rsidR="00AE77E0">
        <w:t>Based on anticipated funding levels, FDOT believes the previous targets are still appropriate for 2023 and 2025.</w:t>
      </w:r>
    </w:p>
    <w:p w14:paraId="1557C6A9" w14:textId="39C6C9AD" w:rsidR="009A2CBC" w:rsidRDefault="00346428" w:rsidP="009A2CBC">
      <w:pPr>
        <w:tabs>
          <w:tab w:val="left" w:pos="2250"/>
        </w:tabs>
        <w:rPr>
          <w:rFonts w:cs="Calibri"/>
          <w:bCs/>
          <w:color w:val="000000"/>
          <w:kern w:val="36"/>
          <w:szCs w:val="24"/>
        </w:rPr>
      </w:pPr>
      <w:r>
        <w:rPr>
          <w:rFonts w:cs="Calibri"/>
          <w:bCs/>
          <w:color w:val="000000"/>
          <w:kern w:val="36"/>
          <w:szCs w:val="24"/>
        </w:rPr>
        <w:t>In early 2021, FHWA determin</w:t>
      </w:r>
      <w:r w:rsidR="005F6C99">
        <w:rPr>
          <w:rFonts w:cs="Calibri"/>
          <w:bCs/>
          <w:color w:val="000000"/>
          <w:kern w:val="36"/>
          <w:szCs w:val="24"/>
        </w:rPr>
        <w:t>ed</w:t>
      </w:r>
      <w:r>
        <w:rPr>
          <w:rFonts w:cs="Calibri"/>
          <w:bCs/>
          <w:color w:val="000000"/>
          <w:kern w:val="36"/>
          <w:szCs w:val="24"/>
        </w:rPr>
        <w:t xml:space="preserve"> that FDOT </w:t>
      </w:r>
      <w:r w:rsidRPr="00DD5E3F">
        <w:rPr>
          <w:rFonts w:cs="Calibri"/>
          <w:bCs/>
          <w:color w:val="000000"/>
          <w:kern w:val="36"/>
          <w:szCs w:val="24"/>
        </w:rPr>
        <w:t>made significant progress tow</w:t>
      </w:r>
      <w:r>
        <w:rPr>
          <w:rFonts w:cs="Calibri"/>
          <w:bCs/>
          <w:color w:val="000000"/>
          <w:kern w:val="36"/>
          <w:szCs w:val="24"/>
        </w:rPr>
        <w:t xml:space="preserve">ard the </w:t>
      </w:r>
      <w:r w:rsidR="004B55EB">
        <w:rPr>
          <w:rFonts w:cs="Calibri"/>
          <w:bCs/>
          <w:color w:val="000000"/>
          <w:kern w:val="36"/>
          <w:szCs w:val="24"/>
        </w:rPr>
        <w:t>2019</w:t>
      </w:r>
      <w:r>
        <w:rPr>
          <w:rFonts w:cs="Calibri"/>
          <w:bCs/>
          <w:color w:val="000000"/>
          <w:kern w:val="36"/>
          <w:szCs w:val="24"/>
        </w:rPr>
        <w:t xml:space="preserve"> targets</w:t>
      </w:r>
      <w:r w:rsidR="005246A2">
        <w:rPr>
          <w:rFonts w:cs="Calibri"/>
          <w:bCs/>
          <w:color w:val="000000"/>
          <w:kern w:val="36"/>
          <w:szCs w:val="24"/>
        </w:rPr>
        <w:t>; FHWA’s assessment of progress toward the 2021 targets is anticipated to be released in March 2023</w:t>
      </w:r>
      <w:r w:rsidR="00E91250">
        <w:rPr>
          <w:rFonts w:cs="Calibri"/>
          <w:bCs/>
          <w:color w:val="000000"/>
          <w:kern w:val="36"/>
          <w:szCs w:val="24"/>
        </w:rPr>
        <w:t xml:space="preserve">. </w:t>
      </w:r>
    </w:p>
    <w:p w14:paraId="667C24AD" w14:textId="29D177D2" w:rsidR="00B15220" w:rsidRPr="00902A8B" w:rsidRDefault="00B15220" w:rsidP="002D2C00">
      <w:pPr>
        <w:pStyle w:val="Heading3"/>
        <w:spacing w:before="0"/>
      </w:pPr>
      <w:r w:rsidRPr="00902A8B">
        <w:t>4.1.</w:t>
      </w:r>
      <w:r>
        <w:t>2</w:t>
      </w:r>
      <w:r w:rsidRPr="00902A8B">
        <w:t xml:space="preserve"> </w:t>
      </w:r>
      <w:r>
        <w:t>MPO</w:t>
      </w:r>
      <w:r w:rsidRPr="00902A8B">
        <w:t xml:space="preserve"> Targets</w:t>
      </w:r>
    </w:p>
    <w:p w14:paraId="272912D7" w14:textId="50CC2897" w:rsidR="008C5D75" w:rsidRDefault="008C5D75" w:rsidP="008C5D75">
      <w:pPr>
        <w:rPr>
          <w:rFonts w:cs="Calibri"/>
          <w:kern w:val="28"/>
          <w:szCs w:val="24"/>
        </w:rPr>
      </w:pPr>
      <w:r w:rsidRPr="008C5D75">
        <w:rPr>
          <w:rFonts w:cs="Calibri"/>
          <w:kern w:val="28"/>
          <w:szCs w:val="24"/>
        </w:rPr>
        <w:t xml:space="preserve">MPOs must set four-year targets for </w:t>
      </w:r>
      <w:r w:rsidR="00B15220">
        <w:rPr>
          <w:rFonts w:cs="Calibri"/>
          <w:kern w:val="28"/>
          <w:szCs w:val="24"/>
        </w:rPr>
        <w:t>the six bridge</w:t>
      </w:r>
      <w:r w:rsidR="004D1DE6">
        <w:rPr>
          <w:rFonts w:cs="Calibri"/>
          <w:kern w:val="28"/>
          <w:szCs w:val="24"/>
        </w:rPr>
        <w:t xml:space="preserve"> and pavement</w:t>
      </w:r>
      <w:r w:rsidR="00B15220">
        <w:rPr>
          <w:rFonts w:cs="Calibri"/>
          <w:kern w:val="28"/>
          <w:szCs w:val="24"/>
        </w:rPr>
        <w:t xml:space="preserve"> condition </w:t>
      </w:r>
      <w:r w:rsidRPr="008C5D75">
        <w:rPr>
          <w:rFonts w:cs="Calibri"/>
          <w:kern w:val="28"/>
          <w:szCs w:val="24"/>
        </w:rPr>
        <w:t>measures</w:t>
      </w:r>
      <w:r w:rsidR="00B15220">
        <w:rPr>
          <w:rFonts w:cs="Calibri"/>
          <w:kern w:val="28"/>
          <w:szCs w:val="24"/>
        </w:rPr>
        <w:t xml:space="preserve"> within 180 days of when FDOT established targets</w:t>
      </w:r>
      <w:bookmarkStart w:id="19" w:name="_Hlk513629583"/>
      <w:r w:rsidR="00E91250" w:rsidRPr="008C5D75">
        <w:rPr>
          <w:rFonts w:cs="Calibri"/>
          <w:kern w:val="28"/>
          <w:szCs w:val="24"/>
        </w:rPr>
        <w:t xml:space="preserve">. </w:t>
      </w:r>
      <w:r w:rsidRPr="008C5D75">
        <w:rPr>
          <w:rFonts w:cs="Calibri"/>
          <w:kern w:val="28"/>
          <w:szCs w:val="24"/>
        </w:rPr>
        <w:t>MPOs can either agree to program projects that will support the statewide targets or establish their own quantifiable targets for the MPO’s planning area</w:t>
      </w:r>
      <w:r w:rsidR="00CE6FCB">
        <w:rPr>
          <w:rFonts w:cs="Calibri"/>
          <w:kern w:val="28"/>
          <w:szCs w:val="24"/>
        </w:rPr>
        <w:t xml:space="preserve"> for one or more measures</w:t>
      </w:r>
      <w:r w:rsidRPr="008C5D75">
        <w:rPr>
          <w:rFonts w:cs="Calibri"/>
          <w:kern w:val="28"/>
          <w:szCs w:val="24"/>
        </w:rPr>
        <w:t>.</w:t>
      </w:r>
      <w:bookmarkEnd w:id="19"/>
    </w:p>
    <w:p w14:paraId="4A71BD51" w14:textId="34BAB273" w:rsidR="00B15220" w:rsidRDefault="00B15220" w:rsidP="00B15220">
      <w:pPr>
        <w:keepNext/>
        <w:rPr>
          <w:rFonts w:cs="Proxima Nova"/>
          <w:color w:val="000000"/>
          <w:szCs w:val="24"/>
        </w:rPr>
      </w:pPr>
      <w:r w:rsidRPr="00A10F80">
        <w:rPr>
          <w:rFonts w:cs="Proxima Nova"/>
          <w:color w:val="000000"/>
          <w:szCs w:val="24"/>
          <w:highlight w:val="yellow"/>
        </w:rPr>
        <w:t>[Use</w:t>
      </w:r>
      <w:r>
        <w:rPr>
          <w:rFonts w:cs="Proxima Nova"/>
          <w:color w:val="000000"/>
          <w:szCs w:val="24"/>
          <w:highlight w:val="yellow"/>
        </w:rPr>
        <w:t xml:space="preserve"> either Option A or Option B below. </w:t>
      </w:r>
      <w:r w:rsidRPr="00A10F80">
        <w:rPr>
          <w:rFonts w:cs="Proxima Nova"/>
          <w:color w:val="000000"/>
          <w:szCs w:val="24"/>
          <w:highlight w:val="yellow"/>
        </w:rPr>
        <w:t xml:space="preserve">Option A </w:t>
      </w:r>
      <w:r w:rsidR="005663B7">
        <w:rPr>
          <w:rFonts w:cs="Proxima Nova"/>
          <w:color w:val="000000"/>
          <w:szCs w:val="24"/>
          <w:highlight w:val="yellow"/>
        </w:rPr>
        <w:t>is for</w:t>
      </w:r>
      <w:r>
        <w:rPr>
          <w:rFonts w:cs="Proxima Nova"/>
          <w:color w:val="000000"/>
          <w:szCs w:val="24"/>
          <w:highlight w:val="yellow"/>
        </w:rPr>
        <w:t xml:space="preserve"> MPOs that </w:t>
      </w:r>
      <w:r w:rsidRPr="00A10F80">
        <w:rPr>
          <w:rFonts w:cs="Proxima Nova"/>
          <w:color w:val="000000"/>
          <w:szCs w:val="24"/>
          <w:highlight w:val="yellow"/>
        </w:rPr>
        <w:t xml:space="preserve">support all </w:t>
      </w:r>
      <w:r w:rsidR="00C600D1">
        <w:rPr>
          <w:rFonts w:cs="Proxima Nova"/>
          <w:color w:val="000000"/>
          <w:szCs w:val="24"/>
          <w:highlight w:val="yellow"/>
        </w:rPr>
        <w:t>six-state</w:t>
      </w:r>
      <w:r w:rsidRPr="00A10F80">
        <w:rPr>
          <w:rFonts w:cs="Proxima Nova"/>
          <w:color w:val="000000"/>
          <w:szCs w:val="24"/>
          <w:highlight w:val="yellow"/>
        </w:rPr>
        <w:t xml:space="preserve"> </w:t>
      </w:r>
      <w:r>
        <w:rPr>
          <w:rFonts w:cs="Proxima Nova"/>
          <w:color w:val="000000"/>
          <w:szCs w:val="24"/>
          <w:highlight w:val="yellow"/>
        </w:rPr>
        <w:t xml:space="preserve">pavement and bridge </w:t>
      </w:r>
      <w:r w:rsidRPr="00A10F80">
        <w:rPr>
          <w:rFonts w:cs="Proxima Nova"/>
          <w:color w:val="000000"/>
          <w:szCs w:val="24"/>
          <w:highlight w:val="yellow"/>
        </w:rPr>
        <w:t>targets</w:t>
      </w:r>
      <w:r w:rsidR="00CE5F06" w:rsidRPr="00A10F80">
        <w:rPr>
          <w:rFonts w:cs="Proxima Nova"/>
          <w:color w:val="000000"/>
          <w:szCs w:val="24"/>
          <w:highlight w:val="yellow"/>
        </w:rPr>
        <w:t xml:space="preserve">. </w:t>
      </w:r>
      <w:r>
        <w:rPr>
          <w:rFonts w:cs="Proxima Nova"/>
          <w:color w:val="000000"/>
          <w:szCs w:val="24"/>
          <w:highlight w:val="yellow"/>
        </w:rPr>
        <w:t>O</w:t>
      </w:r>
      <w:r w:rsidRPr="00A10F80">
        <w:rPr>
          <w:rFonts w:cs="Proxima Nova"/>
          <w:color w:val="000000"/>
          <w:szCs w:val="24"/>
          <w:highlight w:val="yellow"/>
        </w:rPr>
        <w:t xml:space="preserve">ption B </w:t>
      </w:r>
      <w:r w:rsidR="005663B7">
        <w:rPr>
          <w:rFonts w:cs="Proxima Nova"/>
          <w:color w:val="000000"/>
          <w:szCs w:val="24"/>
          <w:highlight w:val="yellow"/>
        </w:rPr>
        <w:t>is for</w:t>
      </w:r>
      <w:r>
        <w:rPr>
          <w:rFonts w:cs="Proxima Nova"/>
          <w:color w:val="000000"/>
          <w:szCs w:val="24"/>
          <w:highlight w:val="yellow"/>
        </w:rPr>
        <w:t xml:space="preserve"> MPOs that </w:t>
      </w:r>
      <w:r w:rsidRPr="00A10F80">
        <w:rPr>
          <w:rFonts w:cs="Proxima Nova"/>
          <w:color w:val="000000"/>
          <w:szCs w:val="24"/>
          <w:highlight w:val="yellow"/>
        </w:rPr>
        <w:t xml:space="preserve">establish </w:t>
      </w:r>
      <w:r>
        <w:rPr>
          <w:rFonts w:cs="Proxima Nova"/>
          <w:color w:val="000000"/>
          <w:szCs w:val="24"/>
          <w:highlight w:val="yellow"/>
        </w:rPr>
        <w:t xml:space="preserve">their </w:t>
      </w:r>
      <w:r w:rsidRPr="00A10F80">
        <w:rPr>
          <w:rFonts w:cs="Proxima Nova"/>
          <w:color w:val="000000"/>
          <w:szCs w:val="24"/>
          <w:highlight w:val="yellow"/>
        </w:rPr>
        <w:t>own targets.]</w:t>
      </w:r>
    </w:p>
    <w:p w14:paraId="3ACC2E99" w14:textId="77777777" w:rsidR="001162FB" w:rsidRPr="001F53EC" w:rsidRDefault="001162FB" w:rsidP="00B15220">
      <w:pPr>
        <w:keepNext/>
        <w:rPr>
          <w:rFonts w:cs="Proxima Nova"/>
          <w:color w:val="000000"/>
          <w:szCs w:val="24"/>
        </w:rPr>
      </w:pPr>
    </w:p>
    <w:p w14:paraId="0878975C" w14:textId="283DBC61" w:rsidR="00B15220" w:rsidRPr="00030F57" w:rsidRDefault="00B15220" w:rsidP="00B15220">
      <w:pPr>
        <w:keepNext/>
        <w:rPr>
          <w:rFonts w:cs="Proxima Nova"/>
          <w:color w:val="000000"/>
          <w:szCs w:val="24"/>
        </w:rPr>
      </w:pPr>
      <w:r w:rsidRPr="00030F57">
        <w:rPr>
          <w:rFonts w:cs="Proxima Nova"/>
          <w:color w:val="000000"/>
          <w:szCs w:val="24"/>
          <w:highlight w:val="yellow"/>
        </w:rPr>
        <w:t>[</w:t>
      </w:r>
      <w:r w:rsidRPr="00735CF6">
        <w:rPr>
          <w:rFonts w:cs="Proxima Nova"/>
          <w:color w:val="000000"/>
          <w:szCs w:val="24"/>
          <w:highlight w:val="yellow"/>
        </w:rPr>
        <w:t>OPTION A</w:t>
      </w:r>
      <w:r w:rsidRPr="00030F57">
        <w:rPr>
          <w:rFonts w:cs="Proxima Nova"/>
          <w:color w:val="000000"/>
          <w:szCs w:val="24"/>
          <w:highlight w:val="yellow"/>
        </w:rPr>
        <w:t xml:space="preserve">: </w:t>
      </w:r>
      <w:r w:rsidR="005663B7">
        <w:rPr>
          <w:rFonts w:cs="Proxima Nova"/>
          <w:color w:val="000000"/>
          <w:szCs w:val="24"/>
          <w:highlight w:val="yellow"/>
        </w:rPr>
        <w:t>F</w:t>
      </w:r>
      <w:r w:rsidRPr="00030F57">
        <w:rPr>
          <w:rFonts w:cs="Proxima Nova"/>
          <w:color w:val="000000"/>
          <w:szCs w:val="24"/>
          <w:highlight w:val="yellow"/>
        </w:rPr>
        <w:t xml:space="preserve">or MPO that </w:t>
      </w:r>
      <w:r>
        <w:rPr>
          <w:rFonts w:cs="Proxima Nova"/>
          <w:color w:val="000000"/>
          <w:szCs w:val="24"/>
          <w:highlight w:val="yellow"/>
        </w:rPr>
        <w:t>s</w:t>
      </w:r>
      <w:r w:rsidRPr="00030F57">
        <w:rPr>
          <w:rFonts w:cs="Proxima Nova"/>
          <w:color w:val="000000"/>
          <w:szCs w:val="24"/>
          <w:highlight w:val="yellow"/>
        </w:rPr>
        <w:t xml:space="preserve">upports </w:t>
      </w:r>
      <w:r w:rsidR="004F231F">
        <w:rPr>
          <w:rFonts w:cs="Proxima Nova"/>
          <w:color w:val="000000"/>
          <w:szCs w:val="24"/>
          <w:highlight w:val="yellow"/>
        </w:rPr>
        <w:t xml:space="preserve">all </w:t>
      </w:r>
      <w:r>
        <w:rPr>
          <w:rFonts w:cs="Proxima Nova"/>
          <w:color w:val="000000"/>
          <w:szCs w:val="24"/>
          <w:highlight w:val="yellow"/>
        </w:rPr>
        <w:t>s</w:t>
      </w:r>
      <w:r w:rsidRPr="00030F57">
        <w:rPr>
          <w:rFonts w:cs="Proxima Nova"/>
          <w:color w:val="000000"/>
          <w:szCs w:val="24"/>
          <w:highlight w:val="yellow"/>
        </w:rPr>
        <w:t xml:space="preserve">tatewide </w:t>
      </w:r>
      <w:r>
        <w:rPr>
          <w:rFonts w:cs="Proxima Nova"/>
          <w:color w:val="000000"/>
          <w:szCs w:val="24"/>
          <w:highlight w:val="yellow"/>
        </w:rPr>
        <w:t>t</w:t>
      </w:r>
      <w:r w:rsidRPr="00030F57">
        <w:rPr>
          <w:rFonts w:cs="Proxima Nova"/>
          <w:color w:val="000000"/>
          <w:szCs w:val="24"/>
          <w:highlight w:val="yellow"/>
        </w:rPr>
        <w:t>argets]</w:t>
      </w:r>
    </w:p>
    <w:p w14:paraId="483EAABE" w14:textId="743E8C57" w:rsidR="008C5D75" w:rsidRDefault="008C5D75" w:rsidP="008C5D75">
      <w:pPr>
        <w:tabs>
          <w:tab w:val="left" w:pos="2250"/>
        </w:tabs>
        <w:rPr>
          <w:rFonts w:cs="Calibri"/>
          <w:bCs/>
          <w:color w:val="000000"/>
          <w:kern w:val="36"/>
          <w:szCs w:val="24"/>
        </w:rPr>
      </w:pPr>
      <w:r w:rsidRPr="006B411F">
        <w:rPr>
          <w:rFonts w:cs="Calibri"/>
          <w:kern w:val="28"/>
          <w:szCs w:val="24"/>
        </w:rPr>
        <w:t>On [</w:t>
      </w:r>
      <w:r w:rsidRPr="00EF1433">
        <w:rPr>
          <w:rFonts w:cs="Calibri"/>
          <w:kern w:val="28"/>
          <w:szCs w:val="24"/>
          <w:highlight w:val="yellow"/>
        </w:rPr>
        <w:t>insert date</w:t>
      </w:r>
      <w:r w:rsidRPr="006B411F">
        <w:rPr>
          <w:rFonts w:cs="Calibri"/>
          <w:kern w:val="28"/>
          <w:szCs w:val="24"/>
        </w:rPr>
        <w:t>], the [</w:t>
      </w:r>
      <w:r w:rsidRPr="00EF1433">
        <w:rPr>
          <w:rFonts w:cs="Calibri"/>
          <w:kern w:val="28"/>
          <w:szCs w:val="24"/>
          <w:highlight w:val="yellow"/>
        </w:rPr>
        <w:t>insert MPO name</w:t>
      </w:r>
      <w:r w:rsidRPr="006B411F">
        <w:rPr>
          <w:rFonts w:cs="Calibri"/>
          <w:kern w:val="28"/>
          <w:szCs w:val="24"/>
        </w:rPr>
        <w:t xml:space="preserve">] agreed to support FDOT’s statewide </w:t>
      </w:r>
      <w:r>
        <w:rPr>
          <w:rFonts w:cs="Calibri"/>
          <w:kern w:val="28"/>
          <w:szCs w:val="24"/>
        </w:rPr>
        <w:t>bridge</w:t>
      </w:r>
      <w:r w:rsidR="00204E27">
        <w:rPr>
          <w:rFonts w:cs="Calibri"/>
          <w:kern w:val="28"/>
          <w:szCs w:val="24"/>
        </w:rPr>
        <w:t xml:space="preserve"> and pavement</w:t>
      </w:r>
      <w:r>
        <w:rPr>
          <w:rFonts w:cs="Calibri"/>
          <w:kern w:val="28"/>
          <w:szCs w:val="24"/>
        </w:rPr>
        <w:t xml:space="preserve"> </w:t>
      </w:r>
      <w:r w:rsidRPr="006B411F">
        <w:rPr>
          <w:rFonts w:cs="Calibri"/>
          <w:kern w:val="28"/>
          <w:szCs w:val="24"/>
        </w:rPr>
        <w:t xml:space="preserve">performance targets, thus agreeing to plan and program projects in the TIP that once implemented, </w:t>
      </w:r>
      <w:r>
        <w:rPr>
          <w:rFonts w:cs="Calibri"/>
          <w:kern w:val="28"/>
          <w:szCs w:val="24"/>
        </w:rPr>
        <w:t xml:space="preserve">are anticipated to </w:t>
      </w:r>
      <w:r w:rsidRPr="006B411F">
        <w:rPr>
          <w:rFonts w:cs="Calibri"/>
          <w:kern w:val="28"/>
          <w:szCs w:val="24"/>
        </w:rPr>
        <w:t>make progress toward achieving the statewide targets</w:t>
      </w:r>
      <w:r w:rsidR="00E91250">
        <w:rPr>
          <w:rFonts w:cs="Calibri"/>
          <w:kern w:val="28"/>
          <w:szCs w:val="24"/>
        </w:rPr>
        <w:t xml:space="preserve">. </w:t>
      </w:r>
      <w:r w:rsidR="001F094B" w:rsidRPr="00F57A31">
        <w:rPr>
          <w:rFonts w:cs="Calibri"/>
          <w:bCs/>
          <w:color w:val="000000"/>
          <w:kern w:val="36"/>
          <w:szCs w:val="24"/>
          <w:highlight w:val="yellow"/>
        </w:rPr>
        <w:t>[The MPO may discuss the reasoning or analysis behind the decision to support the state targets.]</w:t>
      </w:r>
    </w:p>
    <w:p w14:paraId="2C69BD0A" w14:textId="7FAF76D9" w:rsidR="006B09A4" w:rsidRDefault="006B09A4" w:rsidP="006B09A4">
      <w:pPr>
        <w:rPr>
          <w:rFonts w:cs="Calibri"/>
          <w:bCs/>
          <w:color w:val="000000"/>
          <w:kern w:val="36"/>
          <w:szCs w:val="24"/>
        </w:rPr>
      </w:pPr>
      <w:r w:rsidRPr="00904649">
        <w:rPr>
          <w:rFonts w:cs="Calibri"/>
          <w:bCs/>
          <w:color w:val="000000"/>
          <w:kern w:val="36"/>
          <w:szCs w:val="24"/>
          <w:highlight w:val="yellow"/>
        </w:rPr>
        <w:t>[</w:t>
      </w:r>
      <w:r>
        <w:rPr>
          <w:rFonts w:cs="Calibri"/>
          <w:bCs/>
          <w:color w:val="000000"/>
          <w:kern w:val="36"/>
          <w:szCs w:val="24"/>
          <w:highlight w:val="yellow"/>
        </w:rPr>
        <w:t>END OF OPTION A</w:t>
      </w:r>
      <w:r w:rsidRPr="00904649">
        <w:rPr>
          <w:rFonts w:cs="Calibri"/>
          <w:bCs/>
          <w:color w:val="000000"/>
          <w:kern w:val="36"/>
          <w:szCs w:val="24"/>
          <w:highlight w:val="yellow"/>
        </w:rPr>
        <w:t xml:space="preserve">. Continue at “Section </w:t>
      </w:r>
      <w:r>
        <w:rPr>
          <w:rFonts w:cs="Calibri"/>
          <w:bCs/>
          <w:color w:val="000000"/>
          <w:kern w:val="36"/>
          <w:szCs w:val="24"/>
          <w:highlight w:val="yellow"/>
        </w:rPr>
        <w:t>4</w:t>
      </w:r>
      <w:r w:rsidRPr="00904649">
        <w:rPr>
          <w:rFonts w:cs="Calibri"/>
          <w:bCs/>
          <w:color w:val="000000"/>
          <w:kern w:val="36"/>
          <w:szCs w:val="24"/>
          <w:highlight w:val="yellow"/>
        </w:rPr>
        <w:t xml:space="preserve">.2 </w:t>
      </w:r>
      <w:r>
        <w:rPr>
          <w:rFonts w:cs="Calibri"/>
          <w:bCs/>
          <w:color w:val="000000"/>
          <w:kern w:val="36"/>
          <w:szCs w:val="24"/>
          <w:highlight w:val="yellow"/>
        </w:rPr>
        <w:t xml:space="preserve">Pavement and Bridge Investments </w:t>
      </w:r>
      <w:r w:rsidRPr="00904649">
        <w:rPr>
          <w:rFonts w:cs="Calibri"/>
          <w:bCs/>
          <w:color w:val="000000"/>
          <w:kern w:val="36"/>
          <w:szCs w:val="24"/>
          <w:highlight w:val="yellow"/>
        </w:rPr>
        <w:t xml:space="preserve">in the </w:t>
      </w:r>
      <w:r>
        <w:rPr>
          <w:rFonts w:cs="Calibri"/>
          <w:bCs/>
          <w:color w:val="000000"/>
          <w:kern w:val="36"/>
          <w:szCs w:val="24"/>
          <w:highlight w:val="yellow"/>
        </w:rPr>
        <w:t>TIP</w:t>
      </w:r>
      <w:r w:rsidRPr="00904649">
        <w:rPr>
          <w:rFonts w:cs="Calibri"/>
          <w:bCs/>
          <w:color w:val="000000"/>
          <w:kern w:val="36"/>
          <w:szCs w:val="24"/>
          <w:highlight w:val="yellow"/>
        </w:rPr>
        <w:t>”]</w:t>
      </w:r>
    </w:p>
    <w:p w14:paraId="096F67AF" w14:textId="77777777" w:rsidR="001162FB" w:rsidRDefault="001162FB" w:rsidP="006B09A4">
      <w:pPr>
        <w:rPr>
          <w:rFonts w:cs="Calibri"/>
          <w:bCs/>
          <w:color w:val="000000"/>
          <w:kern w:val="36"/>
          <w:szCs w:val="24"/>
        </w:rPr>
      </w:pPr>
    </w:p>
    <w:p w14:paraId="6F85F8BB" w14:textId="5EE1BD9A" w:rsidR="006B09A4" w:rsidRPr="00030F57" w:rsidRDefault="006B09A4" w:rsidP="006B09A4">
      <w:pPr>
        <w:keepNext/>
        <w:rPr>
          <w:rFonts w:cs="Proxima Nova"/>
          <w:color w:val="000000"/>
          <w:szCs w:val="24"/>
          <w:highlight w:val="yellow"/>
        </w:rPr>
      </w:pPr>
      <w:r w:rsidRPr="00030F57">
        <w:rPr>
          <w:rFonts w:cs="Proxima Nova"/>
          <w:color w:val="000000"/>
          <w:szCs w:val="24"/>
          <w:highlight w:val="yellow"/>
        </w:rPr>
        <w:t>[</w:t>
      </w:r>
      <w:r w:rsidRPr="00735CF6">
        <w:rPr>
          <w:rFonts w:cs="Proxima Nova"/>
          <w:color w:val="000000"/>
          <w:szCs w:val="24"/>
          <w:highlight w:val="yellow"/>
        </w:rPr>
        <w:t>OPTION B</w:t>
      </w:r>
      <w:r w:rsidRPr="00030F57">
        <w:rPr>
          <w:rFonts w:cs="Proxima Nova"/>
          <w:color w:val="000000"/>
          <w:szCs w:val="24"/>
          <w:highlight w:val="yellow"/>
        </w:rPr>
        <w:t xml:space="preserve">: </w:t>
      </w:r>
      <w:r w:rsidR="005663B7">
        <w:rPr>
          <w:rFonts w:cs="Proxima Nova"/>
          <w:color w:val="000000"/>
          <w:szCs w:val="24"/>
          <w:highlight w:val="yellow"/>
        </w:rPr>
        <w:t>F</w:t>
      </w:r>
      <w:r w:rsidRPr="00030F57">
        <w:rPr>
          <w:rFonts w:cs="Proxima Nova"/>
          <w:color w:val="000000"/>
          <w:szCs w:val="24"/>
          <w:highlight w:val="yellow"/>
        </w:rPr>
        <w:t xml:space="preserve">or MPO that </w:t>
      </w:r>
      <w:r>
        <w:rPr>
          <w:rFonts w:cs="Proxima Nova"/>
          <w:color w:val="000000"/>
          <w:szCs w:val="24"/>
          <w:highlight w:val="yellow"/>
        </w:rPr>
        <w:t>e</w:t>
      </w:r>
      <w:r w:rsidRPr="00030F57">
        <w:rPr>
          <w:rFonts w:cs="Proxima Nova"/>
          <w:color w:val="000000"/>
          <w:szCs w:val="24"/>
          <w:highlight w:val="yellow"/>
        </w:rPr>
        <w:t xml:space="preserve">stablishes its </w:t>
      </w:r>
      <w:r>
        <w:rPr>
          <w:rFonts w:cs="Proxima Nova"/>
          <w:color w:val="000000"/>
          <w:szCs w:val="24"/>
          <w:highlight w:val="yellow"/>
        </w:rPr>
        <w:t>o</w:t>
      </w:r>
      <w:r w:rsidRPr="00030F57">
        <w:rPr>
          <w:rFonts w:cs="Proxima Nova"/>
          <w:color w:val="000000"/>
          <w:szCs w:val="24"/>
          <w:highlight w:val="yellow"/>
        </w:rPr>
        <w:t xml:space="preserve">wn </w:t>
      </w:r>
      <w:r>
        <w:rPr>
          <w:rFonts w:cs="Proxima Nova"/>
          <w:color w:val="000000"/>
          <w:szCs w:val="24"/>
          <w:highlight w:val="yellow"/>
        </w:rPr>
        <w:t>t</w:t>
      </w:r>
      <w:r w:rsidRPr="00030F57">
        <w:rPr>
          <w:rFonts w:cs="Proxima Nova"/>
          <w:color w:val="000000"/>
          <w:szCs w:val="24"/>
          <w:highlight w:val="yellow"/>
        </w:rPr>
        <w:t>argets</w:t>
      </w:r>
      <w:r w:rsidR="004F231F">
        <w:rPr>
          <w:rFonts w:cs="Proxima Nova"/>
          <w:color w:val="000000"/>
          <w:szCs w:val="24"/>
          <w:highlight w:val="yellow"/>
        </w:rPr>
        <w:t xml:space="preserve"> for one or more PM2 measures</w:t>
      </w:r>
      <w:r w:rsidRPr="00030F57">
        <w:rPr>
          <w:rFonts w:cs="Proxima Nova"/>
          <w:color w:val="000000"/>
          <w:szCs w:val="24"/>
          <w:highlight w:val="yellow"/>
        </w:rPr>
        <w:t>]</w:t>
      </w:r>
    </w:p>
    <w:p w14:paraId="4571BFEE" w14:textId="5224C6B0" w:rsidR="00A60A22" w:rsidRDefault="00A60A22" w:rsidP="00A60A22">
      <w:pPr>
        <w:rPr>
          <w:rFonts w:cs="Calibri"/>
          <w:kern w:val="28"/>
          <w:szCs w:val="24"/>
        </w:rPr>
      </w:pPr>
      <w:r>
        <w:rPr>
          <w:rFonts w:cs="Calibri"/>
          <w:kern w:val="28"/>
          <w:szCs w:val="24"/>
        </w:rPr>
        <w:t>T</w:t>
      </w:r>
      <w:r w:rsidRPr="008A2DFD">
        <w:rPr>
          <w:rFonts w:cs="Calibri"/>
          <w:kern w:val="28"/>
          <w:szCs w:val="24"/>
        </w:rPr>
        <w:t xml:space="preserve">he </w:t>
      </w:r>
      <w:r w:rsidRPr="008A2DFD">
        <w:rPr>
          <w:rFonts w:cs="Calibri"/>
          <w:bCs/>
          <w:color w:val="000000"/>
          <w:kern w:val="36"/>
          <w:szCs w:val="24"/>
        </w:rPr>
        <w:t>[</w:t>
      </w:r>
      <w:r w:rsidRPr="008A2DFD">
        <w:rPr>
          <w:rFonts w:cs="Calibri"/>
          <w:bCs/>
          <w:color w:val="000000"/>
          <w:kern w:val="36"/>
          <w:szCs w:val="24"/>
          <w:highlight w:val="yellow"/>
        </w:rPr>
        <w:t>insert name</w:t>
      </w:r>
      <w:r w:rsidRPr="008A2DFD">
        <w:rPr>
          <w:rFonts w:cs="Calibri"/>
          <w:bCs/>
          <w:color w:val="000000"/>
          <w:kern w:val="36"/>
          <w:szCs w:val="24"/>
        </w:rPr>
        <w:t xml:space="preserve">] </w:t>
      </w:r>
      <w:r w:rsidRPr="008A2DFD">
        <w:rPr>
          <w:rFonts w:cs="Calibri"/>
          <w:kern w:val="28"/>
          <w:szCs w:val="24"/>
        </w:rPr>
        <w:t>MPO acknowledges FDOT</w:t>
      </w:r>
      <w:r w:rsidR="00695445">
        <w:rPr>
          <w:rFonts w:cs="Calibri"/>
          <w:kern w:val="28"/>
          <w:szCs w:val="24"/>
        </w:rPr>
        <w:t>’s</w:t>
      </w:r>
      <w:r w:rsidRPr="008A2DFD">
        <w:rPr>
          <w:rFonts w:cs="Calibri"/>
          <w:kern w:val="28"/>
          <w:szCs w:val="24"/>
        </w:rPr>
        <w:t xml:space="preserve"> statewide </w:t>
      </w:r>
      <w:r>
        <w:rPr>
          <w:rFonts w:cs="Calibri"/>
          <w:kern w:val="28"/>
          <w:szCs w:val="24"/>
        </w:rPr>
        <w:t>bridge</w:t>
      </w:r>
      <w:r w:rsidR="00384D51">
        <w:rPr>
          <w:rFonts w:cs="Calibri"/>
          <w:kern w:val="28"/>
          <w:szCs w:val="24"/>
        </w:rPr>
        <w:t xml:space="preserve"> and pavement</w:t>
      </w:r>
      <w:r>
        <w:rPr>
          <w:rFonts w:cs="Calibri"/>
          <w:kern w:val="28"/>
          <w:szCs w:val="24"/>
        </w:rPr>
        <w:t xml:space="preserve"> condition </w:t>
      </w:r>
      <w:r w:rsidRPr="008A2DFD">
        <w:rPr>
          <w:rFonts w:cs="Calibri"/>
          <w:kern w:val="28"/>
          <w:szCs w:val="24"/>
        </w:rPr>
        <w:t>targets</w:t>
      </w:r>
      <w:r w:rsidR="00E91250" w:rsidRPr="008A2DFD">
        <w:rPr>
          <w:rFonts w:cs="Calibri"/>
          <w:kern w:val="28"/>
          <w:szCs w:val="24"/>
        </w:rPr>
        <w:t xml:space="preserve">. </w:t>
      </w:r>
      <w:r w:rsidRPr="008A2DFD">
        <w:rPr>
          <w:rFonts w:cs="Calibri"/>
          <w:kern w:val="28"/>
          <w:szCs w:val="24"/>
        </w:rPr>
        <w:t xml:space="preserve">However, </w:t>
      </w:r>
      <w:r>
        <w:rPr>
          <w:rFonts w:cs="Calibri"/>
          <w:kern w:val="28"/>
          <w:szCs w:val="24"/>
        </w:rPr>
        <w:t>o</w:t>
      </w:r>
      <w:r w:rsidRPr="007E16DA">
        <w:rPr>
          <w:rFonts w:cs="Calibri"/>
          <w:kern w:val="28"/>
          <w:szCs w:val="24"/>
        </w:rPr>
        <w:t>n [</w:t>
      </w:r>
      <w:r w:rsidRPr="007E16DA">
        <w:rPr>
          <w:rFonts w:cs="Calibri"/>
          <w:kern w:val="28"/>
          <w:szCs w:val="24"/>
          <w:highlight w:val="yellow"/>
        </w:rPr>
        <w:t>insert date</w:t>
      </w:r>
      <w:r w:rsidRPr="007E16DA">
        <w:rPr>
          <w:rFonts w:cs="Calibri"/>
          <w:kern w:val="28"/>
          <w:szCs w:val="24"/>
        </w:rPr>
        <w:t>], the [</w:t>
      </w:r>
      <w:r w:rsidRPr="007E16DA">
        <w:rPr>
          <w:rFonts w:cs="Calibri"/>
          <w:kern w:val="28"/>
          <w:szCs w:val="24"/>
          <w:highlight w:val="yellow"/>
        </w:rPr>
        <w:t>insert MPO name</w:t>
      </w:r>
      <w:r w:rsidRPr="007E16DA">
        <w:rPr>
          <w:rFonts w:cs="Calibri"/>
          <w:kern w:val="28"/>
          <w:szCs w:val="24"/>
        </w:rPr>
        <w:t xml:space="preserve">] established </w:t>
      </w:r>
      <w:r w:rsidR="00AC178C">
        <w:rPr>
          <w:rFonts w:cs="Calibri"/>
          <w:kern w:val="28"/>
          <w:szCs w:val="24"/>
        </w:rPr>
        <w:t xml:space="preserve">the </w:t>
      </w:r>
      <w:r>
        <w:rPr>
          <w:rFonts w:cs="Calibri"/>
          <w:kern w:val="28"/>
          <w:szCs w:val="24"/>
        </w:rPr>
        <w:t>four</w:t>
      </w:r>
      <w:r w:rsidRPr="007E16DA">
        <w:rPr>
          <w:rFonts w:cs="Calibri"/>
          <w:kern w:val="28"/>
          <w:szCs w:val="24"/>
        </w:rPr>
        <w:t xml:space="preserve">-year </w:t>
      </w:r>
      <w:r w:rsidR="00384D51">
        <w:rPr>
          <w:rFonts w:cs="Calibri"/>
          <w:kern w:val="28"/>
          <w:szCs w:val="24"/>
        </w:rPr>
        <w:t>bridge and pavement</w:t>
      </w:r>
      <w:r w:rsidRPr="007E16DA">
        <w:rPr>
          <w:rFonts w:cs="Calibri"/>
          <w:kern w:val="28"/>
          <w:szCs w:val="24"/>
        </w:rPr>
        <w:t xml:space="preserve"> </w:t>
      </w:r>
      <w:r>
        <w:rPr>
          <w:rFonts w:cs="Calibri"/>
          <w:kern w:val="28"/>
          <w:szCs w:val="24"/>
        </w:rPr>
        <w:t xml:space="preserve">condition </w:t>
      </w:r>
      <w:r w:rsidRPr="007E16DA">
        <w:rPr>
          <w:rFonts w:cs="Calibri"/>
          <w:kern w:val="28"/>
          <w:szCs w:val="24"/>
        </w:rPr>
        <w:t>targets for the MPO’s planning area</w:t>
      </w:r>
      <w:r w:rsidR="00AC178C">
        <w:rPr>
          <w:rFonts w:cs="Calibri"/>
          <w:kern w:val="28"/>
          <w:szCs w:val="24"/>
        </w:rPr>
        <w:t xml:space="preserve"> identified in Table 4.2</w:t>
      </w:r>
      <w:r w:rsidRPr="007E16DA">
        <w:rPr>
          <w:rFonts w:cs="Calibri"/>
          <w:kern w:val="28"/>
          <w:szCs w:val="24"/>
        </w:rPr>
        <w:t xml:space="preserve">: </w:t>
      </w:r>
    </w:p>
    <w:p w14:paraId="455F85A0" w14:textId="67E73C61" w:rsidR="00A60A22" w:rsidRDefault="00A60A22" w:rsidP="00A60A22">
      <w:pPr>
        <w:rPr>
          <w:rFonts w:cs="Calibri"/>
          <w:kern w:val="28"/>
          <w:szCs w:val="24"/>
        </w:rPr>
      </w:pPr>
      <w:r>
        <w:rPr>
          <w:rFonts w:cs="Calibri"/>
          <w:kern w:val="28"/>
          <w:szCs w:val="24"/>
          <w:highlight w:val="yellow"/>
        </w:rPr>
        <w:t>[</w:t>
      </w:r>
      <w:r w:rsidRPr="002E74D6">
        <w:rPr>
          <w:rFonts w:cs="Calibri"/>
          <w:kern w:val="28"/>
          <w:szCs w:val="24"/>
          <w:highlight w:val="yellow"/>
        </w:rPr>
        <w:t xml:space="preserve">Insert table </w:t>
      </w:r>
      <w:r>
        <w:rPr>
          <w:rFonts w:cs="Calibri"/>
          <w:kern w:val="28"/>
          <w:szCs w:val="24"/>
          <w:highlight w:val="yellow"/>
        </w:rPr>
        <w:t>similar to t</w:t>
      </w:r>
      <w:r w:rsidRPr="002E74D6">
        <w:rPr>
          <w:rFonts w:cs="Calibri"/>
          <w:kern w:val="28"/>
          <w:szCs w:val="24"/>
          <w:highlight w:val="yellow"/>
        </w:rPr>
        <w:t>he one below</w:t>
      </w:r>
      <w:r>
        <w:rPr>
          <w:rFonts w:cs="Calibri"/>
          <w:kern w:val="28"/>
          <w:szCs w:val="24"/>
          <w:highlight w:val="yellow"/>
        </w:rPr>
        <w:t>. I</w:t>
      </w:r>
      <w:r w:rsidRPr="002E74D6">
        <w:rPr>
          <w:rFonts w:cs="Calibri"/>
          <w:kern w:val="28"/>
          <w:szCs w:val="24"/>
          <w:highlight w:val="yellow"/>
        </w:rPr>
        <w:t>f desired, include the statewide targets in the table for reference purposes</w:t>
      </w:r>
      <w:r>
        <w:rPr>
          <w:rFonts w:cs="Calibri"/>
          <w:kern w:val="28"/>
          <w:szCs w:val="24"/>
          <w:highlight w:val="yellow"/>
        </w:rPr>
        <w:t>, or combine Tables 4.1 and 4.2 into one table</w:t>
      </w:r>
      <w:r w:rsidRPr="00FE62ED">
        <w:rPr>
          <w:rFonts w:cs="Calibri"/>
          <w:kern w:val="28"/>
          <w:szCs w:val="24"/>
          <w:highlight w:val="yellow"/>
        </w:rPr>
        <w:t>.</w:t>
      </w:r>
      <w:r>
        <w:rPr>
          <w:rFonts w:cs="Calibri"/>
          <w:kern w:val="28"/>
          <w:szCs w:val="24"/>
          <w:highlight w:val="yellow"/>
        </w:rPr>
        <w:t xml:space="preserve"> Note that MPOs are required to establish only 4-year targets for the federal </w:t>
      </w:r>
      <w:r w:rsidR="00FD25D7">
        <w:rPr>
          <w:rFonts w:cs="Calibri"/>
          <w:kern w:val="28"/>
          <w:szCs w:val="24"/>
          <w:highlight w:val="yellow"/>
        </w:rPr>
        <w:t>b</w:t>
      </w:r>
      <w:r>
        <w:rPr>
          <w:rFonts w:cs="Calibri"/>
          <w:kern w:val="28"/>
          <w:szCs w:val="24"/>
          <w:highlight w:val="yellow"/>
        </w:rPr>
        <w:t>ridge</w:t>
      </w:r>
      <w:r w:rsidR="00FD25D7">
        <w:rPr>
          <w:rFonts w:cs="Calibri"/>
          <w:kern w:val="28"/>
          <w:szCs w:val="24"/>
          <w:highlight w:val="yellow"/>
        </w:rPr>
        <w:t xml:space="preserve"> and pavement</w:t>
      </w:r>
      <w:r>
        <w:rPr>
          <w:rFonts w:cs="Calibri"/>
          <w:kern w:val="28"/>
          <w:szCs w:val="24"/>
          <w:highlight w:val="yellow"/>
        </w:rPr>
        <w:t xml:space="preserve"> condition measures. An MPO may choose to establish 2-year targets.</w:t>
      </w:r>
      <w:r w:rsidRPr="00FE62ED">
        <w:rPr>
          <w:rFonts w:cs="Calibri"/>
          <w:kern w:val="28"/>
          <w:szCs w:val="24"/>
          <w:highlight w:val="yellow"/>
        </w:rPr>
        <w:t>]</w:t>
      </w:r>
    </w:p>
    <w:p w14:paraId="37DCF5FD" w14:textId="77777777" w:rsidR="00A60A22" w:rsidRPr="006C7BCD" w:rsidRDefault="00A60A22" w:rsidP="00A60A22">
      <w:pPr>
        <w:pStyle w:val="BodyText"/>
        <w:spacing w:after="120"/>
        <w:rPr>
          <w:b/>
        </w:rPr>
      </w:pPr>
      <w:r>
        <w:rPr>
          <w:b/>
        </w:rPr>
        <w:t>Table 4.2 [</w:t>
      </w:r>
      <w:r w:rsidRPr="00536BA0">
        <w:rPr>
          <w:b/>
          <w:highlight w:val="yellow"/>
        </w:rPr>
        <w:t>MPO name</w:t>
      </w:r>
      <w:r>
        <w:rPr>
          <w:b/>
        </w:rPr>
        <w:t>] Pavement and Bridge Condition Performance Targets</w:t>
      </w:r>
      <w:r>
        <w:rPr>
          <w:b/>
        </w:rPr>
        <w:tab/>
      </w:r>
    </w:p>
    <w:tbl>
      <w:tblPr>
        <w:tblW w:w="9000"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43" w:type="dxa"/>
          <w:right w:w="43" w:type="dxa"/>
        </w:tblCellMar>
        <w:tblLook w:val="01E0" w:firstRow="1" w:lastRow="1" w:firstColumn="1" w:lastColumn="1" w:noHBand="0" w:noVBand="0"/>
      </w:tblPr>
      <w:tblGrid>
        <w:gridCol w:w="6480"/>
        <w:gridCol w:w="2520"/>
      </w:tblGrid>
      <w:tr w:rsidR="00A60A22" w:rsidRPr="007E16DA" w14:paraId="780203E2" w14:textId="77777777" w:rsidTr="000C0E09">
        <w:trPr>
          <w:tblHeader/>
        </w:trPr>
        <w:tc>
          <w:tcPr>
            <w:tcW w:w="6480" w:type="dxa"/>
            <w:vAlign w:val="center"/>
          </w:tcPr>
          <w:p w14:paraId="32D5AD4C" w14:textId="77777777" w:rsidR="00A60A22" w:rsidRPr="007E16DA" w:rsidRDefault="00A60A22" w:rsidP="0000371F">
            <w:pPr>
              <w:pStyle w:val="TableHeadText"/>
            </w:pPr>
            <w:r w:rsidRPr="007E16DA">
              <w:t>Performance Measure</w:t>
            </w:r>
          </w:p>
        </w:tc>
        <w:tc>
          <w:tcPr>
            <w:tcW w:w="2520" w:type="dxa"/>
            <w:vAlign w:val="center"/>
          </w:tcPr>
          <w:p w14:paraId="49164FD9" w14:textId="2D044B67" w:rsidR="00A60A22" w:rsidRPr="007E16DA" w:rsidRDefault="00A60A22" w:rsidP="0000371F">
            <w:pPr>
              <w:pStyle w:val="TableHeadText"/>
              <w:jc w:val="center"/>
            </w:pPr>
            <w:r w:rsidRPr="008D7117">
              <w:t>202</w:t>
            </w:r>
            <w:r w:rsidR="008D7117">
              <w:t>5</w:t>
            </w:r>
            <w:r>
              <w:t xml:space="preserve"> </w:t>
            </w:r>
            <w:r w:rsidRPr="007E16DA">
              <w:t>MPO Target</w:t>
            </w:r>
          </w:p>
        </w:tc>
      </w:tr>
      <w:tr w:rsidR="00A60A22" w:rsidRPr="007E16DA" w14:paraId="0DF60E66" w14:textId="77777777" w:rsidTr="000C0E09">
        <w:tc>
          <w:tcPr>
            <w:tcW w:w="6480" w:type="dxa"/>
            <w:shd w:val="clear" w:color="auto" w:fill="F1F1F1"/>
            <w:vAlign w:val="center"/>
          </w:tcPr>
          <w:p w14:paraId="005BDCF5" w14:textId="18CD730E" w:rsidR="00A60A22" w:rsidRPr="007E16DA" w:rsidRDefault="00A60A22" w:rsidP="0000371F">
            <w:pPr>
              <w:pStyle w:val="TableBodyText"/>
            </w:pPr>
            <w:r w:rsidRPr="007E16DA">
              <w:t xml:space="preserve">Percent of </w:t>
            </w:r>
            <w:r w:rsidR="004015BE">
              <w:t xml:space="preserve">NHS bridges </w:t>
            </w:r>
            <w:r w:rsidR="00403536">
              <w:t>(</w:t>
            </w:r>
            <w:r w:rsidR="004015BE">
              <w:t xml:space="preserve">by </w:t>
            </w:r>
            <w:r w:rsidR="00403536">
              <w:t xml:space="preserve">deck area) in </w:t>
            </w:r>
            <w:r w:rsidRPr="007E16DA">
              <w:t>good condition</w:t>
            </w:r>
          </w:p>
        </w:tc>
        <w:tc>
          <w:tcPr>
            <w:tcW w:w="2520" w:type="dxa"/>
            <w:shd w:val="clear" w:color="auto" w:fill="F1F1F1"/>
            <w:vAlign w:val="center"/>
          </w:tcPr>
          <w:p w14:paraId="5F384D30" w14:textId="4EC5EEFD" w:rsidR="00A60A22" w:rsidRPr="007E16DA" w:rsidRDefault="00A60A22" w:rsidP="0000371F">
            <w:pPr>
              <w:pStyle w:val="TableBodyText"/>
              <w:rPr>
                <w:highlight w:val="yellow"/>
              </w:rPr>
            </w:pPr>
            <w:r w:rsidRPr="007E16DA">
              <w:rPr>
                <w:highlight w:val="yellow"/>
              </w:rPr>
              <w:t>xx.x%</w:t>
            </w:r>
          </w:p>
        </w:tc>
      </w:tr>
      <w:tr w:rsidR="00A60A22" w:rsidRPr="007E16DA" w14:paraId="1BE57F5F" w14:textId="77777777" w:rsidTr="000C0E09">
        <w:tc>
          <w:tcPr>
            <w:tcW w:w="6480" w:type="dxa"/>
            <w:vAlign w:val="center"/>
          </w:tcPr>
          <w:p w14:paraId="33930665" w14:textId="1CC3A240" w:rsidR="00A60A22" w:rsidRPr="007E16DA" w:rsidRDefault="00A60A22" w:rsidP="0000371F">
            <w:pPr>
              <w:pStyle w:val="TableBodyText"/>
            </w:pPr>
            <w:r w:rsidRPr="007E16DA">
              <w:t xml:space="preserve">Percent of </w:t>
            </w:r>
            <w:r w:rsidR="00403536">
              <w:t>NHS bridges (by deck area)</w:t>
            </w:r>
            <w:r w:rsidRPr="007E16DA">
              <w:t xml:space="preserve"> in poor condition</w:t>
            </w:r>
          </w:p>
        </w:tc>
        <w:tc>
          <w:tcPr>
            <w:tcW w:w="2520" w:type="dxa"/>
            <w:vAlign w:val="center"/>
          </w:tcPr>
          <w:p w14:paraId="2A691208" w14:textId="1A6E3A0D" w:rsidR="00A60A22" w:rsidRPr="007E16DA" w:rsidRDefault="00A60A22" w:rsidP="0000371F">
            <w:pPr>
              <w:pStyle w:val="TableBodyText"/>
              <w:rPr>
                <w:highlight w:val="yellow"/>
              </w:rPr>
            </w:pPr>
            <w:r w:rsidRPr="007E16DA">
              <w:rPr>
                <w:highlight w:val="yellow"/>
              </w:rPr>
              <w:t>x.x%</w:t>
            </w:r>
          </w:p>
        </w:tc>
      </w:tr>
      <w:tr w:rsidR="00A60A22" w:rsidRPr="007E16DA" w14:paraId="6DD9A611" w14:textId="77777777" w:rsidTr="000C0E09">
        <w:tc>
          <w:tcPr>
            <w:tcW w:w="6480" w:type="dxa"/>
            <w:shd w:val="clear" w:color="auto" w:fill="F1F1F1"/>
            <w:vAlign w:val="center"/>
          </w:tcPr>
          <w:p w14:paraId="4E541768" w14:textId="25ADCB82" w:rsidR="00A60A22" w:rsidRPr="007E16DA" w:rsidRDefault="00A60A22" w:rsidP="0000371F">
            <w:pPr>
              <w:pStyle w:val="TableBodyText"/>
            </w:pPr>
            <w:r w:rsidRPr="007E16DA">
              <w:t>Percent of Interstate pavements in good condition</w:t>
            </w:r>
          </w:p>
        </w:tc>
        <w:tc>
          <w:tcPr>
            <w:tcW w:w="2520" w:type="dxa"/>
            <w:shd w:val="clear" w:color="auto" w:fill="F1F1F1"/>
            <w:vAlign w:val="center"/>
          </w:tcPr>
          <w:p w14:paraId="0B12DDF5" w14:textId="11B5CBE8" w:rsidR="00A60A22" w:rsidRPr="007E16DA" w:rsidRDefault="00A60A22" w:rsidP="0000371F">
            <w:pPr>
              <w:pStyle w:val="TableBodyText"/>
              <w:rPr>
                <w:highlight w:val="yellow"/>
              </w:rPr>
            </w:pPr>
            <w:r w:rsidRPr="007E16DA">
              <w:rPr>
                <w:highlight w:val="yellow"/>
              </w:rPr>
              <w:t>xx.x%</w:t>
            </w:r>
          </w:p>
        </w:tc>
      </w:tr>
      <w:tr w:rsidR="00A60A22" w:rsidRPr="007E16DA" w14:paraId="73ADA093" w14:textId="77777777" w:rsidTr="000C0E09">
        <w:tc>
          <w:tcPr>
            <w:tcW w:w="6480" w:type="dxa"/>
            <w:vAlign w:val="center"/>
          </w:tcPr>
          <w:p w14:paraId="51C4BE81" w14:textId="19839B96" w:rsidR="00A60A22" w:rsidRPr="007E16DA" w:rsidRDefault="00A60A22" w:rsidP="0000371F">
            <w:pPr>
              <w:pStyle w:val="TableBodyText"/>
            </w:pPr>
            <w:r w:rsidRPr="007E16DA">
              <w:t>Percent of Interstate</w:t>
            </w:r>
            <w:r w:rsidR="00D00DD0">
              <w:t xml:space="preserve"> </w:t>
            </w:r>
            <w:r w:rsidRPr="007E16DA">
              <w:t>pavements in poor condition</w:t>
            </w:r>
          </w:p>
        </w:tc>
        <w:tc>
          <w:tcPr>
            <w:tcW w:w="2520" w:type="dxa"/>
            <w:vAlign w:val="center"/>
          </w:tcPr>
          <w:p w14:paraId="03CD3D19" w14:textId="065C4C31" w:rsidR="00A60A22" w:rsidRPr="007E16DA" w:rsidRDefault="00A60A22" w:rsidP="0000371F">
            <w:pPr>
              <w:pStyle w:val="TableBodyText"/>
              <w:rPr>
                <w:highlight w:val="yellow"/>
              </w:rPr>
            </w:pPr>
            <w:r w:rsidRPr="007E16DA">
              <w:rPr>
                <w:highlight w:val="yellow"/>
              </w:rPr>
              <w:t>x.x%</w:t>
            </w:r>
          </w:p>
        </w:tc>
      </w:tr>
      <w:tr w:rsidR="00A60A22" w:rsidRPr="007E16DA" w14:paraId="01F1DADA" w14:textId="77777777" w:rsidTr="000C0E09">
        <w:tc>
          <w:tcPr>
            <w:tcW w:w="6480" w:type="dxa"/>
            <w:shd w:val="clear" w:color="auto" w:fill="F1F1F1"/>
            <w:vAlign w:val="center"/>
          </w:tcPr>
          <w:p w14:paraId="66F625F4" w14:textId="68F48AFA" w:rsidR="00A60A22" w:rsidRPr="007E16DA" w:rsidRDefault="00A60A22" w:rsidP="0000371F">
            <w:pPr>
              <w:pStyle w:val="TableBodyText"/>
            </w:pPr>
            <w:r w:rsidRPr="007E16DA">
              <w:t xml:space="preserve">Percent of </w:t>
            </w:r>
            <w:r w:rsidR="00D00DD0">
              <w:t>non-Interstate pavements</w:t>
            </w:r>
            <w:r w:rsidRPr="007E16DA">
              <w:t xml:space="preserve"> in good condition</w:t>
            </w:r>
          </w:p>
        </w:tc>
        <w:tc>
          <w:tcPr>
            <w:tcW w:w="2520" w:type="dxa"/>
            <w:shd w:val="clear" w:color="auto" w:fill="F1F1F1"/>
            <w:vAlign w:val="center"/>
          </w:tcPr>
          <w:p w14:paraId="0C1AF9E7" w14:textId="1DE39D2A" w:rsidR="00A60A22" w:rsidRPr="007E16DA" w:rsidRDefault="00A60A22" w:rsidP="0000371F">
            <w:pPr>
              <w:pStyle w:val="TableBodyText"/>
              <w:rPr>
                <w:highlight w:val="yellow"/>
              </w:rPr>
            </w:pPr>
            <w:r w:rsidRPr="007E16DA">
              <w:rPr>
                <w:highlight w:val="yellow"/>
              </w:rPr>
              <w:t>xx.x%</w:t>
            </w:r>
          </w:p>
        </w:tc>
      </w:tr>
      <w:tr w:rsidR="00A60A22" w:rsidRPr="007E16DA" w14:paraId="0885A1EF" w14:textId="77777777" w:rsidTr="000C0E09">
        <w:tc>
          <w:tcPr>
            <w:tcW w:w="6480" w:type="dxa"/>
            <w:vAlign w:val="center"/>
          </w:tcPr>
          <w:p w14:paraId="36659F0F" w14:textId="60851D25" w:rsidR="00A60A22" w:rsidRPr="007E16DA" w:rsidRDefault="00A60A22" w:rsidP="0000371F">
            <w:pPr>
              <w:pStyle w:val="TableBodyText"/>
            </w:pPr>
            <w:r w:rsidRPr="007E16DA">
              <w:lastRenderedPageBreak/>
              <w:t xml:space="preserve">Percent of </w:t>
            </w:r>
            <w:r w:rsidR="00D00DD0">
              <w:t>non-Interstate</w:t>
            </w:r>
            <w:r w:rsidR="00FC6EEC">
              <w:t xml:space="preserve"> pavements </w:t>
            </w:r>
            <w:r w:rsidRPr="007E16DA">
              <w:t>in poor condition</w:t>
            </w:r>
          </w:p>
        </w:tc>
        <w:tc>
          <w:tcPr>
            <w:tcW w:w="2520" w:type="dxa"/>
            <w:vAlign w:val="center"/>
          </w:tcPr>
          <w:p w14:paraId="7393CF53" w14:textId="401111ED" w:rsidR="00A60A22" w:rsidRPr="007E16DA" w:rsidRDefault="00A60A22" w:rsidP="0000371F">
            <w:pPr>
              <w:pStyle w:val="TableBodyText"/>
              <w:rPr>
                <w:highlight w:val="yellow"/>
              </w:rPr>
            </w:pPr>
            <w:r w:rsidRPr="007E16DA">
              <w:rPr>
                <w:highlight w:val="yellow"/>
              </w:rPr>
              <w:t>x.x%</w:t>
            </w:r>
          </w:p>
        </w:tc>
      </w:tr>
    </w:tbl>
    <w:p w14:paraId="09A20E31" w14:textId="77777777" w:rsidR="00A60A22" w:rsidRDefault="00A60A22" w:rsidP="00A60A22">
      <w:pPr>
        <w:tabs>
          <w:tab w:val="left" w:pos="2250"/>
        </w:tabs>
        <w:jc w:val="left"/>
        <w:rPr>
          <w:rFonts w:cs="Calibri"/>
          <w:bCs/>
          <w:color w:val="000000"/>
          <w:kern w:val="36"/>
          <w:szCs w:val="24"/>
        </w:rPr>
      </w:pPr>
    </w:p>
    <w:p w14:paraId="29072267" w14:textId="0642D918" w:rsidR="00A60A22" w:rsidRDefault="00A60A22" w:rsidP="00D14308">
      <w:pPr>
        <w:tabs>
          <w:tab w:val="left" w:pos="2250"/>
        </w:tabs>
        <w:rPr>
          <w:rFonts w:cs="Calibri"/>
          <w:bCs/>
          <w:color w:val="000000"/>
          <w:kern w:val="36"/>
          <w:szCs w:val="24"/>
        </w:rPr>
      </w:pPr>
      <w:r>
        <w:rPr>
          <w:rFonts w:cs="Calibri"/>
          <w:bCs/>
          <w:color w:val="000000"/>
          <w:kern w:val="36"/>
          <w:szCs w:val="24"/>
        </w:rPr>
        <w:t>In establishing the MPO’s targets for the bridge</w:t>
      </w:r>
      <w:r w:rsidR="00FC6EEC">
        <w:rPr>
          <w:rFonts w:cs="Calibri"/>
          <w:bCs/>
          <w:color w:val="000000"/>
          <w:kern w:val="36"/>
          <w:szCs w:val="24"/>
        </w:rPr>
        <w:t xml:space="preserve"> and pavement</w:t>
      </w:r>
      <w:r>
        <w:rPr>
          <w:rFonts w:cs="Calibri"/>
          <w:bCs/>
          <w:color w:val="000000"/>
          <w:kern w:val="36"/>
          <w:szCs w:val="24"/>
        </w:rPr>
        <w:t xml:space="preserve"> condition performance measures, [</w:t>
      </w:r>
      <w:r w:rsidRPr="007E16DA">
        <w:rPr>
          <w:rFonts w:cs="Calibri"/>
          <w:kern w:val="28"/>
          <w:szCs w:val="24"/>
          <w:highlight w:val="yellow"/>
        </w:rPr>
        <w:t>insert MPO name</w:t>
      </w:r>
      <w:r w:rsidRPr="007E16DA">
        <w:rPr>
          <w:rFonts w:cs="Calibri"/>
          <w:kern w:val="28"/>
          <w:szCs w:val="24"/>
        </w:rPr>
        <w:t>]</w:t>
      </w:r>
      <w:r>
        <w:rPr>
          <w:rFonts w:cs="Calibri"/>
          <w:bCs/>
          <w:color w:val="000000"/>
          <w:kern w:val="36"/>
          <w:szCs w:val="24"/>
        </w:rPr>
        <w:t xml:space="preserve"> considered many factors</w:t>
      </w:r>
      <w:r w:rsidR="007026A1">
        <w:rPr>
          <w:rFonts w:cs="Calibri"/>
          <w:bCs/>
          <w:color w:val="000000"/>
          <w:kern w:val="36"/>
          <w:szCs w:val="24"/>
        </w:rPr>
        <w:t xml:space="preserve">. </w:t>
      </w:r>
      <w:r>
        <w:rPr>
          <w:rFonts w:cs="Calibri"/>
          <w:bCs/>
          <w:color w:val="000000"/>
          <w:kern w:val="36"/>
          <w:szCs w:val="24"/>
        </w:rPr>
        <w:t>[</w:t>
      </w:r>
      <w:r w:rsidR="00AC178C">
        <w:rPr>
          <w:rFonts w:cs="Calibri"/>
          <w:kern w:val="28"/>
          <w:szCs w:val="24"/>
          <w:highlight w:val="yellow"/>
        </w:rPr>
        <w:t xml:space="preserve">The </w:t>
      </w:r>
      <w:r w:rsidR="00AC178C" w:rsidRPr="00BB3F9B">
        <w:rPr>
          <w:rFonts w:cs="Calibri"/>
          <w:kern w:val="28"/>
          <w:szCs w:val="24"/>
          <w:highlight w:val="yellow"/>
        </w:rPr>
        <w:t xml:space="preserve">MPO should </w:t>
      </w:r>
      <w:r w:rsidR="00AC178C">
        <w:rPr>
          <w:rFonts w:cs="Calibri"/>
          <w:kern w:val="28"/>
          <w:szCs w:val="24"/>
          <w:highlight w:val="yellow"/>
        </w:rPr>
        <w:t xml:space="preserve">discuss why and </w:t>
      </w:r>
      <w:r w:rsidR="00AC178C" w:rsidRPr="00BB3F9B">
        <w:rPr>
          <w:rFonts w:cs="Calibri"/>
          <w:kern w:val="28"/>
          <w:szCs w:val="24"/>
          <w:highlight w:val="yellow"/>
        </w:rPr>
        <w:t xml:space="preserve">how it established its own targets. </w:t>
      </w:r>
      <w:r w:rsidR="00AC178C">
        <w:rPr>
          <w:rFonts w:cs="Calibri"/>
          <w:kern w:val="28"/>
          <w:szCs w:val="24"/>
          <w:highlight w:val="yellow"/>
        </w:rPr>
        <w:t>I</w:t>
      </w:r>
      <w:r w:rsidR="00AC178C" w:rsidRPr="00BB3F9B">
        <w:rPr>
          <w:rFonts w:cs="Calibri"/>
          <w:kern w:val="28"/>
          <w:szCs w:val="24"/>
          <w:highlight w:val="yellow"/>
        </w:rPr>
        <w:t xml:space="preserve">nclude </w:t>
      </w:r>
      <w:r w:rsidR="00AC178C">
        <w:rPr>
          <w:rFonts w:cs="Calibri"/>
          <w:kern w:val="28"/>
          <w:szCs w:val="24"/>
          <w:highlight w:val="yellow"/>
        </w:rPr>
        <w:t xml:space="preserve">the basis </w:t>
      </w:r>
      <w:r w:rsidR="00AC178C" w:rsidRPr="00BB3F9B">
        <w:rPr>
          <w:rFonts w:cs="Calibri"/>
          <w:kern w:val="28"/>
          <w:szCs w:val="24"/>
          <w:highlight w:val="yellow"/>
        </w:rPr>
        <w:t xml:space="preserve">for </w:t>
      </w:r>
      <w:r w:rsidR="00AC178C">
        <w:rPr>
          <w:rFonts w:cs="Calibri"/>
          <w:kern w:val="28"/>
          <w:szCs w:val="24"/>
          <w:highlight w:val="yellow"/>
        </w:rPr>
        <w:t xml:space="preserve">developing the </w:t>
      </w:r>
      <w:r w:rsidR="00AC178C" w:rsidRPr="00BB3F9B">
        <w:rPr>
          <w:rFonts w:cs="Calibri"/>
          <w:kern w:val="28"/>
          <w:szCs w:val="24"/>
          <w:highlight w:val="yellow"/>
        </w:rPr>
        <w:t>MPO targets and</w:t>
      </w:r>
      <w:r w:rsidR="00AC178C">
        <w:rPr>
          <w:rFonts w:cs="Calibri"/>
          <w:kern w:val="28"/>
          <w:szCs w:val="24"/>
          <w:highlight w:val="yellow"/>
        </w:rPr>
        <w:t xml:space="preserve"> cite relevant factors. Examples may include </w:t>
      </w:r>
      <w:r w:rsidR="00AC178C" w:rsidRPr="00BB3F9B">
        <w:rPr>
          <w:rFonts w:cs="Calibri"/>
          <w:kern w:val="28"/>
          <w:szCs w:val="24"/>
          <w:highlight w:val="yellow"/>
        </w:rPr>
        <w:t xml:space="preserve">different </w:t>
      </w:r>
      <w:r w:rsidR="00AC178C">
        <w:rPr>
          <w:rFonts w:cs="Calibri"/>
          <w:kern w:val="28"/>
          <w:szCs w:val="24"/>
          <w:highlight w:val="yellow"/>
        </w:rPr>
        <w:t>performance tren</w:t>
      </w:r>
      <w:r w:rsidR="00AC178C" w:rsidRPr="00BB3F9B">
        <w:rPr>
          <w:rFonts w:cs="Calibri"/>
          <w:kern w:val="28"/>
          <w:szCs w:val="24"/>
          <w:highlight w:val="yellow"/>
        </w:rPr>
        <w:t xml:space="preserve">ds in the MPO area compared to the state, additional funding for </w:t>
      </w:r>
      <w:r w:rsidR="00AC178C">
        <w:rPr>
          <w:rFonts w:cs="Calibri"/>
          <w:kern w:val="28"/>
          <w:szCs w:val="24"/>
          <w:highlight w:val="yellow"/>
        </w:rPr>
        <w:t>bridge or pavement projects in the MPO area</w:t>
      </w:r>
      <w:r w:rsidR="00AC178C" w:rsidRPr="00BB3F9B">
        <w:rPr>
          <w:rFonts w:cs="Calibri"/>
          <w:kern w:val="28"/>
          <w:szCs w:val="24"/>
          <w:highlight w:val="yellow"/>
        </w:rPr>
        <w:t xml:space="preserve">, </w:t>
      </w:r>
      <w:r w:rsidR="00AC178C">
        <w:rPr>
          <w:rFonts w:cs="Calibri"/>
          <w:kern w:val="28"/>
          <w:szCs w:val="24"/>
          <w:highlight w:val="yellow"/>
        </w:rPr>
        <w:t>an increased focus on bridges</w:t>
      </w:r>
      <w:r w:rsidR="006B1EDC">
        <w:rPr>
          <w:rFonts w:cs="Calibri"/>
          <w:kern w:val="28"/>
          <w:szCs w:val="24"/>
          <w:highlight w:val="yellow"/>
        </w:rPr>
        <w:t xml:space="preserve"> or pavement</w:t>
      </w:r>
      <w:r w:rsidR="00AC178C">
        <w:rPr>
          <w:rFonts w:cs="Calibri"/>
          <w:kern w:val="28"/>
          <w:szCs w:val="24"/>
          <w:highlight w:val="yellow"/>
        </w:rPr>
        <w:t xml:space="preserve"> as an MPO priority, the use of </w:t>
      </w:r>
      <w:r w:rsidR="006B1EDC">
        <w:rPr>
          <w:rFonts w:cs="Calibri"/>
          <w:kern w:val="28"/>
          <w:szCs w:val="24"/>
          <w:highlight w:val="yellow"/>
        </w:rPr>
        <w:t xml:space="preserve">bridge or </w:t>
      </w:r>
      <w:r w:rsidR="00AC178C">
        <w:rPr>
          <w:rFonts w:cs="Calibri"/>
          <w:kern w:val="28"/>
          <w:szCs w:val="24"/>
          <w:highlight w:val="yellow"/>
        </w:rPr>
        <w:t xml:space="preserve">pavement condition criteria for selecting </w:t>
      </w:r>
      <w:r w:rsidR="00AC178C" w:rsidRPr="00BB3F9B">
        <w:rPr>
          <w:rFonts w:cs="Calibri"/>
          <w:kern w:val="28"/>
          <w:szCs w:val="24"/>
          <w:highlight w:val="yellow"/>
        </w:rPr>
        <w:t>project</w:t>
      </w:r>
      <w:r w:rsidR="00AC178C">
        <w:rPr>
          <w:rFonts w:cs="Calibri"/>
          <w:kern w:val="28"/>
          <w:szCs w:val="24"/>
          <w:highlight w:val="yellow"/>
        </w:rPr>
        <w:t>s</w:t>
      </w:r>
      <w:r w:rsidR="00AC178C" w:rsidRPr="00BB3F9B">
        <w:rPr>
          <w:rFonts w:cs="Calibri"/>
          <w:kern w:val="28"/>
          <w:szCs w:val="24"/>
          <w:highlight w:val="yellow"/>
        </w:rPr>
        <w:t>, etc.</w:t>
      </w:r>
      <w:r>
        <w:rPr>
          <w:rFonts w:cs="Calibri"/>
          <w:bCs/>
          <w:color w:val="000000"/>
          <w:kern w:val="36"/>
          <w:szCs w:val="24"/>
        </w:rPr>
        <w:t xml:space="preserve">] </w:t>
      </w:r>
    </w:p>
    <w:p w14:paraId="3A1A7DA5" w14:textId="272AA569" w:rsidR="009C1A29" w:rsidRDefault="009C1A29" w:rsidP="009C1A29">
      <w:pPr>
        <w:rPr>
          <w:rFonts w:cs="Calibri"/>
          <w:bCs/>
          <w:color w:val="000000"/>
          <w:kern w:val="36"/>
          <w:szCs w:val="24"/>
        </w:rPr>
      </w:pPr>
      <w:r w:rsidRPr="00904649">
        <w:rPr>
          <w:rFonts w:cs="Calibri"/>
          <w:bCs/>
          <w:color w:val="000000"/>
          <w:kern w:val="36"/>
          <w:szCs w:val="24"/>
          <w:highlight w:val="yellow"/>
        </w:rPr>
        <w:t>[</w:t>
      </w:r>
      <w:r>
        <w:rPr>
          <w:rFonts w:cs="Calibri"/>
          <w:bCs/>
          <w:color w:val="000000"/>
          <w:kern w:val="36"/>
          <w:szCs w:val="24"/>
          <w:highlight w:val="yellow"/>
        </w:rPr>
        <w:t>END OF OPTION B</w:t>
      </w:r>
      <w:r w:rsidRPr="00904649">
        <w:rPr>
          <w:rFonts w:cs="Calibri"/>
          <w:bCs/>
          <w:color w:val="000000"/>
          <w:kern w:val="36"/>
          <w:szCs w:val="24"/>
          <w:highlight w:val="yellow"/>
        </w:rPr>
        <w:t xml:space="preserve">. Continue </w:t>
      </w:r>
      <w:r>
        <w:rPr>
          <w:rFonts w:cs="Calibri"/>
          <w:bCs/>
          <w:color w:val="000000"/>
          <w:kern w:val="36"/>
          <w:szCs w:val="24"/>
          <w:highlight w:val="yellow"/>
        </w:rPr>
        <w:t xml:space="preserve">with </w:t>
      </w:r>
      <w:r w:rsidRPr="00904649">
        <w:rPr>
          <w:rFonts w:cs="Calibri"/>
          <w:bCs/>
          <w:color w:val="000000"/>
          <w:kern w:val="36"/>
          <w:szCs w:val="24"/>
          <w:highlight w:val="yellow"/>
        </w:rPr>
        <w:t xml:space="preserve">“Section </w:t>
      </w:r>
      <w:r>
        <w:rPr>
          <w:rFonts w:cs="Calibri"/>
          <w:bCs/>
          <w:color w:val="000000"/>
          <w:kern w:val="36"/>
          <w:szCs w:val="24"/>
          <w:highlight w:val="yellow"/>
        </w:rPr>
        <w:t>4</w:t>
      </w:r>
      <w:r w:rsidRPr="00904649">
        <w:rPr>
          <w:rFonts w:cs="Calibri"/>
          <w:bCs/>
          <w:color w:val="000000"/>
          <w:kern w:val="36"/>
          <w:szCs w:val="24"/>
          <w:highlight w:val="yellow"/>
        </w:rPr>
        <w:t xml:space="preserve">.2 </w:t>
      </w:r>
      <w:r>
        <w:rPr>
          <w:rFonts w:cs="Calibri"/>
          <w:bCs/>
          <w:color w:val="000000"/>
          <w:kern w:val="36"/>
          <w:szCs w:val="24"/>
          <w:highlight w:val="yellow"/>
        </w:rPr>
        <w:t>Bridge</w:t>
      </w:r>
      <w:r w:rsidR="006B1EDC">
        <w:rPr>
          <w:rFonts w:cs="Calibri"/>
          <w:bCs/>
          <w:color w:val="000000"/>
          <w:kern w:val="36"/>
          <w:szCs w:val="24"/>
          <w:highlight w:val="yellow"/>
        </w:rPr>
        <w:t xml:space="preserve"> and Pavement</w:t>
      </w:r>
      <w:r>
        <w:rPr>
          <w:rFonts w:cs="Calibri"/>
          <w:bCs/>
          <w:color w:val="000000"/>
          <w:kern w:val="36"/>
          <w:szCs w:val="24"/>
          <w:highlight w:val="yellow"/>
        </w:rPr>
        <w:t xml:space="preserve"> Investments </w:t>
      </w:r>
      <w:r w:rsidRPr="00904649">
        <w:rPr>
          <w:rFonts w:cs="Calibri"/>
          <w:bCs/>
          <w:color w:val="000000"/>
          <w:kern w:val="36"/>
          <w:szCs w:val="24"/>
          <w:highlight w:val="yellow"/>
        </w:rPr>
        <w:t xml:space="preserve">in the </w:t>
      </w:r>
      <w:r>
        <w:rPr>
          <w:rFonts w:cs="Calibri"/>
          <w:bCs/>
          <w:color w:val="000000"/>
          <w:kern w:val="36"/>
          <w:szCs w:val="24"/>
          <w:highlight w:val="yellow"/>
        </w:rPr>
        <w:t>TIP</w:t>
      </w:r>
      <w:r w:rsidR="007026A1" w:rsidRPr="00904649">
        <w:rPr>
          <w:rFonts w:cs="Calibri"/>
          <w:bCs/>
          <w:color w:val="000000"/>
          <w:kern w:val="36"/>
          <w:szCs w:val="24"/>
          <w:highlight w:val="yellow"/>
        </w:rPr>
        <w:t>,”</w:t>
      </w:r>
      <w:r w:rsidR="00F64144">
        <w:rPr>
          <w:rFonts w:cs="Calibri"/>
          <w:bCs/>
          <w:color w:val="000000"/>
          <w:kern w:val="36"/>
          <w:szCs w:val="24"/>
          <w:highlight w:val="yellow"/>
        </w:rPr>
        <w:t xml:space="preserve"> below.</w:t>
      </w:r>
      <w:r w:rsidRPr="00904649">
        <w:rPr>
          <w:rFonts w:cs="Calibri"/>
          <w:bCs/>
          <w:color w:val="000000"/>
          <w:kern w:val="36"/>
          <w:szCs w:val="24"/>
          <w:highlight w:val="yellow"/>
        </w:rPr>
        <w:t>]</w:t>
      </w:r>
    </w:p>
    <w:p w14:paraId="402E7908" w14:textId="77777777" w:rsidR="001162FB" w:rsidRDefault="001162FB" w:rsidP="009C1A29">
      <w:pPr>
        <w:rPr>
          <w:rFonts w:cs="Calibri"/>
          <w:bCs/>
          <w:color w:val="000000"/>
          <w:kern w:val="36"/>
          <w:szCs w:val="24"/>
        </w:rPr>
      </w:pPr>
    </w:p>
    <w:p w14:paraId="79CEEB07" w14:textId="08BA71D6" w:rsidR="009C1A29" w:rsidRPr="007E16DA" w:rsidRDefault="009C1A29" w:rsidP="002D2C00">
      <w:pPr>
        <w:pStyle w:val="Heading2"/>
        <w:spacing w:before="0"/>
      </w:pPr>
      <w:bookmarkStart w:id="20" w:name="_Toc97743202"/>
      <w:bookmarkStart w:id="21" w:name="_Toc126264199"/>
      <w:r>
        <w:t>4.2 Bridge</w:t>
      </w:r>
      <w:r w:rsidR="006B1EDC">
        <w:t xml:space="preserve"> </w:t>
      </w:r>
      <w:r w:rsidR="00676FCA">
        <w:t>&amp;</w:t>
      </w:r>
      <w:r w:rsidR="006B1EDC">
        <w:t xml:space="preserve"> Pavement</w:t>
      </w:r>
      <w:r>
        <w:t xml:space="preserve"> Investments in the TIP</w:t>
      </w:r>
      <w:bookmarkEnd w:id="20"/>
      <w:bookmarkEnd w:id="21"/>
    </w:p>
    <w:p w14:paraId="5995FBAA" w14:textId="0805FA4A" w:rsidR="00B4165D" w:rsidRDefault="00B05D40" w:rsidP="00B4165D">
      <w:pPr>
        <w:rPr>
          <w:rFonts w:cs="Calibri"/>
          <w:bCs/>
          <w:color w:val="000000"/>
          <w:kern w:val="36"/>
          <w:szCs w:val="24"/>
          <w:highlight w:val="yellow"/>
        </w:rPr>
      </w:pPr>
      <w:r>
        <w:rPr>
          <w:rFonts w:cs="Calibri"/>
          <w:bCs/>
          <w:color w:val="000000"/>
          <w:kern w:val="36"/>
          <w:szCs w:val="24"/>
          <w:highlight w:val="yellow"/>
        </w:rPr>
        <w:t>[</w:t>
      </w:r>
      <w:r w:rsidR="00B4165D" w:rsidRPr="00E4693A">
        <w:rPr>
          <w:rFonts w:cs="Calibri"/>
          <w:bCs/>
          <w:color w:val="000000"/>
          <w:kern w:val="36"/>
          <w:szCs w:val="24"/>
          <w:highlight w:val="yellow"/>
        </w:rPr>
        <w:t xml:space="preserve">The TIP document must include a written narrative describing the anticipated effect of the TIP toward achieving the targets, linking investment priorities to those performance targets. MPOs could address this requirement by describing how the </w:t>
      </w:r>
      <w:r w:rsidR="005F6C99">
        <w:rPr>
          <w:rFonts w:cs="Calibri"/>
          <w:bCs/>
          <w:color w:val="000000"/>
          <w:kern w:val="36"/>
          <w:szCs w:val="24"/>
          <w:highlight w:val="yellow"/>
        </w:rPr>
        <w:t>bridge</w:t>
      </w:r>
      <w:r w:rsidR="006B1EDC">
        <w:rPr>
          <w:rFonts w:cs="Calibri"/>
          <w:bCs/>
          <w:color w:val="000000"/>
          <w:kern w:val="36"/>
          <w:szCs w:val="24"/>
          <w:highlight w:val="yellow"/>
        </w:rPr>
        <w:t xml:space="preserve"> and pavement</w:t>
      </w:r>
      <w:r w:rsidR="005F6C99">
        <w:rPr>
          <w:rFonts w:cs="Calibri"/>
          <w:bCs/>
          <w:color w:val="000000"/>
          <w:kern w:val="36"/>
          <w:szCs w:val="24"/>
          <w:highlight w:val="yellow"/>
        </w:rPr>
        <w:t xml:space="preserve"> preservation </w:t>
      </w:r>
      <w:r w:rsidR="00B4165D" w:rsidRPr="00E4693A">
        <w:rPr>
          <w:rFonts w:cs="Calibri"/>
          <w:bCs/>
          <w:color w:val="000000"/>
          <w:kern w:val="36"/>
          <w:szCs w:val="24"/>
          <w:highlight w:val="yellow"/>
        </w:rPr>
        <w:t xml:space="preserve">projects in the TIP were determined, </w:t>
      </w:r>
      <w:r w:rsidR="005F6C99">
        <w:rPr>
          <w:rFonts w:cs="Calibri"/>
          <w:bCs/>
          <w:color w:val="000000"/>
          <w:kern w:val="36"/>
          <w:szCs w:val="24"/>
          <w:highlight w:val="yellow"/>
        </w:rPr>
        <w:t>including how performance targets were considered in this process</w:t>
      </w:r>
      <w:r w:rsidR="007026A1">
        <w:rPr>
          <w:rFonts w:cs="Calibri"/>
          <w:bCs/>
          <w:color w:val="000000"/>
          <w:kern w:val="36"/>
          <w:szCs w:val="24"/>
          <w:highlight w:val="yellow"/>
        </w:rPr>
        <w:t xml:space="preserve">. </w:t>
      </w:r>
      <w:r w:rsidR="005F6C99">
        <w:rPr>
          <w:rFonts w:cs="Calibri"/>
          <w:bCs/>
          <w:color w:val="000000"/>
          <w:kern w:val="36"/>
          <w:szCs w:val="24"/>
          <w:highlight w:val="yellow"/>
        </w:rPr>
        <w:t xml:space="preserve">This section also could discuss </w:t>
      </w:r>
      <w:r w:rsidR="00B4165D" w:rsidRPr="00E4693A">
        <w:rPr>
          <w:rFonts w:cs="Calibri"/>
          <w:bCs/>
          <w:color w:val="000000"/>
          <w:kern w:val="36"/>
          <w:szCs w:val="24"/>
          <w:highlight w:val="yellow"/>
        </w:rPr>
        <w:t>how the TIP implements goals, objectives, strategies, and investment priorities from other performance-based plans and processes (</w:t>
      </w:r>
      <w:r w:rsidR="00A22EEF" w:rsidRPr="00E4693A">
        <w:rPr>
          <w:rFonts w:cs="Calibri"/>
          <w:bCs/>
          <w:color w:val="000000"/>
          <w:kern w:val="36"/>
          <w:szCs w:val="24"/>
          <w:highlight w:val="yellow"/>
        </w:rPr>
        <w:t>for example, the TAMP</w:t>
      </w:r>
      <w:r w:rsidR="00B4165D" w:rsidRPr="00E4693A">
        <w:rPr>
          <w:rFonts w:cs="Calibri"/>
          <w:bCs/>
          <w:color w:val="000000"/>
          <w:kern w:val="36"/>
          <w:szCs w:val="24"/>
          <w:highlight w:val="yellow"/>
        </w:rPr>
        <w:t xml:space="preserve">). MPOs are required to describe the anticipated effect of the collective program of project activities, not </w:t>
      </w:r>
      <w:r w:rsidR="005F6C99">
        <w:rPr>
          <w:rFonts w:cs="Calibri"/>
          <w:bCs/>
          <w:color w:val="000000"/>
          <w:kern w:val="36"/>
          <w:szCs w:val="24"/>
          <w:highlight w:val="yellow"/>
        </w:rPr>
        <w:t xml:space="preserve">the impact </w:t>
      </w:r>
      <w:r w:rsidR="00B4165D" w:rsidRPr="00E4693A">
        <w:rPr>
          <w:rFonts w:cs="Calibri"/>
          <w:bCs/>
          <w:color w:val="000000"/>
          <w:kern w:val="36"/>
          <w:szCs w:val="24"/>
          <w:highlight w:val="yellow"/>
        </w:rPr>
        <w:t>of individual projects in the TIP.</w:t>
      </w:r>
      <w:r>
        <w:rPr>
          <w:rFonts w:cs="Calibri"/>
          <w:bCs/>
          <w:color w:val="000000"/>
          <w:kern w:val="36"/>
          <w:szCs w:val="24"/>
          <w:highlight w:val="yellow"/>
        </w:rPr>
        <w:t>]</w:t>
      </w:r>
    </w:p>
    <w:p w14:paraId="4F9BF702" w14:textId="685FAA71" w:rsidR="008B194B" w:rsidRPr="00474E76" w:rsidRDefault="008B194B" w:rsidP="0000371F">
      <w:pPr>
        <w:keepNext/>
        <w:tabs>
          <w:tab w:val="left" w:pos="2250"/>
        </w:tabs>
        <w:rPr>
          <w:rFonts w:cs="Calibri"/>
          <w:kern w:val="28"/>
          <w:szCs w:val="24"/>
          <w:highlight w:val="yellow"/>
        </w:rPr>
      </w:pPr>
      <w:r>
        <w:rPr>
          <w:rFonts w:cs="Calibri"/>
          <w:bCs/>
          <w:color w:val="000000"/>
          <w:kern w:val="36"/>
          <w:szCs w:val="24"/>
        </w:rPr>
        <w:t xml:space="preserve">The </w:t>
      </w:r>
      <w:r w:rsidR="0047448A" w:rsidRPr="00D405C2">
        <w:rPr>
          <w:rFonts w:cs="Calibri"/>
          <w:bCs/>
          <w:color w:val="000000"/>
          <w:kern w:val="36"/>
          <w:szCs w:val="24"/>
          <w:highlight w:val="yellow"/>
        </w:rPr>
        <w:t>[insert MPO name]</w:t>
      </w:r>
      <w:r w:rsidR="0047448A">
        <w:rPr>
          <w:rFonts w:cs="Calibri"/>
          <w:bCs/>
          <w:color w:val="000000"/>
          <w:kern w:val="36"/>
          <w:szCs w:val="24"/>
        </w:rPr>
        <w:t xml:space="preserve"> </w:t>
      </w:r>
      <w:r>
        <w:rPr>
          <w:rFonts w:cs="Calibri"/>
          <w:bCs/>
          <w:color w:val="000000"/>
          <w:kern w:val="36"/>
          <w:szCs w:val="24"/>
        </w:rPr>
        <w:t xml:space="preserve">TIP </w:t>
      </w:r>
      <w:r w:rsidRPr="006B411F">
        <w:rPr>
          <w:rFonts w:cs="Calibri"/>
          <w:bCs/>
          <w:color w:val="000000"/>
          <w:kern w:val="36"/>
          <w:szCs w:val="24"/>
        </w:rPr>
        <w:t xml:space="preserve">reflects investment priorities established in the </w:t>
      </w:r>
      <w:r w:rsidRPr="00474E76">
        <w:rPr>
          <w:rFonts w:cs="Calibri"/>
          <w:bCs/>
          <w:color w:val="000000"/>
          <w:kern w:val="36"/>
          <w:szCs w:val="24"/>
          <w:highlight w:val="yellow"/>
        </w:rPr>
        <w:t>[insert name of the current LRTP]</w:t>
      </w:r>
      <w:r w:rsidR="007026A1">
        <w:rPr>
          <w:rFonts w:cs="Calibri"/>
          <w:bCs/>
          <w:color w:val="000000"/>
          <w:kern w:val="36"/>
          <w:szCs w:val="24"/>
          <w:highlight w:val="yellow"/>
        </w:rPr>
        <w:t xml:space="preserve">. </w:t>
      </w:r>
      <w:r w:rsidRPr="006B411F">
        <w:rPr>
          <w:rFonts w:cs="Calibri"/>
          <w:kern w:val="28"/>
          <w:szCs w:val="24"/>
        </w:rPr>
        <w:t xml:space="preserve">The focus of </w:t>
      </w:r>
      <w:r w:rsidRPr="00474E76">
        <w:rPr>
          <w:rFonts w:cs="Calibri"/>
          <w:kern w:val="28"/>
          <w:szCs w:val="24"/>
          <w:highlight w:val="yellow"/>
        </w:rPr>
        <w:t>[insert MPO name]</w:t>
      </w:r>
      <w:r w:rsidRPr="006B411F">
        <w:rPr>
          <w:rFonts w:cs="Calibri"/>
          <w:kern w:val="28"/>
          <w:szCs w:val="24"/>
        </w:rPr>
        <w:t xml:space="preserve">’s investments in bridge and pavement condition include </w:t>
      </w:r>
      <w:r w:rsidRPr="00474E76">
        <w:rPr>
          <w:rFonts w:cs="Calibri"/>
          <w:kern w:val="28"/>
          <w:szCs w:val="24"/>
          <w:highlight w:val="yellow"/>
        </w:rPr>
        <w:t xml:space="preserve">[list </w:t>
      </w:r>
      <w:r w:rsidRPr="00474E76">
        <w:rPr>
          <w:rFonts w:cs="Calibri"/>
          <w:kern w:val="28"/>
          <w:szCs w:val="24"/>
          <w:highlight w:val="yellow"/>
          <w:u w:val="single"/>
        </w:rPr>
        <w:t>example</w:t>
      </w:r>
      <w:r w:rsidRPr="00474E76">
        <w:rPr>
          <w:rFonts w:cs="Calibri"/>
          <w:kern w:val="28"/>
          <w:szCs w:val="24"/>
          <w:highlight w:val="yellow"/>
        </w:rPr>
        <w:t xml:space="preserve"> programs and strategies </w:t>
      </w:r>
      <w:r w:rsidR="00232C37">
        <w:rPr>
          <w:rFonts w:cs="Calibri"/>
          <w:kern w:val="28"/>
          <w:szCs w:val="24"/>
          <w:highlight w:val="yellow"/>
        </w:rPr>
        <w:t xml:space="preserve">or major projects </w:t>
      </w:r>
      <w:r w:rsidRPr="00474E76">
        <w:rPr>
          <w:rFonts w:cs="Calibri"/>
          <w:kern w:val="28"/>
          <w:szCs w:val="24"/>
          <w:highlight w:val="yellow"/>
        </w:rPr>
        <w:t xml:space="preserve">funded in the TIP that address system preservation/maintenance on the Interstate and non-Interstate NHS in the MPO area, such as those in the following categories: </w:t>
      </w:r>
    </w:p>
    <w:p w14:paraId="34C4F840" w14:textId="77777777" w:rsidR="008B194B" w:rsidRPr="00474E76" w:rsidRDefault="008B194B" w:rsidP="0000371F">
      <w:pPr>
        <w:pStyle w:val="ListBullet"/>
        <w:rPr>
          <w:rFonts w:eastAsia="Calibri"/>
          <w:highlight w:val="yellow"/>
        </w:rPr>
      </w:pPr>
      <w:r w:rsidRPr="00474E76">
        <w:rPr>
          <w:rFonts w:eastAsia="Calibri"/>
          <w:highlight w:val="yellow"/>
        </w:rPr>
        <w:t>Bridge replacement or reconstruction</w:t>
      </w:r>
    </w:p>
    <w:p w14:paraId="03746EA5" w14:textId="77777777" w:rsidR="008B194B" w:rsidRPr="00474E76" w:rsidRDefault="008B194B" w:rsidP="0000371F">
      <w:pPr>
        <w:pStyle w:val="ListBullet"/>
        <w:rPr>
          <w:rFonts w:eastAsia="Calibri"/>
          <w:highlight w:val="yellow"/>
        </w:rPr>
      </w:pPr>
      <w:r w:rsidRPr="00474E76">
        <w:rPr>
          <w:rFonts w:eastAsia="Calibri"/>
          <w:highlight w:val="yellow"/>
        </w:rPr>
        <w:t>New bridge capacity on the NHS</w:t>
      </w:r>
    </w:p>
    <w:p w14:paraId="24C556AE" w14:textId="6313038A" w:rsidR="008B194B" w:rsidRPr="0000371F" w:rsidRDefault="008B194B" w:rsidP="0000371F">
      <w:pPr>
        <w:pStyle w:val="ListBullet"/>
        <w:rPr>
          <w:rFonts w:eastAsia="Calibri"/>
          <w:highlight w:val="yellow"/>
        </w:rPr>
      </w:pPr>
      <w:r w:rsidRPr="001E710C">
        <w:rPr>
          <w:rFonts w:eastAsia="Calibri"/>
          <w:highlight w:val="yellow"/>
        </w:rPr>
        <w:t>System resiliency projects that improve NHS bridge components (e.g., upgrading culverts)</w:t>
      </w:r>
      <w:r w:rsidRPr="001E710C">
        <w:rPr>
          <w:highlight w:val="yellow"/>
        </w:rPr>
        <w:t>]</w:t>
      </w:r>
    </w:p>
    <w:p w14:paraId="6954071D" w14:textId="77777777" w:rsidR="008149B6" w:rsidRPr="00474E76" w:rsidRDefault="008149B6" w:rsidP="0000371F">
      <w:pPr>
        <w:pStyle w:val="ListBullet"/>
        <w:rPr>
          <w:rFonts w:eastAsia="Calibri"/>
          <w:highlight w:val="yellow"/>
        </w:rPr>
      </w:pPr>
      <w:r w:rsidRPr="00474E76">
        <w:rPr>
          <w:rFonts w:eastAsia="Calibri"/>
          <w:highlight w:val="yellow"/>
        </w:rPr>
        <w:t>Pavement replacement or reconstruction (on the NHS)</w:t>
      </w:r>
    </w:p>
    <w:p w14:paraId="57A1CC5C" w14:textId="3D0ADD88" w:rsidR="008149B6" w:rsidRDefault="008149B6" w:rsidP="0000371F">
      <w:pPr>
        <w:pStyle w:val="ListBullet"/>
        <w:rPr>
          <w:rFonts w:eastAsia="Calibri"/>
          <w:highlight w:val="yellow"/>
        </w:rPr>
      </w:pPr>
      <w:r w:rsidRPr="00474E76">
        <w:rPr>
          <w:rFonts w:eastAsia="Calibri"/>
          <w:highlight w:val="yellow"/>
        </w:rPr>
        <w:t xml:space="preserve">New </w:t>
      </w:r>
      <w:r>
        <w:rPr>
          <w:rFonts w:eastAsia="Calibri"/>
          <w:highlight w:val="yellow"/>
        </w:rPr>
        <w:t xml:space="preserve">NHS </w:t>
      </w:r>
      <w:r w:rsidRPr="00474E76">
        <w:rPr>
          <w:rFonts w:eastAsia="Calibri"/>
          <w:highlight w:val="yellow"/>
        </w:rPr>
        <w:t>lanes or widenings, including resurfacing existing lanes associated with new capacity</w:t>
      </w:r>
    </w:p>
    <w:p w14:paraId="419B2787" w14:textId="522BBC0A" w:rsidR="008B194B" w:rsidRPr="00E70683" w:rsidRDefault="008B194B" w:rsidP="0000371F">
      <w:pPr>
        <w:tabs>
          <w:tab w:val="left" w:pos="2250"/>
        </w:tabs>
        <w:contextualSpacing/>
        <w:rPr>
          <w:rFonts w:cs="Calibri"/>
          <w:bCs/>
          <w:color w:val="000000"/>
          <w:kern w:val="36"/>
          <w:szCs w:val="24"/>
        </w:rPr>
      </w:pPr>
      <w:r w:rsidRPr="00996F8E">
        <w:rPr>
          <w:rFonts w:cs="Calibri"/>
          <w:bCs/>
          <w:color w:val="000000"/>
          <w:kern w:val="36"/>
          <w:szCs w:val="24"/>
          <w:highlight w:val="yellow"/>
        </w:rPr>
        <w:t>[</w:t>
      </w:r>
      <w:r w:rsidRPr="00474E76">
        <w:rPr>
          <w:rFonts w:cs="Calibri"/>
          <w:bCs/>
          <w:color w:val="000000"/>
          <w:kern w:val="36"/>
          <w:szCs w:val="24"/>
          <w:highlight w:val="yellow"/>
        </w:rPr>
        <w:t xml:space="preserve">If the MPO uses </w:t>
      </w:r>
      <w:r>
        <w:rPr>
          <w:rFonts w:cs="Calibri"/>
          <w:bCs/>
          <w:color w:val="000000"/>
          <w:kern w:val="36"/>
          <w:szCs w:val="24"/>
          <w:highlight w:val="yellow"/>
        </w:rPr>
        <w:t xml:space="preserve">project selection criteria </w:t>
      </w:r>
      <w:r w:rsidRPr="00474E76">
        <w:rPr>
          <w:rFonts w:cs="Calibri"/>
          <w:bCs/>
          <w:color w:val="000000"/>
          <w:kern w:val="36"/>
          <w:szCs w:val="24"/>
          <w:highlight w:val="yellow"/>
        </w:rPr>
        <w:t>related to bridge</w:t>
      </w:r>
      <w:r w:rsidR="009A214F">
        <w:rPr>
          <w:rFonts w:cs="Calibri"/>
          <w:bCs/>
          <w:color w:val="000000"/>
          <w:kern w:val="36"/>
          <w:szCs w:val="24"/>
          <w:highlight w:val="yellow"/>
        </w:rPr>
        <w:t xml:space="preserve"> and pavement</w:t>
      </w:r>
      <w:r w:rsidRPr="00474E76">
        <w:rPr>
          <w:rFonts w:cs="Calibri"/>
          <w:bCs/>
          <w:color w:val="000000"/>
          <w:kern w:val="36"/>
          <w:szCs w:val="24"/>
          <w:highlight w:val="yellow"/>
        </w:rPr>
        <w:t xml:space="preserve"> condition in the </w:t>
      </w:r>
      <w:r>
        <w:rPr>
          <w:rFonts w:cs="Calibri"/>
          <w:bCs/>
          <w:color w:val="000000"/>
          <w:kern w:val="36"/>
          <w:szCs w:val="24"/>
          <w:highlight w:val="yellow"/>
        </w:rPr>
        <w:t xml:space="preserve">LRTP or </w:t>
      </w:r>
      <w:r w:rsidRPr="00474E76">
        <w:rPr>
          <w:rFonts w:cs="Calibri"/>
          <w:bCs/>
          <w:color w:val="000000"/>
          <w:kern w:val="36"/>
          <w:szCs w:val="24"/>
          <w:highlight w:val="yellow"/>
        </w:rPr>
        <w:t>TIP selection process, insert a discussion here</w:t>
      </w:r>
      <w:r w:rsidR="007026A1">
        <w:rPr>
          <w:rFonts w:cs="Calibri"/>
          <w:bCs/>
          <w:color w:val="000000"/>
          <w:kern w:val="36"/>
          <w:szCs w:val="24"/>
          <w:highlight w:val="yellow"/>
        </w:rPr>
        <w:t xml:space="preserve">. </w:t>
      </w:r>
      <w:r w:rsidRPr="00474E76">
        <w:rPr>
          <w:rFonts w:cs="Calibri"/>
          <w:bCs/>
          <w:color w:val="000000"/>
          <w:kern w:val="36"/>
          <w:szCs w:val="24"/>
          <w:highlight w:val="yellow"/>
        </w:rPr>
        <w:t xml:space="preserve">Note any data-driven, </w:t>
      </w:r>
      <w:r w:rsidR="00CD0074" w:rsidRPr="00474E76">
        <w:rPr>
          <w:rFonts w:cs="Calibri"/>
          <w:bCs/>
          <w:color w:val="000000"/>
          <w:kern w:val="36"/>
          <w:szCs w:val="24"/>
          <w:highlight w:val="yellow"/>
        </w:rPr>
        <w:t>performance-based</w:t>
      </w:r>
      <w:r w:rsidRPr="00474E76">
        <w:rPr>
          <w:rFonts w:cs="Calibri"/>
          <w:bCs/>
          <w:color w:val="000000"/>
          <w:kern w:val="36"/>
          <w:szCs w:val="24"/>
          <w:highlight w:val="yellow"/>
        </w:rPr>
        <w:t xml:space="preserve"> elements.]</w:t>
      </w:r>
      <w:r w:rsidRPr="00E70683">
        <w:rPr>
          <w:rFonts w:cs="Calibri"/>
          <w:bCs/>
          <w:color w:val="000000"/>
          <w:kern w:val="36"/>
          <w:szCs w:val="24"/>
        </w:rPr>
        <w:t xml:space="preserve"> </w:t>
      </w:r>
    </w:p>
    <w:p w14:paraId="78484978" w14:textId="7CB17AB8" w:rsidR="008B194B" w:rsidRPr="004B0657" w:rsidRDefault="008B194B" w:rsidP="00922E8F">
      <w:pPr>
        <w:tabs>
          <w:tab w:val="left" w:pos="2250"/>
        </w:tabs>
        <w:rPr>
          <w:rFonts w:cs="Calibri"/>
          <w:bCs/>
          <w:color w:val="000000"/>
          <w:kern w:val="36"/>
          <w:szCs w:val="24"/>
          <w:highlight w:val="yellow"/>
        </w:rPr>
      </w:pPr>
      <w:r w:rsidRPr="004B0657">
        <w:rPr>
          <w:rFonts w:cs="Calibri"/>
          <w:bCs/>
          <w:color w:val="000000"/>
          <w:kern w:val="36"/>
          <w:szCs w:val="24"/>
          <w:highlight w:val="yellow"/>
        </w:rPr>
        <w:t xml:space="preserve">[Summarize the funding amounts identified in the TIP for </w:t>
      </w:r>
      <w:r w:rsidR="005F034B">
        <w:rPr>
          <w:rFonts w:cs="Calibri"/>
          <w:bCs/>
          <w:color w:val="000000"/>
          <w:kern w:val="36"/>
          <w:szCs w:val="24"/>
          <w:highlight w:val="yellow"/>
        </w:rPr>
        <w:t>bridge</w:t>
      </w:r>
      <w:r w:rsidRPr="004B0657">
        <w:rPr>
          <w:rFonts w:cs="Calibri"/>
          <w:bCs/>
          <w:color w:val="000000"/>
          <w:kern w:val="36"/>
          <w:szCs w:val="24"/>
          <w:highlight w:val="yellow"/>
        </w:rPr>
        <w:t xml:space="preserve"> and </w:t>
      </w:r>
      <w:r w:rsidR="005F034B">
        <w:rPr>
          <w:rFonts w:cs="Calibri"/>
          <w:bCs/>
          <w:color w:val="000000"/>
          <w:kern w:val="36"/>
          <w:szCs w:val="24"/>
          <w:highlight w:val="yellow"/>
        </w:rPr>
        <w:t>pavement</w:t>
      </w:r>
      <w:r w:rsidRPr="004B0657">
        <w:rPr>
          <w:rFonts w:cs="Calibri"/>
          <w:bCs/>
          <w:color w:val="000000"/>
          <w:kern w:val="36"/>
          <w:szCs w:val="24"/>
          <w:highlight w:val="yellow"/>
        </w:rPr>
        <w:t xml:space="preserve"> condition </w:t>
      </w:r>
      <w:r w:rsidR="00232C37">
        <w:rPr>
          <w:rFonts w:cs="Calibri"/>
          <w:bCs/>
          <w:color w:val="000000"/>
          <w:kern w:val="36"/>
          <w:szCs w:val="24"/>
          <w:highlight w:val="yellow"/>
        </w:rPr>
        <w:t>programs and strategies</w:t>
      </w:r>
      <w:r w:rsidRPr="004B0657">
        <w:rPr>
          <w:rFonts w:cs="Calibri"/>
          <w:bCs/>
          <w:color w:val="000000"/>
          <w:kern w:val="36"/>
          <w:szCs w:val="24"/>
          <w:highlight w:val="yellow"/>
        </w:rPr>
        <w:t xml:space="preserve"> such as those listed above</w:t>
      </w:r>
      <w:r w:rsidR="007026A1">
        <w:rPr>
          <w:rFonts w:cs="Calibri"/>
          <w:bCs/>
          <w:color w:val="000000"/>
          <w:kern w:val="36"/>
          <w:szCs w:val="24"/>
          <w:highlight w:val="yellow"/>
        </w:rPr>
        <w:t xml:space="preserve">. </w:t>
      </w:r>
      <w:r w:rsidRPr="004B0657">
        <w:rPr>
          <w:rFonts w:cs="Calibri"/>
          <w:bCs/>
          <w:color w:val="000000"/>
          <w:kern w:val="36"/>
          <w:szCs w:val="24"/>
          <w:highlight w:val="yellow"/>
        </w:rPr>
        <w:t xml:space="preserve">Also consider how other </w:t>
      </w:r>
      <w:r w:rsidR="00232C37">
        <w:rPr>
          <w:rFonts w:cs="Calibri"/>
          <w:bCs/>
          <w:color w:val="000000"/>
          <w:kern w:val="36"/>
          <w:szCs w:val="24"/>
          <w:highlight w:val="yellow"/>
        </w:rPr>
        <w:t>programs</w:t>
      </w:r>
      <w:r w:rsidRPr="004B0657">
        <w:rPr>
          <w:rFonts w:cs="Calibri"/>
          <w:bCs/>
          <w:color w:val="000000"/>
          <w:kern w:val="36"/>
          <w:szCs w:val="24"/>
          <w:highlight w:val="yellow"/>
        </w:rPr>
        <w:t xml:space="preserve"> may contribute toward achievement of the statewide </w:t>
      </w:r>
      <w:r w:rsidR="005F034B">
        <w:rPr>
          <w:rFonts w:cs="Calibri"/>
          <w:bCs/>
          <w:color w:val="000000"/>
          <w:kern w:val="36"/>
          <w:szCs w:val="24"/>
          <w:highlight w:val="yellow"/>
        </w:rPr>
        <w:t xml:space="preserve">bridge and </w:t>
      </w:r>
      <w:r w:rsidRPr="004B0657">
        <w:rPr>
          <w:rFonts w:cs="Calibri"/>
          <w:bCs/>
          <w:color w:val="000000"/>
          <w:kern w:val="36"/>
          <w:szCs w:val="24"/>
          <w:highlight w:val="yellow"/>
        </w:rPr>
        <w:t>pavement condition targets, such as widenings that will have new pavement.</w:t>
      </w:r>
      <w:r w:rsidR="005F443F">
        <w:rPr>
          <w:rFonts w:cs="Calibri"/>
          <w:bCs/>
          <w:color w:val="000000"/>
          <w:kern w:val="36"/>
          <w:szCs w:val="24"/>
          <w:highlight w:val="yellow"/>
        </w:rPr>
        <w:t>]</w:t>
      </w:r>
      <w:r w:rsidRPr="004B0657">
        <w:rPr>
          <w:rFonts w:cs="Calibri"/>
          <w:bCs/>
          <w:color w:val="000000"/>
          <w:kern w:val="36"/>
          <w:szCs w:val="24"/>
          <w:highlight w:val="yellow"/>
        </w:rPr>
        <w:t xml:space="preserve">  </w:t>
      </w:r>
    </w:p>
    <w:p w14:paraId="08378239" w14:textId="104AD810" w:rsidR="008B194B" w:rsidRDefault="005F443F" w:rsidP="00922E8F">
      <w:pPr>
        <w:tabs>
          <w:tab w:val="left" w:pos="2250"/>
        </w:tabs>
        <w:rPr>
          <w:rFonts w:cs="Calibri"/>
          <w:kern w:val="28"/>
          <w:szCs w:val="24"/>
          <w:highlight w:val="yellow"/>
        </w:rPr>
      </w:pPr>
      <w:r>
        <w:rPr>
          <w:rFonts w:cs="Calibri"/>
          <w:kern w:val="28"/>
          <w:szCs w:val="24"/>
          <w:highlight w:val="yellow"/>
        </w:rPr>
        <w:lastRenderedPageBreak/>
        <w:t>[</w:t>
      </w:r>
      <w:r w:rsidR="008B194B">
        <w:rPr>
          <w:rFonts w:cs="Calibri"/>
          <w:kern w:val="28"/>
          <w:szCs w:val="24"/>
          <w:highlight w:val="yellow"/>
        </w:rPr>
        <w:t xml:space="preserve">Example: </w:t>
      </w:r>
      <w:r w:rsidR="008B194B" w:rsidRPr="004B0657">
        <w:rPr>
          <w:rFonts w:cs="Calibri"/>
          <w:kern w:val="28"/>
          <w:szCs w:val="24"/>
          <w:highlight w:val="yellow"/>
        </w:rPr>
        <w:t xml:space="preserve">The TIP </w:t>
      </w:r>
      <w:r w:rsidR="008B194B">
        <w:rPr>
          <w:rFonts w:cs="Calibri"/>
          <w:kern w:val="28"/>
          <w:szCs w:val="24"/>
          <w:highlight w:val="yellow"/>
        </w:rPr>
        <w:t xml:space="preserve">devotes a significant amount of resources to projects that will maintain </w:t>
      </w:r>
      <w:r w:rsidR="00D65CC9">
        <w:rPr>
          <w:rFonts w:cs="Calibri"/>
          <w:kern w:val="28"/>
          <w:szCs w:val="24"/>
          <w:highlight w:val="yellow"/>
        </w:rPr>
        <w:t>bridge</w:t>
      </w:r>
      <w:r w:rsidR="008B194B">
        <w:rPr>
          <w:rFonts w:cs="Calibri"/>
          <w:kern w:val="28"/>
          <w:szCs w:val="24"/>
          <w:highlight w:val="yellow"/>
        </w:rPr>
        <w:t xml:space="preserve"> and </w:t>
      </w:r>
      <w:r w:rsidR="00D65CC9">
        <w:rPr>
          <w:rFonts w:cs="Calibri"/>
          <w:kern w:val="28"/>
          <w:szCs w:val="24"/>
          <w:highlight w:val="yellow"/>
        </w:rPr>
        <w:t xml:space="preserve">pavement </w:t>
      </w:r>
      <w:r w:rsidR="008B194B">
        <w:rPr>
          <w:rFonts w:cs="Calibri"/>
          <w:kern w:val="28"/>
          <w:szCs w:val="24"/>
          <w:highlight w:val="yellow"/>
        </w:rPr>
        <w:t>condition performance</w:t>
      </w:r>
      <w:r w:rsidR="00CE5F06">
        <w:rPr>
          <w:rFonts w:cs="Calibri"/>
          <w:kern w:val="28"/>
          <w:szCs w:val="24"/>
          <w:highlight w:val="yellow"/>
        </w:rPr>
        <w:t xml:space="preserve">. </w:t>
      </w:r>
      <w:r w:rsidR="008B194B">
        <w:rPr>
          <w:rFonts w:cs="Calibri"/>
          <w:kern w:val="28"/>
          <w:szCs w:val="24"/>
          <w:highlight w:val="yellow"/>
        </w:rPr>
        <w:t>I</w:t>
      </w:r>
      <w:r w:rsidR="008B194B" w:rsidRPr="004B0657">
        <w:rPr>
          <w:rFonts w:cs="Calibri"/>
          <w:kern w:val="28"/>
          <w:szCs w:val="24"/>
          <w:highlight w:val="yellow"/>
        </w:rPr>
        <w:t xml:space="preserve">nvestments in </w:t>
      </w:r>
      <w:r w:rsidR="00D65CC9">
        <w:rPr>
          <w:rFonts w:cs="Calibri"/>
          <w:kern w:val="28"/>
          <w:szCs w:val="24"/>
          <w:highlight w:val="yellow"/>
        </w:rPr>
        <w:t>bridge</w:t>
      </w:r>
      <w:r w:rsidR="008B194B" w:rsidRPr="004B0657">
        <w:rPr>
          <w:rFonts w:cs="Calibri"/>
          <w:kern w:val="28"/>
          <w:szCs w:val="24"/>
          <w:highlight w:val="yellow"/>
        </w:rPr>
        <w:t xml:space="preserve"> and </w:t>
      </w:r>
      <w:r w:rsidR="00D65CC9">
        <w:rPr>
          <w:rFonts w:cs="Calibri"/>
          <w:kern w:val="28"/>
          <w:szCs w:val="24"/>
          <w:highlight w:val="yellow"/>
        </w:rPr>
        <w:t>pavement</w:t>
      </w:r>
      <w:r w:rsidR="008B194B" w:rsidRPr="004B0657">
        <w:rPr>
          <w:rFonts w:cs="Calibri"/>
          <w:kern w:val="28"/>
          <w:szCs w:val="24"/>
          <w:highlight w:val="yellow"/>
        </w:rPr>
        <w:t xml:space="preserve"> condition include </w:t>
      </w:r>
      <w:r w:rsidR="00390C59">
        <w:rPr>
          <w:rFonts w:cs="Calibri"/>
          <w:kern w:val="28"/>
          <w:szCs w:val="24"/>
          <w:highlight w:val="yellow"/>
        </w:rPr>
        <w:t>bridge</w:t>
      </w:r>
      <w:r w:rsidR="008B194B" w:rsidRPr="004B0657">
        <w:rPr>
          <w:rFonts w:cs="Calibri"/>
          <w:kern w:val="28"/>
          <w:szCs w:val="24"/>
          <w:highlight w:val="yellow"/>
        </w:rPr>
        <w:t xml:space="preserve"> replacement and reconstruction, </w:t>
      </w:r>
      <w:r w:rsidR="00390C59">
        <w:rPr>
          <w:rFonts w:cs="Calibri"/>
          <w:kern w:val="28"/>
          <w:szCs w:val="24"/>
          <w:highlight w:val="yellow"/>
        </w:rPr>
        <w:t>pavement</w:t>
      </w:r>
      <w:r w:rsidR="008B194B" w:rsidRPr="004B0657">
        <w:rPr>
          <w:rFonts w:cs="Calibri"/>
          <w:kern w:val="28"/>
          <w:szCs w:val="24"/>
          <w:highlight w:val="yellow"/>
        </w:rPr>
        <w:t xml:space="preserve"> replacement and reconstruction, and new bridge and pavement capacity</w:t>
      </w:r>
      <w:r w:rsidR="007026A1">
        <w:rPr>
          <w:rFonts w:cs="Calibri"/>
          <w:kern w:val="28"/>
          <w:szCs w:val="24"/>
          <w:highlight w:val="yellow"/>
        </w:rPr>
        <w:t xml:space="preserve">. </w:t>
      </w:r>
      <w:r w:rsidR="008B194B" w:rsidRPr="004B0657">
        <w:rPr>
          <w:rFonts w:cs="Calibri"/>
          <w:kern w:val="28"/>
          <w:szCs w:val="24"/>
          <w:highlight w:val="yellow"/>
        </w:rPr>
        <w:t>The TIP will fund $xx million for bridges, $xx million for resurfacing, and xx million for new capacity.]</w:t>
      </w:r>
    </w:p>
    <w:p w14:paraId="04852873" w14:textId="24FEB177" w:rsidR="005003A8" w:rsidRPr="005003A8" w:rsidRDefault="005010C2" w:rsidP="00922E8F">
      <w:pPr>
        <w:tabs>
          <w:tab w:val="left" w:pos="2250"/>
        </w:tabs>
        <w:rPr>
          <w:rFonts w:cs="Calibri"/>
          <w:kern w:val="28"/>
          <w:szCs w:val="24"/>
          <w:highlight w:val="yellow"/>
        </w:rPr>
      </w:pPr>
      <w:r>
        <w:rPr>
          <w:noProof/>
        </w:rPr>
        <mc:AlternateContent>
          <mc:Choice Requires="wps">
            <w:drawing>
              <wp:anchor distT="0" distB="0" distL="114300" distR="114300" simplePos="0" relativeHeight="251658240" behindDoc="0" locked="0" layoutInCell="1" allowOverlap="1" wp14:anchorId="418215AC" wp14:editId="0D2E0624">
                <wp:simplePos x="0" y="0"/>
                <wp:positionH relativeFrom="margin">
                  <wp:align>left</wp:align>
                </wp:positionH>
                <wp:positionV relativeFrom="paragraph">
                  <wp:posOffset>321310</wp:posOffset>
                </wp:positionV>
                <wp:extent cx="1828800" cy="3768725"/>
                <wp:effectExtent l="0" t="0" r="12700" b="2222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3768725"/>
                        </a:xfrm>
                        <a:prstGeom prst="rect">
                          <a:avLst/>
                        </a:prstGeom>
                        <a:noFill/>
                        <a:ln w="6350">
                          <a:solidFill>
                            <a:prstClr val="black"/>
                          </a:solidFill>
                        </a:ln>
                      </wps:spPr>
                      <wps:txbx>
                        <w:txbxContent>
                          <w:p w14:paraId="3761E41A" w14:textId="65F36EEA" w:rsidR="00154AA5" w:rsidRDefault="005010C2" w:rsidP="0000371F">
                            <w:pPr>
                              <w:tabs>
                                <w:tab w:val="left" w:pos="2250"/>
                              </w:tabs>
                              <w:spacing w:after="120"/>
                            </w:pPr>
                            <w:r w:rsidRPr="005010C2">
                              <w:rPr>
                                <w:rFonts w:cs="Calibri"/>
                                <w:i/>
                                <w:iCs/>
                                <w:kern w:val="28"/>
                                <w:szCs w:val="24"/>
                              </w:rPr>
                              <w:t>The Forward Pinellas TIP reflects investment priorities established in Advantage Pinellas, the 2045 LRTP. The focus of Forward Pinellas’</w:t>
                            </w:r>
                            <w:r>
                              <w:rPr>
                                <w:rFonts w:cs="Calibri"/>
                                <w:i/>
                                <w:iCs/>
                                <w:kern w:val="28"/>
                                <w:szCs w:val="24"/>
                              </w:rPr>
                              <w:t xml:space="preserve"> </w:t>
                            </w:r>
                            <w:r w:rsidRPr="005010C2">
                              <w:rPr>
                                <w:rFonts w:cs="Calibri"/>
                                <w:i/>
                                <w:iCs/>
                                <w:kern w:val="28"/>
                                <w:szCs w:val="24"/>
                              </w:rPr>
                              <w:t>investments in bridge and pavement condition include:</w:t>
                            </w:r>
                            <w:r w:rsidR="00154AA5">
                              <w:t xml:space="preserve"> </w:t>
                            </w:r>
                          </w:p>
                          <w:p w14:paraId="14BE09FE" w14:textId="77777777" w:rsidR="00154AA5" w:rsidRPr="0000371F" w:rsidRDefault="00154AA5" w:rsidP="0000371F">
                            <w:pPr>
                              <w:tabs>
                                <w:tab w:val="left" w:pos="2250"/>
                              </w:tabs>
                              <w:spacing w:after="120"/>
                              <w:rPr>
                                <w:i/>
                                <w:iCs/>
                              </w:rPr>
                            </w:pPr>
                            <w:r w:rsidRPr="0000371F">
                              <w:rPr>
                                <w:i/>
                                <w:iCs/>
                              </w:rPr>
                              <w:t xml:space="preserve">• Rigid Pavement Rehabilitation on I-175 from 16th St to 4th St </w:t>
                            </w:r>
                          </w:p>
                          <w:p w14:paraId="268EBBDE" w14:textId="77777777" w:rsidR="00154AA5" w:rsidRPr="0000371F" w:rsidRDefault="00154AA5" w:rsidP="0000371F">
                            <w:pPr>
                              <w:tabs>
                                <w:tab w:val="left" w:pos="2250"/>
                              </w:tabs>
                              <w:spacing w:after="120"/>
                              <w:rPr>
                                <w:i/>
                                <w:iCs/>
                              </w:rPr>
                            </w:pPr>
                            <w:r w:rsidRPr="0000371F">
                              <w:rPr>
                                <w:i/>
                                <w:iCs/>
                              </w:rPr>
                              <w:t xml:space="preserve">• Resurfacing on SR 693/ Pasadena Ave from Park St to Central Ave </w:t>
                            </w:r>
                          </w:p>
                          <w:p w14:paraId="10C5EB6B" w14:textId="77777777" w:rsidR="00154AA5" w:rsidRPr="0000371F" w:rsidRDefault="00154AA5" w:rsidP="0000371F">
                            <w:pPr>
                              <w:tabs>
                                <w:tab w:val="left" w:pos="2250"/>
                              </w:tabs>
                              <w:spacing w:after="120"/>
                              <w:rPr>
                                <w:i/>
                                <w:iCs/>
                              </w:rPr>
                            </w:pPr>
                            <w:r w:rsidRPr="0000371F">
                              <w:rPr>
                                <w:i/>
                                <w:iCs/>
                              </w:rPr>
                              <w:t xml:space="preserve">• Resurfacing on SR 679/Pinellas Bayway from Bunces Pass to Madeira Cir </w:t>
                            </w:r>
                          </w:p>
                          <w:p w14:paraId="41D35977" w14:textId="77777777" w:rsidR="00154AA5" w:rsidRPr="0000371F" w:rsidRDefault="00154AA5" w:rsidP="0000371F">
                            <w:pPr>
                              <w:tabs>
                                <w:tab w:val="left" w:pos="2250"/>
                              </w:tabs>
                              <w:spacing w:after="120"/>
                              <w:rPr>
                                <w:i/>
                                <w:iCs/>
                              </w:rPr>
                            </w:pPr>
                            <w:r w:rsidRPr="0000371F">
                              <w:rPr>
                                <w:i/>
                                <w:iCs/>
                              </w:rPr>
                              <w:t xml:space="preserve">• Structural Rehab on I-275/Sunshine Skyway Bridge </w:t>
                            </w:r>
                          </w:p>
                          <w:p w14:paraId="3A2D086B" w14:textId="77777777" w:rsidR="00154AA5" w:rsidRPr="0000371F" w:rsidRDefault="00154AA5" w:rsidP="0000371F">
                            <w:pPr>
                              <w:tabs>
                                <w:tab w:val="left" w:pos="2250"/>
                              </w:tabs>
                              <w:spacing w:after="120"/>
                              <w:rPr>
                                <w:i/>
                                <w:iCs/>
                              </w:rPr>
                            </w:pPr>
                            <w:r w:rsidRPr="0000371F">
                              <w:rPr>
                                <w:i/>
                                <w:iCs/>
                              </w:rPr>
                              <w:t xml:space="preserve">• Replacement of the SB/WB Howard Frankland Bridge </w:t>
                            </w:r>
                          </w:p>
                          <w:p w14:paraId="71663FAA" w14:textId="77777777" w:rsidR="00154AA5" w:rsidRPr="0000371F" w:rsidRDefault="00154AA5" w:rsidP="0000371F">
                            <w:pPr>
                              <w:tabs>
                                <w:tab w:val="left" w:pos="2250"/>
                              </w:tabs>
                              <w:spacing w:after="120"/>
                              <w:rPr>
                                <w:i/>
                                <w:iCs/>
                              </w:rPr>
                            </w:pPr>
                            <w:r w:rsidRPr="0000371F">
                              <w:rPr>
                                <w:i/>
                                <w:iCs/>
                              </w:rPr>
                              <w:t xml:space="preserve">• Replacement of the 40th Ave NE Bridge over Placido Bayou </w:t>
                            </w:r>
                          </w:p>
                          <w:p w14:paraId="248A6EF1" w14:textId="77777777" w:rsidR="00154AA5" w:rsidRPr="0000371F" w:rsidRDefault="00154AA5" w:rsidP="0000371F">
                            <w:pPr>
                              <w:tabs>
                                <w:tab w:val="left" w:pos="2250"/>
                              </w:tabs>
                              <w:spacing w:after="120"/>
                              <w:rPr>
                                <w:i/>
                                <w:iCs/>
                              </w:rPr>
                            </w:pPr>
                            <w:r w:rsidRPr="0000371F">
                              <w:rPr>
                                <w:i/>
                                <w:iCs/>
                              </w:rPr>
                              <w:t xml:space="preserve">• Rehabilitation of I-275 SB over 31st St Bridge </w:t>
                            </w:r>
                          </w:p>
                          <w:p w14:paraId="43FCB23A" w14:textId="4F3C80E9" w:rsidR="00946EEF" w:rsidRPr="00E45D15" w:rsidRDefault="00154AA5">
                            <w:pPr>
                              <w:tabs>
                                <w:tab w:val="left" w:pos="2250"/>
                              </w:tabs>
                              <w:rPr>
                                <w:rFonts w:cs="Calibri"/>
                                <w:i/>
                                <w:iCs/>
                                <w:kern w:val="28"/>
                                <w:szCs w:val="24"/>
                              </w:rPr>
                            </w:pPr>
                            <w:r w:rsidRPr="0000371F">
                              <w:rPr>
                                <w:i/>
                                <w:iCs/>
                              </w:rPr>
                              <w:t>• Bridge Replacement on Ridgemoor Blvd &amp; Brooker Creek</w:t>
                            </w:r>
                          </w:p>
                          <w:p w14:paraId="048DCA2B" w14:textId="57A31FD3" w:rsidR="005010C2" w:rsidRDefault="005010C2" w:rsidP="0000371F">
                            <w:pPr>
                              <w:tabs>
                                <w:tab w:val="left" w:pos="2250"/>
                              </w:tabs>
                              <w:rPr>
                                <w:rFonts w:cs="Calibri"/>
                                <w:i/>
                                <w:iCs/>
                                <w:kern w:val="28"/>
                                <w:szCs w:val="24"/>
                              </w:rPr>
                            </w:pPr>
                            <w:r w:rsidRPr="005010C2">
                              <w:rPr>
                                <w:rFonts w:cs="Calibri"/>
                                <w:i/>
                                <w:iCs/>
                                <w:kern w:val="28"/>
                                <w:szCs w:val="24"/>
                              </w:rPr>
                              <w:t>By advancing these projects, and other system preservation projects included in the Forward Pinellas TIP, it is expected that progress will be made towards achieving the targets set in this section</w:t>
                            </w:r>
                            <w:r>
                              <w:rPr>
                                <w:rFonts w:cs="Calibri"/>
                                <w:i/>
                                <w:iCs/>
                                <w:kern w:val="28"/>
                                <w:szCs w:val="24"/>
                              </w:rPr>
                              <w:t>.</w:t>
                            </w:r>
                          </w:p>
                          <w:p w14:paraId="2F9FC8B1" w14:textId="5E6B636F" w:rsidR="00D15697" w:rsidRPr="00E45D15" w:rsidRDefault="00E45D15">
                            <w:pPr>
                              <w:tabs>
                                <w:tab w:val="left" w:pos="2250"/>
                              </w:tabs>
                              <w:rPr>
                                <w:rFonts w:cs="Calibri"/>
                                <w:i/>
                                <w:iCs/>
                                <w:kern w:val="28"/>
                                <w:szCs w:val="24"/>
                              </w:rPr>
                            </w:pPr>
                            <w:r w:rsidRPr="0000371F">
                              <w:rPr>
                                <w:i/>
                                <w:iCs/>
                                <w:szCs w:val="24"/>
                              </w:rPr>
                              <w:t>The TIP devotes a significant amount of resources to projects that will maintain pavement and bridge condition performance. Investments in pavement and bridge condition include pavement replacement and reconstruction, bridge replacement and reconstruction, and new bridge and pavement capacity. The TIP will fund $889 million for bridges and $59 million for resurfacing.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8215AC" id="_x0000_t202" coordsize="21600,21600" o:spt="202" path="m,l,21600r21600,l21600,xe">
                <v:stroke joinstyle="miter"/>
                <v:path gradientshapeok="t" o:connecttype="rect"/>
              </v:shapetype>
              <v:shape id="Text Box 2" o:spid="_x0000_s1026" type="#_x0000_t202" style="position:absolute;left:0;text-align:left;margin-left:0;margin-top:25.3pt;width:2in;height:296.75pt;z-index:25165824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" filled="f" strokeweight=".5pt">
                <v:textbox>
                  <w:txbxContent>
                    <w:p w14:paraId="3761E41A" w14:textId="65F36EEA" w:rsidR="00154AA5" w:rsidRDefault="005010C2" w:rsidP="0000371F">
                      <w:pPr>
                        <w:tabs>
                          <w:tab w:val="left" w:pos="2250"/>
                        </w:tabs>
                        <w:spacing w:after="120"/>
                      </w:pPr>
                      <w:r w:rsidRPr="005010C2">
                        <w:rPr>
                          <w:rFonts w:cs="Calibri"/>
                          <w:i/>
                          <w:iCs/>
                          <w:kern w:val="28"/>
                          <w:szCs w:val="24"/>
                        </w:rPr>
                        <w:t>The Forward Pinellas TIP reflects investment priorities established in Advantage Pinellas, the 2045 LRTP. The focus of Forward Pinellas’</w:t>
                      </w:r>
                      <w:r>
                        <w:rPr>
                          <w:rFonts w:cs="Calibri"/>
                          <w:i/>
                          <w:iCs/>
                          <w:kern w:val="28"/>
                          <w:szCs w:val="24"/>
                        </w:rPr>
                        <w:t xml:space="preserve"> </w:t>
                      </w:r>
                      <w:r w:rsidRPr="005010C2">
                        <w:rPr>
                          <w:rFonts w:cs="Calibri"/>
                          <w:i/>
                          <w:iCs/>
                          <w:kern w:val="28"/>
                          <w:szCs w:val="24"/>
                        </w:rPr>
                        <w:t>investments in bridge and pavement condition include:</w:t>
                      </w:r>
                      <w:r w:rsidR="00154AA5">
                        <w:t xml:space="preserve"> </w:t>
                      </w:r>
                    </w:p>
                    <w:p w14:paraId="14BE09FE" w14:textId="77777777" w:rsidR="00154AA5" w:rsidRPr="0000371F" w:rsidRDefault="00154AA5" w:rsidP="0000371F">
                      <w:pPr>
                        <w:tabs>
                          <w:tab w:val="left" w:pos="2250"/>
                        </w:tabs>
                        <w:spacing w:after="120"/>
                        <w:rPr>
                          <w:i/>
                          <w:iCs/>
                        </w:rPr>
                      </w:pPr>
                      <w:r w:rsidRPr="0000371F">
                        <w:rPr>
                          <w:i/>
                          <w:iCs/>
                        </w:rPr>
                        <w:t xml:space="preserve">• Rigid Pavement Rehabilitation on I-175 from 16th St to 4th St </w:t>
                      </w:r>
                    </w:p>
                    <w:p w14:paraId="268EBBDE" w14:textId="77777777" w:rsidR="00154AA5" w:rsidRPr="0000371F" w:rsidRDefault="00154AA5" w:rsidP="0000371F">
                      <w:pPr>
                        <w:tabs>
                          <w:tab w:val="left" w:pos="2250"/>
                        </w:tabs>
                        <w:spacing w:after="120"/>
                        <w:rPr>
                          <w:i/>
                          <w:iCs/>
                        </w:rPr>
                      </w:pPr>
                      <w:r w:rsidRPr="0000371F">
                        <w:rPr>
                          <w:i/>
                          <w:iCs/>
                        </w:rPr>
                        <w:t xml:space="preserve">• Resurfacing on SR 693/ Pasadena Ave from Park St to Central Ave </w:t>
                      </w:r>
                    </w:p>
                    <w:p w14:paraId="10C5EB6B" w14:textId="77777777" w:rsidR="00154AA5" w:rsidRPr="0000371F" w:rsidRDefault="00154AA5" w:rsidP="0000371F">
                      <w:pPr>
                        <w:tabs>
                          <w:tab w:val="left" w:pos="2250"/>
                        </w:tabs>
                        <w:spacing w:after="120"/>
                        <w:rPr>
                          <w:i/>
                          <w:iCs/>
                        </w:rPr>
                      </w:pPr>
                      <w:r w:rsidRPr="0000371F">
                        <w:rPr>
                          <w:i/>
                          <w:iCs/>
                        </w:rPr>
                        <w:t xml:space="preserve">• Resurfacing on SR 679/Pinellas Bayway from Bunces Pass to Madeira Cir </w:t>
                      </w:r>
                    </w:p>
                    <w:p w14:paraId="41D35977" w14:textId="77777777" w:rsidR="00154AA5" w:rsidRPr="0000371F" w:rsidRDefault="00154AA5" w:rsidP="0000371F">
                      <w:pPr>
                        <w:tabs>
                          <w:tab w:val="left" w:pos="2250"/>
                        </w:tabs>
                        <w:spacing w:after="120"/>
                        <w:rPr>
                          <w:i/>
                          <w:iCs/>
                        </w:rPr>
                      </w:pPr>
                      <w:r w:rsidRPr="0000371F">
                        <w:rPr>
                          <w:i/>
                          <w:iCs/>
                        </w:rPr>
                        <w:t xml:space="preserve">• Structural Rehab on I-275/Sunshine Skyway Bridge </w:t>
                      </w:r>
                    </w:p>
                    <w:p w14:paraId="3A2D086B" w14:textId="77777777" w:rsidR="00154AA5" w:rsidRPr="0000371F" w:rsidRDefault="00154AA5" w:rsidP="0000371F">
                      <w:pPr>
                        <w:tabs>
                          <w:tab w:val="left" w:pos="2250"/>
                        </w:tabs>
                        <w:spacing w:after="120"/>
                        <w:rPr>
                          <w:i/>
                          <w:iCs/>
                        </w:rPr>
                      </w:pPr>
                      <w:r w:rsidRPr="0000371F">
                        <w:rPr>
                          <w:i/>
                          <w:iCs/>
                        </w:rPr>
                        <w:t xml:space="preserve">• Replacement of the SB/WB Howard Frankland Bridge </w:t>
                      </w:r>
                    </w:p>
                    <w:p w14:paraId="71663FAA" w14:textId="77777777" w:rsidR="00154AA5" w:rsidRPr="0000371F" w:rsidRDefault="00154AA5" w:rsidP="0000371F">
                      <w:pPr>
                        <w:tabs>
                          <w:tab w:val="left" w:pos="2250"/>
                        </w:tabs>
                        <w:spacing w:after="120"/>
                        <w:rPr>
                          <w:i/>
                          <w:iCs/>
                        </w:rPr>
                      </w:pPr>
                      <w:r w:rsidRPr="0000371F">
                        <w:rPr>
                          <w:i/>
                          <w:iCs/>
                        </w:rPr>
                        <w:t xml:space="preserve">• Replacement of the 40th Ave NE Bridge over Placido Bayou </w:t>
                      </w:r>
                    </w:p>
                    <w:p w14:paraId="248A6EF1" w14:textId="77777777" w:rsidR="00154AA5" w:rsidRPr="0000371F" w:rsidRDefault="00154AA5" w:rsidP="0000371F">
                      <w:pPr>
                        <w:tabs>
                          <w:tab w:val="left" w:pos="2250"/>
                        </w:tabs>
                        <w:spacing w:after="120"/>
                        <w:rPr>
                          <w:i/>
                          <w:iCs/>
                        </w:rPr>
                      </w:pPr>
                      <w:r w:rsidRPr="0000371F">
                        <w:rPr>
                          <w:i/>
                          <w:iCs/>
                        </w:rPr>
                        <w:t xml:space="preserve">• Rehabilitation of I-275 SB over 31st St Bridge </w:t>
                      </w:r>
                    </w:p>
                    <w:p w14:paraId="43FCB23A" w14:textId="4F3C80E9" w:rsidR="00946EEF" w:rsidRPr="00E45D15" w:rsidRDefault="00154AA5">
                      <w:pPr>
                        <w:tabs>
                          <w:tab w:val="left" w:pos="2250"/>
                        </w:tabs>
                        <w:rPr>
                          <w:rFonts w:cs="Calibri"/>
                          <w:i/>
                          <w:iCs/>
                          <w:kern w:val="28"/>
                          <w:szCs w:val="24"/>
                        </w:rPr>
                      </w:pPr>
                      <w:r w:rsidRPr="0000371F">
                        <w:rPr>
                          <w:i/>
                          <w:iCs/>
                        </w:rPr>
                        <w:t>• Bridge Replacement on Ridgemoor Blvd &amp; Brooker Creek</w:t>
                      </w:r>
                    </w:p>
                    <w:p w14:paraId="048DCA2B" w14:textId="57A31FD3" w:rsidR="005010C2" w:rsidRDefault="005010C2" w:rsidP="0000371F">
                      <w:pPr>
                        <w:tabs>
                          <w:tab w:val="left" w:pos="2250"/>
                        </w:tabs>
                        <w:rPr>
                          <w:rFonts w:cs="Calibri"/>
                          <w:i/>
                          <w:iCs/>
                          <w:kern w:val="28"/>
                          <w:szCs w:val="24"/>
                        </w:rPr>
                      </w:pPr>
                      <w:r w:rsidRPr="005010C2">
                        <w:rPr>
                          <w:rFonts w:cs="Calibri"/>
                          <w:i/>
                          <w:iCs/>
                          <w:kern w:val="28"/>
                          <w:szCs w:val="24"/>
                        </w:rPr>
                        <w:t>By advancing these projects, and other system preservation projects included in the Forward Pinellas TIP, it is expected that progress will be made towards achieving the targets set in this section</w:t>
                      </w:r>
                      <w:r>
                        <w:rPr>
                          <w:rFonts w:cs="Calibri"/>
                          <w:i/>
                          <w:iCs/>
                          <w:kern w:val="28"/>
                          <w:szCs w:val="24"/>
                        </w:rPr>
                        <w:t>.</w:t>
                      </w:r>
                    </w:p>
                    <w:p w14:paraId="2F9FC8B1" w14:textId="5E6B636F" w:rsidR="00D15697" w:rsidRPr="00E45D15" w:rsidRDefault="00E45D15">
                      <w:pPr>
                        <w:tabs>
                          <w:tab w:val="left" w:pos="2250"/>
                        </w:tabs>
                        <w:rPr>
                          <w:rFonts w:cs="Calibri"/>
                          <w:i/>
                          <w:iCs/>
                          <w:kern w:val="28"/>
                          <w:szCs w:val="24"/>
                        </w:rPr>
                      </w:pPr>
                      <w:r w:rsidRPr="0000371F">
                        <w:rPr>
                          <w:i/>
                          <w:iCs/>
                          <w:szCs w:val="24"/>
                        </w:rPr>
                        <w:t>The TIP devotes a significant amount of resources to projects that will maintain pavement and bridge condition performance. Investments in pavement and bridge condition include pavement replacement and reconstruction, bridge replacement and reconstruction, and new bridge and pavement capacity. The TIP will fund $889 million for bridges and $59 million for resurfacing.</w:t>
                      </w:r>
                    </w:p>
                  </w:txbxContent>
                </v:textbox>
                <w10:wrap type="square" anchorx="margin"/>
              </v:shape>
            </w:pict>
          </mc:Fallback>
        </mc:AlternateContent>
      </w:r>
      <w:r w:rsidR="005003A8" w:rsidRPr="005003A8">
        <w:rPr>
          <w:rFonts w:cs="Calibri"/>
          <w:kern w:val="28"/>
          <w:szCs w:val="24"/>
          <w:highlight w:val="yellow"/>
        </w:rPr>
        <w:t xml:space="preserve">Example </w:t>
      </w:r>
      <w:r w:rsidR="005003A8">
        <w:rPr>
          <w:rFonts w:cs="Calibri"/>
          <w:kern w:val="28"/>
          <w:szCs w:val="24"/>
          <w:highlight w:val="yellow"/>
        </w:rPr>
        <w:t xml:space="preserve">below is from </w:t>
      </w:r>
      <w:r>
        <w:rPr>
          <w:rFonts w:cs="Calibri"/>
          <w:kern w:val="28"/>
          <w:szCs w:val="24"/>
          <w:highlight w:val="yellow"/>
        </w:rPr>
        <w:t xml:space="preserve">a recent Forward Pinellas </w:t>
      </w:r>
      <w:r w:rsidR="003D07C8">
        <w:rPr>
          <w:rFonts w:cs="Calibri"/>
          <w:kern w:val="28"/>
          <w:szCs w:val="24"/>
          <w:highlight w:val="yellow"/>
        </w:rPr>
        <w:t>TIP</w:t>
      </w:r>
      <w:r w:rsidR="005003A8" w:rsidRPr="005003A8">
        <w:rPr>
          <w:rFonts w:cs="Calibri"/>
          <w:kern w:val="28"/>
          <w:szCs w:val="24"/>
          <w:highlight w:val="yellow"/>
        </w:rPr>
        <w:t>:</w:t>
      </w:r>
      <w:r w:rsidR="003D07C8">
        <w:rPr>
          <w:rStyle w:val="FootnoteReference"/>
          <w:rFonts w:cs="Calibri"/>
          <w:kern w:val="28"/>
          <w:szCs w:val="24"/>
          <w:highlight w:val="yellow"/>
        </w:rPr>
        <w:footnoteReference w:id="9"/>
      </w:r>
    </w:p>
    <w:p w14:paraId="65253AC9" w14:textId="77777777" w:rsidR="005010C2" w:rsidRDefault="005010C2" w:rsidP="005010C2">
      <w:pPr>
        <w:tabs>
          <w:tab w:val="left" w:pos="2250"/>
        </w:tabs>
        <w:rPr>
          <w:rFonts w:cs="Calibri"/>
          <w:bCs/>
          <w:color w:val="000000"/>
          <w:kern w:val="36"/>
          <w:szCs w:val="24"/>
        </w:rPr>
      </w:pPr>
    </w:p>
    <w:p w14:paraId="535E4FC5" w14:textId="3F46FC2A" w:rsidR="00E93845" w:rsidRDefault="008B194B" w:rsidP="00D15697">
      <w:pPr>
        <w:tabs>
          <w:tab w:val="left" w:pos="2250"/>
        </w:tabs>
      </w:pPr>
      <w:r>
        <w:rPr>
          <w:rFonts w:cs="Calibri"/>
          <w:bCs/>
          <w:color w:val="000000"/>
          <w:kern w:val="36"/>
          <w:szCs w:val="24"/>
        </w:rPr>
        <w:t>T</w:t>
      </w:r>
      <w:r w:rsidRPr="00E70683">
        <w:rPr>
          <w:rFonts w:cs="Calibri"/>
          <w:bCs/>
          <w:color w:val="000000"/>
          <w:kern w:val="36"/>
          <w:szCs w:val="24"/>
        </w:rPr>
        <w:t>he projects included in the TIP are consistent with FDOT's Five Year Work Program</w:t>
      </w:r>
      <w:r>
        <w:rPr>
          <w:rFonts w:cs="Calibri"/>
          <w:bCs/>
          <w:color w:val="000000"/>
          <w:kern w:val="36"/>
          <w:szCs w:val="24"/>
        </w:rPr>
        <w:t xml:space="preserve">, and therefore to FDOT’s approach to </w:t>
      </w:r>
      <w:r w:rsidRPr="00C3591D">
        <w:rPr>
          <w:rFonts w:cs="Calibri"/>
          <w:bCs/>
          <w:color w:val="000000"/>
          <w:kern w:val="36"/>
          <w:szCs w:val="24"/>
        </w:rPr>
        <w:t xml:space="preserve">prioritize </w:t>
      </w:r>
      <w:r>
        <w:rPr>
          <w:rFonts w:cs="Calibri"/>
          <w:bCs/>
          <w:color w:val="000000"/>
          <w:kern w:val="36"/>
          <w:szCs w:val="24"/>
        </w:rPr>
        <w:t>f</w:t>
      </w:r>
      <w:r w:rsidRPr="00C3591D">
        <w:rPr>
          <w:rFonts w:cs="Calibri"/>
          <w:bCs/>
          <w:color w:val="000000"/>
          <w:kern w:val="36"/>
          <w:szCs w:val="24"/>
        </w:rPr>
        <w:t>unding to</w:t>
      </w:r>
      <w:r>
        <w:rPr>
          <w:rFonts w:cs="Calibri"/>
          <w:bCs/>
          <w:color w:val="000000"/>
          <w:kern w:val="36"/>
          <w:szCs w:val="24"/>
        </w:rPr>
        <w:t xml:space="preserve"> </w:t>
      </w:r>
      <w:r w:rsidRPr="00C3591D">
        <w:rPr>
          <w:rFonts w:cs="Calibri"/>
          <w:bCs/>
          <w:color w:val="000000"/>
          <w:kern w:val="36"/>
          <w:szCs w:val="24"/>
        </w:rPr>
        <w:t>ensure the transportation system</w:t>
      </w:r>
      <w:r>
        <w:rPr>
          <w:rFonts w:cs="Calibri"/>
          <w:bCs/>
          <w:color w:val="000000"/>
          <w:kern w:val="36"/>
          <w:szCs w:val="24"/>
        </w:rPr>
        <w:t xml:space="preserve"> is</w:t>
      </w:r>
      <w:r w:rsidRPr="00C3591D">
        <w:rPr>
          <w:rFonts w:cs="Calibri"/>
          <w:bCs/>
          <w:color w:val="000000"/>
          <w:kern w:val="36"/>
          <w:szCs w:val="24"/>
        </w:rPr>
        <w:t xml:space="preserve"> </w:t>
      </w:r>
      <w:r>
        <w:rPr>
          <w:rFonts w:cs="Calibri"/>
          <w:bCs/>
          <w:color w:val="000000"/>
          <w:kern w:val="36"/>
          <w:szCs w:val="24"/>
        </w:rPr>
        <w:t>a</w:t>
      </w:r>
      <w:r w:rsidRPr="00C3591D">
        <w:rPr>
          <w:rFonts w:cs="Calibri"/>
          <w:bCs/>
          <w:color w:val="000000"/>
          <w:kern w:val="36"/>
          <w:szCs w:val="24"/>
        </w:rPr>
        <w:t>dequately preserved and</w:t>
      </w:r>
      <w:r>
        <w:rPr>
          <w:rFonts w:cs="Calibri"/>
          <w:bCs/>
          <w:color w:val="000000"/>
          <w:kern w:val="36"/>
          <w:szCs w:val="24"/>
        </w:rPr>
        <w:t xml:space="preserve"> </w:t>
      </w:r>
      <w:r w:rsidRPr="00C3591D">
        <w:rPr>
          <w:rFonts w:cs="Calibri"/>
          <w:bCs/>
          <w:color w:val="000000"/>
          <w:kern w:val="36"/>
          <w:szCs w:val="24"/>
        </w:rPr>
        <w:t>maintained</w:t>
      </w:r>
      <w:r w:rsidR="007026A1">
        <w:rPr>
          <w:rFonts w:cs="Calibri"/>
          <w:bCs/>
          <w:color w:val="000000"/>
          <w:kern w:val="36"/>
          <w:szCs w:val="24"/>
        </w:rPr>
        <w:t xml:space="preserve">. </w:t>
      </w:r>
      <w:r>
        <w:rPr>
          <w:rFonts w:cs="Calibri"/>
          <w:bCs/>
          <w:color w:val="000000"/>
          <w:kern w:val="36"/>
          <w:szCs w:val="24"/>
        </w:rPr>
        <w:t xml:space="preserve">Per federal planning requirements, the </w:t>
      </w:r>
      <w:r w:rsidR="000C1B01">
        <w:rPr>
          <w:rFonts w:cs="Calibri"/>
          <w:bCs/>
          <w:color w:val="000000"/>
          <w:kern w:val="36"/>
          <w:szCs w:val="24"/>
        </w:rPr>
        <w:t>s</w:t>
      </w:r>
      <w:r w:rsidRPr="00606288">
        <w:rPr>
          <w:rFonts w:cs="Calibri"/>
          <w:bCs/>
          <w:color w:val="000000"/>
          <w:kern w:val="36"/>
          <w:szCs w:val="24"/>
        </w:rPr>
        <w:t>tate select</w:t>
      </w:r>
      <w:r>
        <w:rPr>
          <w:rFonts w:cs="Calibri"/>
          <w:bCs/>
          <w:color w:val="000000"/>
          <w:kern w:val="36"/>
          <w:szCs w:val="24"/>
        </w:rPr>
        <w:t>s</w:t>
      </w:r>
      <w:r w:rsidRPr="00606288">
        <w:rPr>
          <w:rFonts w:cs="Calibri"/>
          <w:bCs/>
          <w:color w:val="000000"/>
          <w:kern w:val="36"/>
          <w:szCs w:val="24"/>
        </w:rPr>
        <w:t xml:space="preserve"> projects on the NHS in cooperation with the MPO from the approved TIP</w:t>
      </w:r>
      <w:r w:rsidR="007026A1">
        <w:rPr>
          <w:rFonts w:cs="Calibri"/>
          <w:bCs/>
          <w:color w:val="000000"/>
          <w:kern w:val="36"/>
          <w:szCs w:val="24"/>
        </w:rPr>
        <w:t xml:space="preserve">. </w:t>
      </w:r>
      <w:r>
        <w:rPr>
          <w:rFonts w:cs="Calibri"/>
          <w:bCs/>
          <w:color w:val="000000"/>
          <w:kern w:val="36"/>
          <w:szCs w:val="24"/>
        </w:rPr>
        <w:t xml:space="preserve">Given the significant resources devoted in the TIP to pavement and bridge projects, </w:t>
      </w:r>
      <w:r w:rsidR="00C5765B">
        <w:rPr>
          <w:rFonts w:cs="Calibri"/>
          <w:bCs/>
          <w:color w:val="000000"/>
          <w:kern w:val="36"/>
          <w:szCs w:val="24"/>
        </w:rPr>
        <w:t>the MPO</w:t>
      </w:r>
      <w:r>
        <w:rPr>
          <w:rFonts w:cs="Calibri"/>
          <w:bCs/>
          <w:color w:val="000000"/>
          <w:kern w:val="36"/>
          <w:szCs w:val="24"/>
        </w:rPr>
        <w:t xml:space="preserve"> </w:t>
      </w:r>
      <w:r w:rsidRPr="006B411F">
        <w:rPr>
          <w:rFonts w:cs="Calibri"/>
          <w:kern w:val="28"/>
          <w:szCs w:val="24"/>
        </w:rPr>
        <w:t>anticipate</w:t>
      </w:r>
      <w:r w:rsidR="00C5765B">
        <w:rPr>
          <w:rFonts w:cs="Calibri"/>
          <w:kern w:val="28"/>
          <w:szCs w:val="24"/>
        </w:rPr>
        <w:t xml:space="preserve">s that once implemented, </w:t>
      </w:r>
      <w:r w:rsidRPr="006B411F">
        <w:rPr>
          <w:rFonts w:cs="Calibri"/>
          <w:kern w:val="28"/>
          <w:szCs w:val="24"/>
        </w:rPr>
        <w:t xml:space="preserve">the </w:t>
      </w:r>
      <w:r>
        <w:rPr>
          <w:rFonts w:cs="Calibri"/>
          <w:kern w:val="28"/>
          <w:szCs w:val="24"/>
        </w:rPr>
        <w:t>TIP</w:t>
      </w:r>
      <w:r w:rsidRPr="006B411F">
        <w:rPr>
          <w:rFonts w:cs="Calibri"/>
          <w:kern w:val="28"/>
          <w:szCs w:val="24"/>
        </w:rPr>
        <w:t xml:space="preserve"> </w:t>
      </w:r>
      <w:r>
        <w:rPr>
          <w:rFonts w:cs="Calibri"/>
          <w:kern w:val="28"/>
          <w:szCs w:val="24"/>
        </w:rPr>
        <w:t xml:space="preserve">will contribute to </w:t>
      </w:r>
      <w:r w:rsidRPr="006B411F">
        <w:rPr>
          <w:rFonts w:cs="Calibri"/>
          <w:kern w:val="28"/>
          <w:szCs w:val="24"/>
        </w:rPr>
        <w:t xml:space="preserve">progress </w:t>
      </w:r>
      <w:r>
        <w:rPr>
          <w:rFonts w:cs="Calibri"/>
          <w:kern w:val="28"/>
          <w:szCs w:val="24"/>
        </w:rPr>
        <w:t>to</w:t>
      </w:r>
      <w:r w:rsidRPr="006B411F">
        <w:rPr>
          <w:rFonts w:cs="Calibri"/>
          <w:kern w:val="28"/>
          <w:szCs w:val="24"/>
        </w:rPr>
        <w:t xml:space="preserve">wards achieving the statewide pavement and bridge </w:t>
      </w:r>
      <w:r>
        <w:rPr>
          <w:rFonts w:cs="Calibri"/>
          <w:kern w:val="28"/>
          <w:szCs w:val="24"/>
        </w:rPr>
        <w:t xml:space="preserve">condition </w:t>
      </w:r>
      <w:r w:rsidRPr="006B411F">
        <w:rPr>
          <w:rFonts w:cs="Calibri"/>
          <w:kern w:val="28"/>
          <w:szCs w:val="24"/>
        </w:rPr>
        <w:t>performance targets.</w:t>
      </w:r>
      <w:r w:rsidR="00E93845">
        <w:br w:type="page"/>
      </w:r>
    </w:p>
    <w:p w14:paraId="642725F6" w14:textId="63F44276" w:rsidR="007E16DA" w:rsidRPr="007E16DA" w:rsidRDefault="003B3907" w:rsidP="00DD5E3F">
      <w:pPr>
        <w:pStyle w:val="Heading1"/>
        <w:keepNext w:val="0"/>
        <w:spacing w:after="360"/>
      </w:pPr>
      <w:bookmarkStart w:id="22" w:name="_5_-_System"/>
      <w:bookmarkStart w:id="23" w:name="_Toc97743203"/>
      <w:bookmarkStart w:id="24" w:name="_Toc126264200"/>
      <w:bookmarkEnd w:id="22"/>
      <w:r>
        <w:lastRenderedPageBreak/>
        <w:t>5</w:t>
      </w:r>
      <w:r w:rsidR="008131C9">
        <w:t xml:space="preserve"> - </w:t>
      </w:r>
      <w:r w:rsidR="007E16DA" w:rsidRPr="007E16DA">
        <w:t xml:space="preserve">System Performance, Freight, </w:t>
      </w:r>
      <w:r w:rsidR="00C56757">
        <w:t>&amp;</w:t>
      </w:r>
      <w:r w:rsidR="007E16DA" w:rsidRPr="007E16DA">
        <w:t xml:space="preserve"> Congestion Mitigation &amp; Air Quality Improvement Program Measures (PM3)</w:t>
      </w:r>
      <w:bookmarkEnd w:id="23"/>
      <w:bookmarkEnd w:id="24"/>
    </w:p>
    <w:p w14:paraId="702244C7" w14:textId="1520487C" w:rsidR="002B4102" w:rsidRPr="007E16DA" w:rsidRDefault="002B4102" w:rsidP="00CD56B1">
      <w:pPr>
        <w:rPr>
          <w:rFonts w:cs="Calibri"/>
          <w:szCs w:val="24"/>
        </w:rPr>
      </w:pPr>
      <w:r>
        <w:rPr>
          <w:rFonts w:cs="Calibri"/>
          <w:szCs w:val="24"/>
        </w:rPr>
        <w:t>FHWA’s</w:t>
      </w:r>
      <w:r w:rsidR="007E16DA" w:rsidRPr="007E16DA">
        <w:rPr>
          <w:rFonts w:cs="Calibri"/>
          <w:szCs w:val="24"/>
        </w:rPr>
        <w:t xml:space="preserve"> System Performance/Freight/CMAQ Performance Measures Final Rule, which is referred to as the PM3 rule, requires </w:t>
      </w:r>
      <w:r w:rsidR="00C5765B">
        <w:rPr>
          <w:rFonts w:cs="Calibri"/>
          <w:szCs w:val="24"/>
        </w:rPr>
        <w:t>state DOT</w:t>
      </w:r>
      <w:r w:rsidR="00AB0D0E">
        <w:rPr>
          <w:rFonts w:cs="Calibri"/>
          <w:szCs w:val="24"/>
        </w:rPr>
        <w:t>s</w:t>
      </w:r>
      <w:r w:rsidR="00C5765B">
        <w:rPr>
          <w:rFonts w:cs="Calibri"/>
          <w:szCs w:val="24"/>
        </w:rPr>
        <w:t xml:space="preserve"> and </w:t>
      </w:r>
      <w:r w:rsidR="007E16DA" w:rsidRPr="007E16DA">
        <w:rPr>
          <w:rFonts w:cs="Calibri"/>
          <w:szCs w:val="24"/>
        </w:rPr>
        <w:t xml:space="preserve">MPOs to </w:t>
      </w:r>
      <w:r w:rsidR="00A14CB6">
        <w:rPr>
          <w:rFonts w:cs="Calibri"/>
          <w:szCs w:val="24"/>
        </w:rPr>
        <w:t>establish</w:t>
      </w:r>
      <w:r w:rsidR="007E16DA" w:rsidRPr="007E16DA">
        <w:rPr>
          <w:rFonts w:cs="Calibri"/>
          <w:szCs w:val="24"/>
        </w:rPr>
        <w:t xml:space="preserve"> targets for the following six performance measures:</w:t>
      </w:r>
    </w:p>
    <w:p w14:paraId="5966AC3C" w14:textId="77777777" w:rsidR="008B194B" w:rsidRPr="004F4D6E" w:rsidRDefault="008B194B" w:rsidP="00CD56B1">
      <w:pPr>
        <w:spacing w:after="120"/>
        <w:rPr>
          <w:rFonts w:cs="Calibri"/>
          <w:b/>
          <w:szCs w:val="24"/>
        </w:rPr>
      </w:pPr>
      <w:r w:rsidRPr="004F4D6E">
        <w:rPr>
          <w:rFonts w:cs="Calibri"/>
          <w:b/>
          <w:szCs w:val="24"/>
        </w:rPr>
        <w:t>National Highway Performance Program (NHPP)</w:t>
      </w:r>
    </w:p>
    <w:p w14:paraId="52EA71D2" w14:textId="60F47957" w:rsidR="008B194B" w:rsidRPr="00593A0B" w:rsidRDefault="008B194B" w:rsidP="0000371F">
      <w:pPr>
        <w:pStyle w:val="ListNumber"/>
        <w:numPr>
          <w:ilvl w:val="0"/>
          <w:numId w:val="45"/>
        </w:numPr>
        <w:ind w:left="360"/>
      </w:pPr>
      <w:r w:rsidRPr="00593A0B">
        <w:t xml:space="preserve">Percent of person-miles </w:t>
      </w:r>
      <w:r w:rsidR="00125AE6">
        <w:t xml:space="preserve">traveled </w:t>
      </w:r>
      <w:r w:rsidRPr="00593A0B">
        <w:t>on the Interstate system that are reliable</w:t>
      </w:r>
    </w:p>
    <w:p w14:paraId="071D75C3" w14:textId="2AC5199A" w:rsidR="008B194B" w:rsidRDefault="008B194B" w:rsidP="0000371F">
      <w:pPr>
        <w:pStyle w:val="ListNumber"/>
      </w:pPr>
      <w:r w:rsidRPr="00593A0B">
        <w:t xml:space="preserve">Percent of person-miles </w:t>
      </w:r>
      <w:r w:rsidR="00125AE6">
        <w:t xml:space="preserve">traveled </w:t>
      </w:r>
      <w:r w:rsidRPr="00593A0B">
        <w:t>on the non-Interstate NHS that are reliable;</w:t>
      </w:r>
    </w:p>
    <w:p w14:paraId="50CF85C3" w14:textId="77777777" w:rsidR="008B194B" w:rsidRPr="004F4D6E" w:rsidRDefault="008B194B" w:rsidP="00CD56B1">
      <w:pPr>
        <w:spacing w:after="120"/>
        <w:rPr>
          <w:rFonts w:cs="Calibri"/>
          <w:b/>
          <w:szCs w:val="24"/>
        </w:rPr>
      </w:pPr>
      <w:r w:rsidRPr="004F4D6E">
        <w:rPr>
          <w:rFonts w:cs="Calibri"/>
          <w:b/>
          <w:szCs w:val="24"/>
        </w:rPr>
        <w:t>National Highway Freight Program (NHFP)</w:t>
      </w:r>
    </w:p>
    <w:p w14:paraId="444B7C7B" w14:textId="77777777" w:rsidR="008B194B" w:rsidRDefault="008B194B" w:rsidP="0000371F">
      <w:pPr>
        <w:pStyle w:val="ListNumber"/>
      </w:pPr>
      <w:r w:rsidRPr="00593A0B">
        <w:t>Truck Travel Time Reliability index (TTTR);</w:t>
      </w:r>
    </w:p>
    <w:p w14:paraId="777A304C" w14:textId="38527631" w:rsidR="008B194B" w:rsidRPr="004F4D6E" w:rsidRDefault="008B194B" w:rsidP="00922E8F">
      <w:pPr>
        <w:tabs>
          <w:tab w:val="left" w:pos="2250"/>
        </w:tabs>
        <w:spacing w:after="120"/>
        <w:jc w:val="left"/>
        <w:rPr>
          <w:rFonts w:cs="Calibri"/>
          <w:b/>
          <w:szCs w:val="24"/>
        </w:rPr>
      </w:pPr>
      <w:r w:rsidRPr="004F4D6E">
        <w:rPr>
          <w:rFonts w:cs="Calibri"/>
          <w:b/>
          <w:szCs w:val="24"/>
        </w:rPr>
        <w:t>Congestion Mitigation and Air Quality Improvement Program</w:t>
      </w:r>
      <w:r>
        <w:rPr>
          <w:rFonts w:cs="Calibri"/>
          <w:b/>
          <w:szCs w:val="24"/>
        </w:rPr>
        <w:t xml:space="preserve"> (CMAQ)</w:t>
      </w:r>
    </w:p>
    <w:p w14:paraId="259BD11E" w14:textId="77777777" w:rsidR="008B194B" w:rsidRPr="00593A0B" w:rsidRDefault="008B194B" w:rsidP="0000371F">
      <w:pPr>
        <w:pStyle w:val="ListNumber"/>
      </w:pPr>
      <w:r w:rsidRPr="00593A0B">
        <w:t>Annual hours of peak hour excessive delay per capita</w:t>
      </w:r>
      <w:r>
        <w:t xml:space="preserve"> (PHED)</w:t>
      </w:r>
      <w:r w:rsidRPr="00593A0B">
        <w:t>;</w:t>
      </w:r>
    </w:p>
    <w:p w14:paraId="65B228F7" w14:textId="77777777" w:rsidR="008B194B" w:rsidRPr="00593A0B" w:rsidRDefault="008B194B" w:rsidP="0000371F">
      <w:pPr>
        <w:pStyle w:val="ListNumber"/>
      </w:pPr>
      <w:r w:rsidRPr="00593A0B">
        <w:t>Percent of non-single occupant vehicle travel (Non-SOV); and</w:t>
      </w:r>
    </w:p>
    <w:p w14:paraId="7EDA66FD" w14:textId="0D8B7941" w:rsidR="008B194B" w:rsidRPr="00593A0B" w:rsidRDefault="008B194B" w:rsidP="0000371F">
      <w:pPr>
        <w:pStyle w:val="ListNumber"/>
      </w:pPr>
      <w:r>
        <w:t xml:space="preserve">Cumulative 2-year and 4-year </w:t>
      </w:r>
      <w:r w:rsidRPr="00593A0B">
        <w:t>reduction of on-road mobile source emissions</w:t>
      </w:r>
      <w:r>
        <w:t xml:space="preserve"> (NOx, VOC, CO, PM10, and PM2.5) for CMAQ funded projects</w:t>
      </w:r>
      <w:r w:rsidRPr="00593A0B">
        <w:t>.</w:t>
      </w:r>
    </w:p>
    <w:p w14:paraId="2B87A651" w14:textId="4D4088FC" w:rsidR="007E16DA" w:rsidRPr="007E16DA" w:rsidRDefault="007E16DA" w:rsidP="00CD56B1">
      <w:pPr>
        <w:rPr>
          <w:rFonts w:cs="Calibri"/>
          <w:kern w:val="28"/>
          <w:szCs w:val="24"/>
        </w:rPr>
      </w:pPr>
      <w:r w:rsidRPr="007E16DA">
        <w:rPr>
          <w:rFonts w:cs="Calibri"/>
          <w:kern w:val="28"/>
          <w:szCs w:val="24"/>
        </w:rPr>
        <w:t xml:space="preserve">Because all areas in Florida meet current </w:t>
      </w:r>
      <w:r w:rsidR="002D5683">
        <w:rPr>
          <w:rFonts w:cs="Calibri"/>
          <w:kern w:val="28"/>
          <w:szCs w:val="24"/>
        </w:rPr>
        <w:t>national air quality standards</w:t>
      </w:r>
      <w:r w:rsidRPr="007E16DA">
        <w:rPr>
          <w:rFonts w:cs="Calibri"/>
          <w:kern w:val="28"/>
          <w:szCs w:val="24"/>
        </w:rPr>
        <w:t>, the three</w:t>
      </w:r>
      <w:r w:rsidR="008B194B">
        <w:rPr>
          <w:rFonts w:cs="Calibri"/>
          <w:kern w:val="28"/>
          <w:szCs w:val="24"/>
        </w:rPr>
        <w:t xml:space="preserve"> </w:t>
      </w:r>
      <w:r w:rsidR="002D5683">
        <w:rPr>
          <w:rFonts w:cs="Calibri"/>
          <w:kern w:val="28"/>
          <w:szCs w:val="24"/>
        </w:rPr>
        <w:t xml:space="preserve">CMAQ </w:t>
      </w:r>
      <w:r w:rsidRPr="007E16DA">
        <w:rPr>
          <w:rFonts w:cs="Calibri"/>
          <w:kern w:val="28"/>
          <w:szCs w:val="24"/>
        </w:rPr>
        <w:t>measures do not apply in Florida</w:t>
      </w:r>
      <w:r w:rsidR="007026A1">
        <w:rPr>
          <w:rFonts w:cs="Calibri"/>
          <w:kern w:val="28"/>
          <w:szCs w:val="24"/>
        </w:rPr>
        <w:t xml:space="preserve">. </w:t>
      </w:r>
      <w:r w:rsidRPr="007E16DA">
        <w:rPr>
          <w:rFonts w:cs="Calibri"/>
          <w:kern w:val="28"/>
          <w:szCs w:val="24"/>
        </w:rPr>
        <w:t xml:space="preserve">A description of the </w:t>
      </w:r>
      <w:r w:rsidR="00E006B3">
        <w:rPr>
          <w:rFonts w:cs="Calibri"/>
          <w:kern w:val="28"/>
          <w:szCs w:val="24"/>
        </w:rPr>
        <w:t>first three</w:t>
      </w:r>
      <w:r w:rsidRPr="007E16DA">
        <w:rPr>
          <w:rFonts w:cs="Calibri"/>
          <w:kern w:val="28"/>
          <w:szCs w:val="24"/>
        </w:rPr>
        <w:t xml:space="preserve"> measures </w:t>
      </w:r>
      <w:r w:rsidR="0004127B">
        <w:rPr>
          <w:rFonts w:cs="Calibri"/>
          <w:kern w:val="28"/>
          <w:szCs w:val="24"/>
        </w:rPr>
        <w:t>is below</w:t>
      </w:r>
      <w:r w:rsidRPr="007E16DA">
        <w:rPr>
          <w:rFonts w:cs="Calibri"/>
          <w:kern w:val="28"/>
          <w:szCs w:val="24"/>
        </w:rPr>
        <w:t xml:space="preserve">. </w:t>
      </w:r>
    </w:p>
    <w:p w14:paraId="2596AB6A" w14:textId="424ADFCE" w:rsidR="007E16DA" w:rsidRPr="007E16DA" w:rsidRDefault="007E16DA" w:rsidP="00CD56B1">
      <w:pPr>
        <w:rPr>
          <w:rFonts w:cs="Calibri"/>
          <w:kern w:val="28"/>
          <w:szCs w:val="24"/>
        </w:rPr>
      </w:pPr>
      <w:r w:rsidRPr="007E16DA">
        <w:rPr>
          <w:rFonts w:cs="Calibri"/>
          <w:kern w:val="28"/>
          <w:szCs w:val="24"/>
        </w:rPr>
        <w:t xml:space="preserve">The </w:t>
      </w:r>
      <w:r w:rsidR="00C42F7C">
        <w:rPr>
          <w:rFonts w:cs="Calibri"/>
          <w:kern w:val="28"/>
          <w:szCs w:val="24"/>
        </w:rPr>
        <w:t xml:space="preserve">first </w:t>
      </w:r>
      <w:r w:rsidR="00D673D0">
        <w:rPr>
          <w:rFonts w:cs="Calibri"/>
          <w:kern w:val="28"/>
          <w:szCs w:val="24"/>
        </w:rPr>
        <w:t>two</w:t>
      </w:r>
      <w:r w:rsidRPr="007E16DA">
        <w:rPr>
          <w:rFonts w:cs="Calibri"/>
          <w:kern w:val="28"/>
          <w:szCs w:val="24"/>
        </w:rPr>
        <w:t xml:space="preserve"> performance measures </w:t>
      </w:r>
      <w:r w:rsidR="00CD0074" w:rsidRPr="007E16DA">
        <w:rPr>
          <w:rFonts w:cs="Calibri"/>
          <w:kern w:val="28"/>
          <w:szCs w:val="24"/>
        </w:rPr>
        <w:t>assess</w:t>
      </w:r>
      <w:r w:rsidRPr="007E16DA">
        <w:rPr>
          <w:rFonts w:cs="Calibri"/>
          <w:kern w:val="28"/>
          <w:szCs w:val="24"/>
        </w:rPr>
        <w:t xml:space="preserve"> the percent of person-miles traveled on the Interstate or the non-Interstate NHS that are reliable</w:t>
      </w:r>
      <w:r w:rsidR="00807DB7">
        <w:rPr>
          <w:rFonts w:cs="Calibri"/>
          <w:kern w:val="28"/>
          <w:szCs w:val="24"/>
        </w:rPr>
        <w:t xml:space="preserve">. </w:t>
      </w:r>
      <w:r w:rsidR="00735DFC">
        <w:rPr>
          <w:rFonts w:cs="Calibri"/>
          <w:kern w:val="28"/>
          <w:szCs w:val="24"/>
        </w:rPr>
        <w:t>R</w:t>
      </w:r>
      <w:r w:rsidR="00D673D0">
        <w:rPr>
          <w:rFonts w:cs="Calibri"/>
          <w:kern w:val="28"/>
          <w:szCs w:val="24"/>
        </w:rPr>
        <w:t>eliability</w:t>
      </w:r>
      <w:r w:rsidRPr="007E16DA">
        <w:rPr>
          <w:rFonts w:cs="Calibri"/>
          <w:kern w:val="28"/>
          <w:szCs w:val="24"/>
        </w:rPr>
        <w:t xml:space="preserve"> is defined as the ratio of longer travel times to a normal travel </w:t>
      </w:r>
      <w:r w:rsidR="00653195" w:rsidRPr="007E16DA">
        <w:rPr>
          <w:rFonts w:cs="Calibri"/>
          <w:kern w:val="28"/>
          <w:szCs w:val="24"/>
        </w:rPr>
        <w:t>time over</w:t>
      </w:r>
      <w:r w:rsidRPr="007E16DA">
        <w:rPr>
          <w:rFonts w:cs="Calibri"/>
          <w:kern w:val="28"/>
          <w:szCs w:val="24"/>
        </w:rPr>
        <w:t xml:space="preserve"> of all applicable roads,</w:t>
      </w:r>
      <w:r w:rsidR="008B194B">
        <w:rPr>
          <w:rFonts w:cs="Calibri"/>
          <w:kern w:val="28"/>
          <w:szCs w:val="24"/>
        </w:rPr>
        <w:t xml:space="preserve"> across four time periods</w:t>
      </w:r>
      <w:r w:rsidRPr="007E16DA">
        <w:rPr>
          <w:rFonts w:cs="Calibri"/>
          <w:kern w:val="28"/>
          <w:szCs w:val="24"/>
        </w:rPr>
        <w:t xml:space="preserve"> between the hours of 6 a.m. and 8 p.m. each day</w:t>
      </w:r>
      <w:r w:rsidR="00595C57">
        <w:rPr>
          <w:rFonts w:cs="Calibri"/>
          <w:bCs/>
          <w:color w:val="000000"/>
          <w:kern w:val="36"/>
          <w:szCs w:val="24"/>
        </w:rPr>
        <w:t>.</w:t>
      </w:r>
    </w:p>
    <w:p w14:paraId="08F1F738" w14:textId="7C77357D" w:rsidR="007E16DA" w:rsidRPr="007E16DA" w:rsidRDefault="007E16DA" w:rsidP="00CD56B1">
      <w:pPr>
        <w:rPr>
          <w:rFonts w:cs="Calibri"/>
          <w:kern w:val="28"/>
          <w:szCs w:val="24"/>
        </w:rPr>
      </w:pPr>
      <w:r w:rsidRPr="007E16DA">
        <w:rPr>
          <w:rFonts w:cs="Calibri"/>
          <w:kern w:val="28"/>
          <w:szCs w:val="24"/>
        </w:rPr>
        <w:t xml:space="preserve">The </w:t>
      </w:r>
      <w:r w:rsidR="001F2D73">
        <w:rPr>
          <w:rFonts w:cs="Calibri"/>
          <w:kern w:val="28"/>
          <w:szCs w:val="24"/>
        </w:rPr>
        <w:t xml:space="preserve">third </w:t>
      </w:r>
      <w:r w:rsidRPr="007E16DA">
        <w:rPr>
          <w:rFonts w:cs="Calibri"/>
          <w:kern w:val="28"/>
          <w:szCs w:val="24"/>
        </w:rPr>
        <w:t xml:space="preserve">performance measure assesses the reliability </w:t>
      </w:r>
      <w:r w:rsidR="00D673D0">
        <w:rPr>
          <w:rFonts w:cs="Calibri"/>
          <w:kern w:val="28"/>
          <w:szCs w:val="24"/>
        </w:rPr>
        <w:t>of</w:t>
      </w:r>
      <w:r w:rsidRPr="007E16DA">
        <w:rPr>
          <w:rFonts w:cs="Calibri"/>
          <w:kern w:val="28"/>
          <w:szCs w:val="24"/>
        </w:rPr>
        <w:t xml:space="preserve"> truck travel on the </w:t>
      </w:r>
      <w:r w:rsidR="00D673D0">
        <w:rPr>
          <w:rFonts w:cs="Calibri"/>
          <w:kern w:val="28"/>
          <w:szCs w:val="24"/>
        </w:rPr>
        <w:t>I</w:t>
      </w:r>
      <w:r w:rsidRPr="007E16DA">
        <w:rPr>
          <w:rFonts w:cs="Calibri"/>
          <w:kern w:val="28"/>
          <w:szCs w:val="24"/>
        </w:rPr>
        <w:t>nterstate</w:t>
      </w:r>
      <w:r w:rsidR="00D673D0">
        <w:rPr>
          <w:rFonts w:cs="Calibri"/>
          <w:kern w:val="28"/>
          <w:szCs w:val="24"/>
        </w:rPr>
        <w:t xml:space="preserve"> system</w:t>
      </w:r>
      <w:r w:rsidR="007026A1">
        <w:rPr>
          <w:rFonts w:cs="Calibri"/>
          <w:kern w:val="28"/>
          <w:szCs w:val="24"/>
        </w:rPr>
        <w:t xml:space="preserve">. </w:t>
      </w:r>
      <w:r w:rsidR="00CD701A">
        <w:rPr>
          <w:rFonts w:cs="Calibri"/>
          <w:kern w:val="28"/>
          <w:szCs w:val="24"/>
        </w:rPr>
        <w:t xml:space="preserve">The </w:t>
      </w:r>
      <w:r w:rsidRPr="007E16DA">
        <w:rPr>
          <w:rFonts w:cs="Calibri"/>
          <w:kern w:val="28"/>
          <w:szCs w:val="24"/>
        </w:rPr>
        <w:t xml:space="preserve">TTTR </w:t>
      </w:r>
      <w:r w:rsidR="002C214C">
        <w:rPr>
          <w:rFonts w:cs="Calibri"/>
          <w:kern w:val="28"/>
          <w:szCs w:val="24"/>
        </w:rPr>
        <w:t>assess</w:t>
      </w:r>
      <w:r w:rsidR="000D63A7">
        <w:rPr>
          <w:rFonts w:cs="Calibri"/>
          <w:kern w:val="28"/>
          <w:szCs w:val="24"/>
        </w:rPr>
        <w:t>es</w:t>
      </w:r>
      <w:r w:rsidR="002C214C">
        <w:rPr>
          <w:rFonts w:cs="Calibri"/>
          <w:kern w:val="28"/>
          <w:szCs w:val="24"/>
        </w:rPr>
        <w:t xml:space="preserve"> how reliable the Interstate network is </w:t>
      </w:r>
      <w:r w:rsidR="007D2A53">
        <w:rPr>
          <w:rFonts w:cs="Calibri"/>
          <w:kern w:val="28"/>
          <w:szCs w:val="24"/>
        </w:rPr>
        <w:t xml:space="preserve">by comparing the worst travel times for trucks against </w:t>
      </w:r>
      <w:r w:rsidR="00D86F7E">
        <w:rPr>
          <w:rFonts w:cs="Calibri"/>
          <w:kern w:val="28"/>
          <w:szCs w:val="24"/>
        </w:rPr>
        <w:t xml:space="preserve">the travel time they typically experience. </w:t>
      </w:r>
    </w:p>
    <w:p w14:paraId="6C6208A1" w14:textId="6F73E20E" w:rsidR="00E53C6D" w:rsidRDefault="00E53C6D" w:rsidP="00E53C6D">
      <w:pPr>
        <w:pStyle w:val="Heading2"/>
      </w:pPr>
      <w:bookmarkStart w:id="25" w:name="_Toc97743204"/>
      <w:bookmarkStart w:id="26" w:name="_Toc126264201"/>
      <w:r>
        <w:t>5.1 System Performance and Freight T</w:t>
      </w:r>
      <w:r w:rsidRPr="007E16DA">
        <w:t>arget</w:t>
      </w:r>
      <w:r>
        <w:t>s</w:t>
      </w:r>
      <w:bookmarkEnd w:id="25"/>
      <w:bookmarkEnd w:id="26"/>
    </w:p>
    <w:p w14:paraId="476E898C" w14:textId="599344D5" w:rsidR="00DD7D5D" w:rsidRPr="00902A8B" w:rsidRDefault="00DD7D5D" w:rsidP="00DD7D5D">
      <w:pPr>
        <w:pStyle w:val="Heading3"/>
        <w:spacing w:before="0"/>
      </w:pPr>
      <w:r>
        <w:t>5</w:t>
      </w:r>
      <w:r w:rsidRPr="00902A8B">
        <w:t>.1.1 Statewide Targets</w:t>
      </w:r>
    </w:p>
    <w:p w14:paraId="0F2B83D4" w14:textId="30D973BF" w:rsidR="00DD7D5D" w:rsidRDefault="00283F9B" w:rsidP="00BC5E8B">
      <w:pPr>
        <w:tabs>
          <w:tab w:val="left" w:pos="2250"/>
        </w:tabs>
        <w:rPr>
          <w:rFonts w:cs="Calibri"/>
          <w:kern w:val="28"/>
          <w:szCs w:val="24"/>
        </w:rPr>
      </w:pPr>
      <w:r>
        <w:rPr>
          <w:rFonts w:cs="Calibri"/>
          <w:kern w:val="28"/>
          <w:szCs w:val="24"/>
        </w:rPr>
        <w:t>F</w:t>
      </w:r>
      <w:r w:rsidR="007E16DA" w:rsidRPr="007E16DA">
        <w:rPr>
          <w:rFonts w:cs="Calibri"/>
          <w:kern w:val="28"/>
          <w:szCs w:val="24"/>
        </w:rPr>
        <w:t xml:space="preserve">ederal rules require </w:t>
      </w:r>
      <w:r w:rsidR="00600688">
        <w:rPr>
          <w:rFonts w:cs="Calibri"/>
          <w:kern w:val="28"/>
          <w:szCs w:val="24"/>
        </w:rPr>
        <w:t xml:space="preserve">state </w:t>
      </w:r>
      <w:r w:rsidR="00AB0D0E">
        <w:rPr>
          <w:rFonts w:cs="Calibri"/>
          <w:kern w:val="28"/>
          <w:szCs w:val="24"/>
        </w:rPr>
        <w:t>DOTs</w:t>
      </w:r>
      <w:r w:rsidR="00E53C6D">
        <w:rPr>
          <w:rFonts w:cs="Calibri"/>
          <w:kern w:val="28"/>
          <w:szCs w:val="24"/>
        </w:rPr>
        <w:t xml:space="preserve"> to establish </w:t>
      </w:r>
      <w:r w:rsidR="00DD7D5D">
        <w:rPr>
          <w:rFonts w:cs="Calibri"/>
          <w:kern w:val="28"/>
          <w:szCs w:val="24"/>
        </w:rPr>
        <w:t xml:space="preserve">two-year and four-year targets for the system performance and freight targets. On </w:t>
      </w:r>
      <w:r w:rsidR="00090C8E">
        <w:rPr>
          <w:rFonts w:cs="Calibri"/>
          <w:kern w:val="28"/>
          <w:szCs w:val="24"/>
        </w:rPr>
        <w:t>December 16</w:t>
      </w:r>
      <w:r w:rsidR="00DD7D5D">
        <w:rPr>
          <w:rFonts w:cs="Calibri"/>
          <w:kern w:val="28"/>
          <w:szCs w:val="24"/>
        </w:rPr>
        <w:t>, 20</w:t>
      </w:r>
      <w:r w:rsidR="0094541A">
        <w:rPr>
          <w:rFonts w:cs="Calibri"/>
          <w:kern w:val="28"/>
          <w:szCs w:val="24"/>
        </w:rPr>
        <w:t>22</w:t>
      </w:r>
      <w:r w:rsidR="00DD7D5D">
        <w:rPr>
          <w:rFonts w:cs="Calibri"/>
          <w:kern w:val="28"/>
          <w:szCs w:val="24"/>
        </w:rPr>
        <w:t>, FDOT established statewide performance targets</w:t>
      </w:r>
      <w:r w:rsidR="00F21468">
        <w:rPr>
          <w:rFonts w:cs="Calibri"/>
          <w:kern w:val="28"/>
          <w:szCs w:val="24"/>
        </w:rPr>
        <w:t xml:space="preserve"> for the </w:t>
      </w:r>
      <w:r w:rsidR="0094541A">
        <w:rPr>
          <w:rFonts w:cs="Calibri"/>
          <w:kern w:val="28"/>
          <w:szCs w:val="24"/>
        </w:rPr>
        <w:t>second</w:t>
      </w:r>
      <w:r w:rsidR="00F21468">
        <w:rPr>
          <w:rFonts w:cs="Calibri"/>
          <w:kern w:val="28"/>
          <w:szCs w:val="24"/>
        </w:rPr>
        <w:t xml:space="preserve"> performance period ending in 202</w:t>
      </w:r>
      <w:r w:rsidR="0094541A">
        <w:rPr>
          <w:rFonts w:cs="Calibri"/>
          <w:kern w:val="28"/>
          <w:szCs w:val="24"/>
        </w:rPr>
        <w:t>5</w:t>
      </w:r>
      <w:r w:rsidR="00DD7D5D">
        <w:rPr>
          <w:rFonts w:cs="Calibri"/>
          <w:kern w:val="28"/>
          <w:szCs w:val="24"/>
        </w:rPr>
        <w:t xml:space="preserve">. </w:t>
      </w:r>
      <w:r w:rsidR="00262439">
        <w:rPr>
          <w:rFonts w:cs="Calibri"/>
          <w:kern w:val="28"/>
          <w:szCs w:val="24"/>
        </w:rPr>
        <w:t xml:space="preserve">These targets are identical to those set for 2019 and 2021, respectively. Florida’s performance through 2021 exceeds the targets. </w:t>
      </w:r>
      <w:r w:rsidR="00DD7D5D">
        <w:rPr>
          <w:rFonts w:cs="Calibri"/>
          <w:kern w:val="28"/>
          <w:szCs w:val="24"/>
        </w:rPr>
        <w:t>T</w:t>
      </w:r>
      <w:r w:rsidR="00DD7D5D" w:rsidRPr="008C5D75">
        <w:rPr>
          <w:rFonts w:cs="Calibri"/>
          <w:kern w:val="28"/>
          <w:szCs w:val="24"/>
        </w:rPr>
        <w:t xml:space="preserve">he two-year </w:t>
      </w:r>
      <w:r w:rsidR="00DD7D5D">
        <w:rPr>
          <w:rFonts w:cs="Calibri"/>
          <w:kern w:val="28"/>
          <w:szCs w:val="24"/>
        </w:rPr>
        <w:t xml:space="preserve">targets </w:t>
      </w:r>
      <w:r w:rsidR="00DD7D5D" w:rsidRPr="008C5D75">
        <w:rPr>
          <w:rFonts w:cs="Calibri"/>
          <w:kern w:val="28"/>
          <w:szCs w:val="24"/>
        </w:rPr>
        <w:t xml:space="preserve">represent </w:t>
      </w:r>
      <w:r w:rsidR="00DD7D5D">
        <w:rPr>
          <w:rFonts w:cs="Calibri"/>
          <w:kern w:val="28"/>
          <w:szCs w:val="24"/>
        </w:rPr>
        <w:t xml:space="preserve">performance </w:t>
      </w:r>
      <w:r w:rsidR="00DD7D5D" w:rsidRPr="008C5D75">
        <w:rPr>
          <w:rFonts w:cs="Calibri"/>
          <w:kern w:val="28"/>
          <w:szCs w:val="24"/>
        </w:rPr>
        <w:t>at the end of calendar year 20</w:t>
      </w:r>
      <w:r w:rsidR="0094541A">
        <w:rPr>
          <w:rFonts w:cs="Calibri"/>
          <w:kern w:val="28"/>
          <w:szCs w:val="24"/>
        </w:rPr>
        <w:t>23</w:t>
      </w:r>
      <w:r w:rsidR="00DD7D5D">
        <w:rPr>
          <w:rFonts w:cs="Calibri"/>
          <w:kern w:val="28"/>
          <w:szCs w:val="24"/>
        </w:rPr>
        <w:t xml:space="preserve">, while the four-year targets represent performance at the end of </w:t>
      </w:r>
      <w:r w:rsidR="00DD7D5D" w:rsidRPr="008C5D75">
        <w:rPr>
          <w:rFonts w:cs="Calibri"/>
          <w:kern w:val="28"/>
          <w:szCs w:val="24"/>
        </w:rPr>
        <w:t>202</w:t>
      </w:r>
      <w:r w:rsidR="0094541A">
        <w:rPr>
          <w:rFonts w:cs="Calibri"/>
          <w:kern w:val="28"/>
          <w:szCs w:val="24"/>
        </w:rPr>
        <w:t>5</w:t>
      </w:r>
      <w:r w:rsidR="007026A1" w:rsidRPr="008C5D75">
        <w:rPr>
          <w:rFonts w:cs="Calibri"/>
          <w:kern w:val="28"/>
          <w:szCs w:val="24"/>
        </w:rPr>
        <w:t xml:space="preserve">. </w:t>
      </w:r>
      <w:r w:rsidR="00DD7D5D">
        <w:rPr>
          <w:rFonts w:cs="Calibri"/>
          <w:kern w:val="28"/>
          <w:szCs w:val="24"/>
        </w:rPr>
        <w:t>Table 5.1 presents the statewide targets.</w:t>
      </w:r>
    </w:p>
    <w:p w14:paraId="011438D2" w14:textId="04583401" w:rsidR="00CD56B1" w:rsidRDefault="00CD56B1" w:rsidP="00922E8F">
      <w:pPr>
        <w:spacing w:after="120"/>
        <w:rPr>
          <w:b/>
        </w:rPr>
      </w:pPr>
      <w:r>
        <w:rPr>
          <w:b/>
        </w:rPr>
        <w:lastRenderedPageBreak/>
        <w:t xml:space="preserve">Table </w:t>
      </w:r>
      <w:r w:rsidR="003B3907">
        <w:rPr>
          <w:b/>
        </w:rPr>
        <w:t>5</w:t>
      </w:r>
      <w:r>
        <w:rPr>
          <w:b/>
        </w:rPr>
        <w:t>.1.  Statewide System Performance and Freight Targets</w:t>
      </w:r>
    </w:p>
    <w:tbl>
      <w:tblPr>
        <w:tblW w:w="9081" w:type="dxa"/>
        <w:tblInd w:w="9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43" w:type="dxa"/>
          <w:right w:w="43" w:type="dxa"/>
        </w:tblCellMar>
        <w:tblLook w:val="01E0" w:firstRow="1" w:lastRow="1" w:firstColumn="1" w:lastColumn="1" w:noHBand="0" w:noVBand="0"/>
      </w:tblPr>
      <w:tblGrid>
        <w:gridCol w:w="5481"/>
        <w:gridCol w:w="1890"/>
        <w:gridCol w:w="1710"/>
      </w:tblGrid>
      <w:tr w:rsidR="00F469D2" w:rsidRPr="007E16DA" w14:paraId="495056E3" w14:textId="47945639" w:rsidTr="002266EC">
        <w:tc>
          <w:tcPr>
            <w:tcW w:w="5481" w:type="dxa"/>
            <w:vAlign w:val="center"/>
          </w:tcPr>
          <w:p w14:paraId="77728724" w14:textId="77777777" w:rsidR="00F469D2" w:rsidRPr="007E16DA" w:rsidRDefault="00F469D2" w:rsidP="0000371F">
            <w:pPr>
              <w:pStyle w:val="TableHeadText"/>
            </w:pPr>
            <w:r w:rsidRPr="007E16DA">
              <w:t>Performance Measure</w:t>
            </w:r>
          </w:p>
        </w:tc>
        <w:tc>
          <w:tcPr>
            <w:tcW w:w="1890" w:type="dxa"/>
            <w:vAlign w:val="bottom"/>
          </w:tcPr>
          <w:p w14:paraId="3A27B9AB" w14:textId="74EEA078" w:rsidR="00F469D2" w:rsidRPr="007E16DA" w:rsidRDefault="00F469D2" w:rsidP="0000371F">
            <w:pPr>
              <w:pStyle w:val="TableHeadText"/>
              <w:jc w:val="center"/>
            </w:pPr>
            <w:r w:rsidRPr="0094541A">
              <w:t>2</w:t>
            </w:r>
            <w:r w:rsidR="002508B2" w:rsidRPr="0094541A">
              <w:t>0</w:t>
            </w:r>
            <w:r w:rsidR="0094541A">
              <w:t>23</w:t>
            </w:r>
            <w:r w:rsidRPr="007E16DA">
              <w:t xml:space="preserve"> Statewide Target</w:t>
            </w:r>
          </w:p>
        </w:tc>
        <w:tc>
          <w:tcPr>
            <w:tcW w:w="1710" w:type="dxa"/>
            <w:vAlign w:val="center"/>
          </w:tcPr>
          <w:p w14:paraId="2EF0072F" w14:textId="018F18F4" w:rsidR="00F469D2" w:rsidRPr="007E16DA" w:rsidRDefault="002508B2" w:rsidP="0000371F">
            <w:pPr>
              <w:pStyle w:val="TableHeadText"/>
              <w:jc w:val="center"/>
            </w:pPr>
            <w:r w:rsidRPr="0094541A">
              <w:t>20</w:t>
            </w:r>
            <w:r w:rsidR="0094541A">
              <w:t>25</w:t>
            </w:r>
            <w:r w:rsidR="00F469D2" w:rsidRPr="007E16DA">
              <w:t xml:space="preserve"> Statewide Target</w:t>
            </w:r>
          </w:p>
        </w:tc>
      </w:tr>
      <w:tr w:rsidR="00F469D2" w:rsidRPr="007E16DA" w14:paraId="146DD5A5" w14:textId="7E0859CC" w:rsidTr="002266EC">
        <w:tc>
          <w:tcPr>
            <w:tcW w:w="5481" w:type="dxa"/>
            <w:shd w:val="clear" w:color="auto" w:fill="F1F1F1"/>
            <w:vAlign w:val="center"/>
          </w:tcPr>
          <w:p w14:paraId="2A2220E0" w14:textId="7523D57A" w:rsidR="00F469D2" w:rsidRPr="007E16DA" w:rsidRDefault="00F469D2" w:rsidP="0000371F">
            <w:pPr>
              <w:pStyle w:val="TableBodyText"/>
            </w:pPr>
            <w:r w:rsidRPr="007E16DA">
              <w:t xml:space="preserve">Percent of person-miles </w:t>
            </w:r>
            <w:r w:rsidR="00EB67BD">
              <w:t xml:space="preserve">traveled </w:t>
            </w:r>
            <w:r w:rsidRPr="007E16DA">
              <w:t xml:space="preserve">on the Interstate system that are reliable </w:t>
            </w:r>
          </w:p>
        </w:tc>
        <w:tc>
          <w:tcPr>
            <w:tcW w:w="1890" w:type="dxa"/>
            <w:shd w:val="clear" w:color="auto" w:fill="F1F1F1"/>
            <w:vAlign w:val="center"/>
          </w:tcPr>
          <w:p w14:paraId="7A54061E" w14:textId="213A3C7B" w:rsidR="00F469D2" w:rsidRPr="007E16DA" w:rsidRDefault="00F469D2" w:rsidP="0000371F">
            <w:pPr>
              <w:pStyle w:val="TableBodyText"/>
              <w:jc w:val="center"/>
            </w:pPr>
            <w:r w:rsidRPr="007E16DA">
              <w:t>75</w:t>
            </w:r>
            <w:r w:rsidR="00700BE5">
              <w:t>.0</w:t>
            </w:r>
            <w:r w:rsidRPr="007E16DA">
              <w:t>%</w:t>
            </w:r>
          </w:p>
        </w:tc>
        <w:tc>
          <w:tcPr>
            <w:tcW w:w="1710" w:type="dxa"/>
            <w:shd w:val="clear" w:color="auto" w:fill="F1F1F1"/>
            <w:vAlign w:val="center"/>
          </w:tcPr>
          <w:p w14:paraId="047B9773" w14:textId="01642299" w:rsidR="00F469D2" w:rsidRPr="007E16DA" w:rsidRDefault="00F469D2" w:rsidP="0000371F">
            <w:pPr>
              <w:pStyle w:val="TableBodyText"/>
              <w:jc w:val="center"/>
            </w:pPr>
            <w:r w:rsidRPr="007E16DA">
              <w:t>70</w:t>
            </w:r>
            <w:r w:rsidR="005119A4">
              <w:t>.0</w:t>
            </w:r>
            <w:r w:rsidRPr="007E16DA">
              <w:t>%</w:t>
            </w:r>
          </w:p>
        </w:tc>
      </w:tr>
      <w:tr w:rsidR="00F469D2" w:rsidRPr="007E16DA" w14:paraId="6A7674D9" w14:textId="76D31A1F" w:rsidTr="002266EC">
        <w:tc>
          <w:tcPr>
            <w:tcW w:w="5481" w:type="dxa"/>
            <w:vAlign w:val="center"/>
          </w:tcPr>
          <w:p w14:paraId="54A9DDA0" w14:textId="668117E9" w:rsidR="00F469D2" w:rsidRPr="007E16DA" w:rsidRDefault="00F469D2" w:rsidP="0000371F">
            <w:pPr>
              <w:pStyle w:val="TableBodyText"/>
            </w:pPr>
            <w:r w:rsidRPr="007E16DA">
              <w:t xml:space="preserve">Percent of person-miles </w:t>
            </w:r>
            <w:r w:rsidR="00FE0D68">
              <w:t xml:space="preserve">traveled </w:t>
            </w:r>
            <w:r w:rsidRPr="007E16DA">
              <w:t xml:space="preserve">on the non-Interstate NHS that are reliable </w:t>
            </w:r>
          </w:p>
        </w:tc>
        <w:tc>
          <w:tcPr>
            <w:tcW w:w="1890" w:type="dxa"/>
            <w:vAlign w:val="center"/>
          </w:tcPr>
          <w:p w14:paraId="13A8364B" w14:textId="522F0935" w:rsidR="00F469D2" w:rsidRPr="00F828D2" w:rsidRDefault="009B40FD" w:rsidP="0000371F">
            <w:pPr>
              <w:pStyle w:val="TableBodyText"/>
              <w:jc w:val="center"/>
              <w:rPr>
                <w:vertAlign w:val="superscript"/>
              </w:rPr>
            </w:pPr>
            <w:r w:rsidRPr="007E16DA">
              <w:t>50</w:t>
            </w:r>
            <w:r w:rsidR="00700BE5">
              <w:t>.0</w:t>
            </w:r>
            <w:r w:rsidRPr="007E16DA">
              <w:t>%</w:t>
            </w:r>
          </w:p>
        </w:tc>
        <w:tc>
          <w:tcPr>
            <w:tcW w:w="1710" w:type="dxa"/>
            <w:vAlign w:val="center"/>
          </w:tcPr>
          <w:p w14:paraId="373795B1" w14:textId="799003BF" w:rsidR="00F469D2" w:rsidRPr="007E16DA" w:rsidRDefault="00F469D2" w:rsidP="0000371F">
            <w:pPr>
              <w:pStyle w:val="TableBodyText"/>
              <w:jc w:val="center"/>
            </w:pPr>
            <w:r w:rsidRPr="007E16DA">
              <w:t>50</w:t>
            </w:r>
            <w:r w:rsidR="005119A4">
              <w:t>.0</w:t>
            </w:r>
            <w:r w:rsidRPr="007E16DA">
              <w:t>%</w:t>
            </w:r>
          </w:p>
        </w:tc>
      </w:tr>
      <w:tr w:rsidR="00F469D2" w:rsidRPr="007E16DA" w14:paraId="107F4094" w14:textId="17004FB5" w:rsidTr="002266EC">
        <w:tc>
          <w:tcPr>
            <w:tcW w:w="5481" w:type="dxa"/>
            <w:shd w:val="clear" w:color="auto" w:fill="F1F1F1"/>
            <w:vAlign w:val="center"/>
          </w:tcPr>
          <w:p w14:paraId="5D6DA8F5" w14:textId="2A765821" w:rsidR="00F469D2" w:rsidRPr="007E16DA" w:rsidRDefault="00F469D2" w:rsidP="0000371F">
            <w:pPr>
              <w:pStyle w:val="TableBodyText"/>
            </w:pPr>
            <w:r w:rsidRPr="007E16DA">
              <w:t xml:space="preserve">Truck travel time reliability </w:t>
            </w:r>
            <w:r w:rsidR="00125AE6">
              <w:t>(Interstate)</w:t>
            </w:r>
          </w:p>
        </w:tc>
        <w:tc>
          <w:tcPr>
            <w:tcW w:w="1890" w:type="dxa"/>
            <w:shd w:val="clear" w:color="auto" w:fill="F1F1F1"/>
            <w:vAlign w:val="center"/>
          </w:tcPr>
          <w:p w14:paraId="52F7B012" w14:textId="71811DE1" w:rsidR="00F469D2" w:rsidRPr="007E16DA" w:rsidRDefault="00F469D2" w:rsidP="0000371F">
            <w:pPr>
              <w:pStyle w:val="TableBodyText"/>
              <w:jc w:val="center"/>
            </w:pPr>
            <w:r w:rsidRPr="007E16DA">
              <w:t>1.75</w:t>
            </w:r>
          </w:p>
        </w:tc>
        <w:tc>
          <w:tcPr>
            <w:tcW w:w="1710" w:type="dxa"/>
            <w:shd w:val="clear" w:color="auto" w:fill="F1F1F1"/>
            <w:vAlign w:val="center"/>
          </w:tcPr>
          <w:p w14:paraId="032A800E" w14:textId="24ECB11F" w:rsidR="00F469D2" w:rsidRPr="007E16DA" w:rsidRDefault="00F469D2" w:rsidP="0000371F">
            <w:pPr>
              <w:pStyle w:val="TableBodyText"/>
              <w:jc w:val="center"/>
            </w:pPr>
            <w:r w:rsidRPr="007E16DA">
              <w:t>2.00</w:t>
            </w:r>
          </w:p>
        </w:tc>
      </w:tr>
    </w:tbl>
    <w:p w14:paraId="7CDD16AD" w14:textId="77777777" w:rsidR="00CD56B1" w:rsidRPr="007E16DA" w:rsidRDefault="00CD56B1" w:rsidP="00CD56B1">
      <w:pPr>
        <w:rPr>
          <w:rFonts w:cs="Calibri"/>
          <w:kern w:val="28"/>
          <w:szCs w:val="24"/>
        </w:rPr>
      </w:pPr>
    </w:p>
    <w:p w14:paraId="6C932EAB" w14:textId="4772B30F" w:rsidR="00CD56B1" w:rsidRDefault="00CD56B1" w:rsidP="00CB7329">
      <w:pPr>
        <w:keepNext/>
        <w:keepLines/>
        <w:rPr>
          <w:rFonts w:cs="Calibri"/>
          <w:kern w:val="28"/>
          <w:szCs w:val="24"/>
        </w:rPr>
      </w:pPr>
      <w:r>
        <w:rPr>
          <w:rFonts w:cs="Calibri"/>
          <w:kern w:val="28"/>
          <w:szCs w:val="24"/>
        </w:rPr>
        <w:t xml:space="preserve">For comparative purposes, </w:t>
      </w:r>
      <w:r w:rsidR="00C87796">
        <w:rPr>
          <w:rFonts w:cs="Calibri"/>
          <w:kern w:val="28"/>
          <w:szCs w:val="24"/>
        </w:rPr>
        <w:t>baseline (20</w:t>
      </w:r>
      <w:r w:rsidR="003F7A6F">
        <w:rPr>
          <w:rFonts w:cs="Calibri"/>
          <w:kern w:val="28"/>
          <w:szCs w:val="24"/>
        </w:rPr>
        <w:t>21</w:t>
      </w:r>
      <w:r w:rsidR="00C87796">
        <w:rPr>
          <w:rFonts w:cs="Calibri"/>
          <w:kern w:val="28"/>
          <w:szCs w:val="24"/>
        </w:rPr>
        <w:t xml:space="preserve">) </w:t>
      </w:r>
      <w:r>
        <w:rPr>
          <w:rFonts w:cs="Calibri"/>
          <w:kern w:val="28"/>
          <w:szCs w:val="24"/>
        </w:rPr>
        <w:t xml:space="preserve">statewide conditions are as follows:  </w:t>
      </w:r>
    </w:p>
    <w:p w14:paraId="43FA21A8" w14:textId="03234CAE" w:rsidR="00CD56B1" w:rsidRPr="00742D43" w:rsidRDefault="0088288F" w:rsidP="0000371F">
      <w:pPr>
        <w:pStyle w:val="ListBullet"/>
      </w:pPr>
      <w:r>
        <w:t>87.5</w:t>
      </w:r>
      <w:r w:rsidR="00CD56B1" w:rsidRPr="00742D43">
        <w:t xml:space="preserve"> percent of person-miles traveled on the Interstate are reliable;</w:t>
      </w:r>
    </w:p>
    <w:p w14:paraId="6DE9F3AF" w14:textId="7C41654E" w:rsidR="00CD56B1" w:rsidRPr="00742D43" w:rsidRDefault="00A56475" w:rsidP="0000371F">
      <w:pPr>
        <w:pStyle w:val="ListBullet"/>
      </w:pPr>
      <w:r>
        <w:t>92.9</w:t>
      </w:r>
      <w:r w:rsidR="00CD56B1" w:rsidRPr="00742D43">
        <w:t xml:space="preserve"> percent of person-miles traveled on the non-Interstate are reliable; and</w:t>
      </w:r>
    </w:p>
    <w:p w14:paraId="43366F9E" w14:textId="73D86715" w:rsidR="00CD56B1" w:rsidRPr="00742D43" w:rsidRDefault="00A56475" w:rsidP="0000371F">
      <w:pPr>
        <w:pStyle w:val="ListBullet"/>
      </w:pPr>
      <w:r>
        <w:t>1.38</w:t>
      </w:r>
      <w:r w:rsidR="00CD56B1" w:rsidRPr="00742D43">
        <w:t xml:space="preserve"> truck travel time reliability index.</w:t>
      </w:r>
    </w:p>
    <w:p w14:paraId="32427B7D" w14:textId="3DD98753" w:rsidR="00CD56B1" w:rsidRDefault="00CD56B1" w:rsidP="00CD56B1">
      <w:pPr>
        <w:keepNext/>
        <w:keepLines/>
        <w:rPr>
          <w:rFonts w:cs="Calibri"/>
          <w:kern w:val="28"/>
          <w:szCs w:val="24"/>
        </w:rPr>
      </w:pPr>
      <w:r>
        <w:rPr>
          <w:rFonts w:cs="Calibri"/>
          <w:kern w:val="28"/>
          <w:szCs w:val="24"/>
        </w:rPr>
        <w:t xml:space="preserve">In establishing these targets, </w:t>
      </w:r>
      <w:r w:rsidRPr="00CD56B1">
        <w:rPr>
          <w:rFonts w:cs="Calibri"/>
          <w:kern w:val="28"/>
          <w:szCs w:val="24"/>
        </w:rPr>
        <w:t>FDOT reviewed external and internal factors that may affect reliability</w:t>
      </w:r>
      <w:r w:rsidR="002266EC">
        <w:rPr>
          <w:rFonts w:cs="Calibri"/>
          <w:kern w:val="28"/>
          <w:szCs w:val="24"/>
        </w:rPr>
        <w:t>,</w:t>
      </w:r>
      <w:r>
        <w:rPr>
          <w:rFonts w:cs="Calibri"/>
          <w:kern w:val="28"/>
          <w:szCs w:val="24"/>
        </w:rPr>
        <w:t xml:space="preserve"> analyzed travel time data from the </w:t>
      </w:r>
      <w:r w:rsidRPr="003D5401">
        <w:rPr>
          <w:rFonts w:cs="Calibri"/>
          <w:kern w:val="28"/>
          <w:szCs w:val="24"/>
        </w:rPr>
        <w:t>National Performance Management</w:t>
      </w:r>
      <w:r>
        <w:rPr>
          <w:rFonts w:cs="Calibri"/>
          <w:kern w:val="28"/>
          <w:szCs w:val="24"/>
        </w:rPr>
        <w:t xml:space="preserve"> </w:t>
      </w:r>
      <w:r w:rsidRPr="003D5401">
        <w:rPr>
          <w:rFonts w:cs="Calibri"/>
          <w:kern w:val="28"/>
          <w:szCs w:val="24"/>
        </w:rPr>
        <w:t>Research Dataset (NPMRDS)</w:t>
      </w:r>
      <w:r w:rsidR="002266EC">
        <w:rPr>
          <w:rFonts w:cs="Calibri"/>
          <w:kern w:val="28"/>
          <w:szCs w:val="24"/>
        </w:rPr>
        <w:t>,</w:t>
      </w:r>
      <w:r>
        <w:rPr>
          <w:rFonts w:cs="Calibri"/>
          <w:kern w:val="28"/>
          <w:szCs w:val="24"/>
        </w:rPr>
        <w:t xml:space="preserve"> </w:t>
      </w:r>
      <w:r w:rsidRPr="00CD56B1">
        <w:rPr>
          <w:rFonts w:cs="Calibri"/>
          <w:kern w:val="28"/>
          <w:szCs w:val="24"/>
        </w:rPr>
        <w:t xml:space="preserve">and developed a sensitivity analysis indicating the level of risk for road segments to become unreliable. </w:t>
      </w:r>
    </w:p>
    <w:p w14:paraId="7BC63F1E" w14:textId="33CF561D" w:rsidR="006A483F" w:rsidRDefault="006A483F" w:rsidP="00CB7329">
      <w:pPr>
        <w:tabs>
          <w:tab w:val="left" w:pos="2250"/>
        </w:tabs>
        <w:rPr>
          <w:rFonts w:cs="Calibri"/>
          <w:bCs/>
          <w:color w:val="000000"/>
          <w:kern w:val="36"/>
          <w:szCs w:val="24"/>
        </w:rPr>
      </w:pPr>
      <w:r w:rsidRPr="006F07C7">
        <w:rPr>
          <w:rFonts w:cs="Calibri"/>
          <w:bCs/>
          <w:color w:val="000000"/>
          <w:kern w:val="36"/>
          <w:szCs w:val="24"/>
        </w:rPr>
        <w:t xml:space="preserve">FDOT collects and reports reliability data to FHWA each year to track performance and progress toward the reliability targets. </w:t>
      </w:r>
      <w:r w:rsidR="00453376">
        <w:rPr>
          <w:rFonts w:cs="Calibri"/>
          <w:bCs/>
          <w:color w:val="000000"/>
          <w:kern w:val="36"/>
          <w:szCs w:val="24"/>
        </w:rPr>
        <w:t xml:space="preserve">Performance </w:t>
      </w:r>
      <w:r w:rsidR="001F2D73">
        <w:rPr>
          <w:rFonts w:cs="Calibri"/>
          <w:bCs/>
          <w:color w:val="000000"/>
          <w:kern w:val="36"/>
          <w:szCs w:val="24"/>
        </w:rPr>
        <w:t>for</w:t>
      </w:r>
      <w:r w:rsidR="00453376">
        <w:rPr>
          <w:rFonts w:cs="Calibri"/>
          <w:bCs/>
          <w:color w:val="000000"/>
          <w:kern w:val="36"/>
          <w:szCs w:val="24"/>
        </w:rPr>
        <w:t xml:space="preserve"> all three measures improved </w:t>
      </w:r>
      <w:r w:rsidR="001F2D73">
        <w:rPr>
          <w:rFonts w:cs="Calibri"/>
          <w:bCs/>
          <w:color w:val="000000"/>
          <w:kern w:val="36"/>
          <w:szCs w:val="24"/>
        </w:rPr>
        <w:t xml:space="preserve">from </w:t>
      </w:r>
      <w:r w:rsidR="00453376">
        <w:rPr>
          <w:rFonts w:cs="Calibri"/>
          <w:bCs/>
          <w:color w:val="000000"/>
          <w:kern w:val="36"/>
          <w:szCs w:val="24"/>
        </w:rPr>
        <w:t>2017</w:t>
      </w:r>
      <w:r w:rsidR="001F2D73">
        <w:rPr>
          <w:rFonts w:cs="Calibri"/>
          <w:bCs/>
          <w:color w:val="000000"/>
          <w:kern w:val="36"/>
          <w:szCs w:val="24"/>
        </w:rPr>
        <w:t xml:space="preserve"> to 2021</w:t>
      </w:r>
      <w:r w:rsidR="00453376">
        <w:rPr>
          <w:rFonts w:cs="Calibri"/>
          <w:bCs/>
          <w:color w:val="000000"/>
          <w:kern w:val="36"/>
          <w:szCs w:val="24"/>
        </w:rPr>
        <w:t>, with some disruption in the trend during the global pandemic in 2020</w:t>
      </w:r>
      <w:r w:rsidRPr="006F07C7">
        <w:rPr>
          <w:rFonts w:cs="Calibri"/>
          <w:bCs/>
          <w:color w:val="000000"/>
          <w:kern w:val="36"/>
          <w:szCs w:val="24"/>
        </w:rPr>
        <w:t xml:space="preserve">. </w:t>
      </w:r>
      <w:r w:rsidR="002266EC" w:rsidRPr="006F07C7">
        <w:rPr>
          <w:rFonts w:cs="Calibri"/>
          <w:bCs/>
          <w:color w:val="000000"/>
          <w:kern w:val="36"/>
          <w:szCs w:val="24"/>
        </w:rPr>
        <w:t xml:space="preserve">Actual performance in 2019 was better than the 2019 targets, and in </w:t>
      </w:r>
      <w:r w:rsidRPr="006F07C7">
        <w:rPr>
          <w:rFonts w:cs="Calibri"/>
          <w:bCs/>
          <w:color w:val="000000"/>
          <w:kern w:val="36"/>
          <w:szCs w:val="24"/>
        </w:rPr>
        <w:t>early 2021 FHWA determin</w:t>
      </w:r>
      <w:r w:rsidR="00B05D40" w:rsidRPr="006F07C7">
        <w:rPr>
          <w:rFonts w:cs="Calibri"/>
          <w:bCs/>
          <w:color w:val="000000"/>
          <w:kern w:val="36"/>
          <w:szCs w:val="24"/>
        </w:rPr>
        <w:t>ed</w:t>
      </w:r>
      <w:r w:rsidRPr="006F07C7">
        <w:rPr>
          <w:rFonts w:cs="Calibri"/>
          <w:bCs/>
          <w:color w:val="000000"/>
          <w:kern w:val="36"/>
          <w:szCs w:val="24"/>
        </w:rPr>
        <w:t xml:space="preserve"> that FDOT made significant progress</w:t>
      </w:r>
      <w:r w:rsidR="00F64144" w:rsidRPr="006F07C7">
        <w:rPr>
          <w:rFonts w:cs="Calibri"/>
          <w:bCs/>
          <w:color w:val="000000"/>
          <w:kern w:val="36"/>
          <w:szCs w:val="24"/>
        </w:rPr>
        <w:t xml:space="preserve"> toward t</w:t>
      </w:r>
      <w:r w:rsidRPr="006F07C7">
        <w:rPr>
          <w:rFonts w:cs="Calibri"/>
          <w:bCs/>
          <w:color w:val="000000"/>
          <w:kern w:val="36"/>
          <w:szCs w:val="24"/>
        </w:rPr>
        <w:t xml:space="preserve">he </w:t>
      </w:r>
      <w:r w:rsidR="00F64144" w:rsidRPr="006F07C7">
        <w:rPr>
          <w:rFonts w:cs="Calibri"/>
          <w:bCs/>
          <w:color w:val="000000"/>
          <w:kern w:val="36"/>
          <w:szCs w:val="24"/>
        </w:rPr>
        <w:t>2019</w:t>
      </w:r>
      <w:r w:rsidRPr="006F07C7">
        <w:rPr>
          <w:rFonts w:cs="Calibri"/>
          <w:bCs/>
          <w:color w:val="000000"/>
          <w:kern w:val="36"/>
          <w:szCs w:val="24"/>
        </w:rPr>
        <w:t xml:space="preserve"> targets</w:t>
      </w:r>
      <w:r w:rsidR="007026A1" w:rsidRPr="006F07C7">
        <w:rPr>
          <w:rFonts w:cs="Calibri"/>
          <w:bCs/>
          <w:color w:val="000000"/>
          <w:kern w:val="36"/>
          <w:szCs w:val="24"/>
        </w:rPr>
        <w:t xml:space="preserve">. </w:t>
      </w:r>
      <w:r w:rsidR="00453376">
        <w:rPr>
          <w:rFonts w:cs="Calibri"/>
          <w:bCs/>
          <w:color w:val="000000"/>
          <w:kern w:val="36"/>
          <w:szCs w:val="24"/>
        </w:rPr>
        <w:t>FHWA’s assessment of progress toward the 2021 targets is anticipated to be released in March 2023.</w:t>
      </w:r>
    </w:p>
    <w:p w14:paraId="3C9A2E83" w14:textId="3C530813" w:rsidR="00456520" w:rsidRDefault="00456520" w:rsidP="0000371F">
      <w:pPr>
        <w:rPr>
          <w:rFonts w:cs="Calibri"/>
          <w:kern w:val="28"/>
          <w:szCs w:val="24"/>
        </w:rPr>
      </w:pPr>
      <w:r>
        <w:t xml:space="preserve">The methodologies for the PM3 measures are still relatively new, and the travel time data source has changed since the measures were first introduced. As a result, FDOT only has three years </w:t>
      </w:r>
      <w:r w:rsidR="001664CC">
        <w:t xml:space="preserve">(2017-2019) </w:t>
      </w:r>
      <w:r>
        <w:t>of pre-pandemic travel reliability trend data as a basis for future forecasts</w:t>
      </w:r>
      <w:r w:rsidR="007026A1">
        <w:t xml:space="preserve">. </w:t>
      </w:r>
      <w:r>
        <w:t>Based on the current data, Florida’s performance continues to exceed the previous targets</w:t>
      </w:r>
      <w:r w:rsidR="007026A1">
        <w:t xml:space="preserve">. </w:t>
      </w:r>
      <w:r>
        <w:t>Given the uncertainty in future travel behavior, FDOT believes the previous targets are still appropriate for 2023 and 2025.</w:t>
      </w:r>
    </w:p>
    <w:p w14:paraId="10E7C874" w14:textId="3549DBD3" w:rsidR="000C1B01" w:rsidRDefault="000C1B01" w:rsidP="00F64144">
      <w:pPr>
        <w:keepNext/>
        <w:tabs>
          <w:tab w:val="left" w:pos="2250"/>
        </w:tabs>
        <w:rPr>
          <w:rFonts w:cs="Calibri"/>
          <w:bCs/>
          <w:color w:val="000000"/>
          <w:kern w:val="36"/>
          <w:szCs w:val="24"/>
        </w:rPr>
      </w:pPr>
      <w:r>
        <w:rPr>
          <w:rFonts w:cs="Calibri"/>
          <w:bCs/>
          <w:color w:val="000000"/>
          <w:kern w:val="36"/>
          <w:szCs w:val="24"/>
        </w:rPr>
        <w:t xml:space="preserve">System performance and freight are addressed through several statewide </w:t>
      </w:r>
      <w:r w:rsidR="00391F18">
        <w:rPr>
          <w:rFonts w:cs="Calibri"/>
          <w:bCs/>
          <w:color w:val="000000"/>
          <w:kern w:val="36"/>
          <w:szCs w:val="24"/>
        </w:rPr>
        <w:t>initiatives</w:t>
      </w:r>
      <w:r>
        <w:rPr>
          <w:rFonts w:cs="Calibri"/>
          <w:bCs/>
          <w:color w:val="000000"/>
          <w:kern w:val="36"/>
          <w:szCs w:val="24"/>
        </w:rPr>
        <w:t xml:space="preserve">: </w:t>
      </w:r>
    </w:p>
    <w:p w14:paraId="01CD7CAD" w14:textId="447DE7A5" w:rsidR="008B194B" w:rsidRPr="000C1B01" w:rsidRDefault="008B194B" w:rsidP="0000371F">
      <w:pPr>
        <w:pStyle w:val="ListBullet"/>
      </w:pPr>
      <w:r w:rsidRPr="000C1B01">
        <w:t>Florida’s Strategic Intermodal System (SIS) is composed of transportation facilities of statewide and interregional significance</w:t>
      </w:r>
      <w:r w:rsidR="007026A1">
        <w:t xml:space="preserve">. </w:t>
      </w:r>
      <w:r w:rsidRPr="000C1B01">
        <w:t>The SIS is a primary focus of FDOT’s capacity investments and is Florida’s primary network for ensuring a strong link between transportation and economic competitiveness</w:t>
      </w:r>
      <w:r w:rsidR="007026A1">
        <w:t xml:space="preserve">. </w:t>
      </w:r>
      <w:r w:rsidRPr="000C1B01">
        <w:t>These facilities, which span all modes and includes highways, are the workhorses of Florida’s transportation system and account for a dominant share of the people and freight movement to, from and within Florida</w:t>
      </w:r>
      <w:r w:rsidR="007026A1">
        <w:t xml:space="preserve">. </w:t>
      </w:r>
      <w:r w:rsidRPr="000C1B01">
        <w:t>The SIS includes 92 percent of NHS lane miles in the state</w:t>
      </w:r>
      <w:r w:rsidR="007026A1">
        <w:t xml:space="preserve">. </w:t>
      </w:r>
      <w:r w:rsidRPr="000C1B01">
        <w:t>Thus, FDOT’s focus on improving performance of the SIS goes hand-in-hand with improving the NHS, which is the focus of the FHWA’s TPM program</w:t>
      </w:r>
      <w:r w:rsidR="007026A1">
        <w:t xml:space="preserve">. </w:t>
      </w:r>
      <w:r w:rsidR="00B05D40">
        <w:t xml:space="preserve">The SIS Policy Plan </w:t>
      </w:r>
      <w:r w:rsidR="001A02A3">
        <w:t>was</w:t>
      </w:r>
      <w:r w:rsidR="00B05D40">
        <w:t xml:space="preserve"> updated in </w:t>
      </w:r>
      <w:r w:rsidR="001A02A3">
        <w:t>early 2022</w:t>
      </w:r>
      <w:r w:rsidR="00B05D40">
        <w:t xml:space="preserve"> consistent with the updated FTP. The SIS Policy Plan defines the policy framework for designating which facilities are part of the SIS, as well as how SIS investments needs are identified and prioritized</w:t>
      </w:r>
      <w:r w:rsidR="007026A1">
        <w:t xml:space="preserve">. </w:t>
      </w:r>
      <w:r w:rsidRPr="000C1B01">
        <w:t xml:space="preserve">The development of the SIS Five-Year Plan by </w:t>
      </w:r>
      <w:r w:rsidRPr="000C1B01">
        <w:lastRenderedPageBreak/>
        <w:t xml:space="preserve">FDOT considers scores on a range of measures including </w:t>
      </w:r>
      <w:r w:rsidR="000C1B01">
        <w:t xml:space="preserve">mobility, </w:t>
      </w:r>
      <w:r w:rsidRPr="000C1B01">
        <w:t>safety, preservation, and economic competitiveness as part of FDOT’s Strategic Investment Tool (SIT).</w:t>
      </w:r>
    </w:p>
    <w:p w14:paraId="433498D8" w14:textId="61964B88" w:rsidR="008B194B" w:rsidRPr="000C1B01" w:rsidRDefault="008B194B" w:rsidP="0000371F">
      <w:pPr>
        <w:pStyle w:val="ListBullet"/>
      </w:pPr>
      <w:r w:rsidRPr="000C1B01">
        <w:t>In addition, FDOT’s Freight Mobility and Trade Plan (FMTP) defines policies and investments that will enhance Florida’s economic development efforts into the future</w:t>
      </w:r>
      <w:r w:rsidR="007026A1">
        <w:t xml:space="preserve">. </w:t>
      </w:r>
      <w:r w:rsidR="00B05D40" w:rsidRPr="00B05D40">
        <w:t xml:space="preserve">The FMTP identifies truck bottlenecks and other freight investment needs and defines the process for setting priorities among these needs to receive funding from the National Highway Freight Program (NHFP). Project evaluation criteria tie back to the FMTP objectives to ensure high priority projects support the statewide freight vision. </w:t>
      </w:r>
      <w:r w:rsidRPr="003A1805">
        <w:t>In</w:t>
      </w:r>
      <w:r w:rsidR="003A1805">
        <w:t xml:space="preserve"> May 2020</w:t>
      </w:r>
      <w:r w:rsidRPr="003A1805">
        <w:t>, FHWA</w:t>
      </w:r>
      <w:r w:rsidRPr="000C1B01">
        <w:t xml:space="preserve"> approved the FMTP as FDOT’s State Freight Plan.</w:t>
      </w:r>
      <w:r w:rsidR="00F21468">
        <w:t xml:space="preserve"> </w:t>
      </w:r>
    </w:p>
    <w:p w14:paraId="2ED2AC79" w14:textId="6ECBEEBD" w:rsidR="008B194B" w:rsidRPr="000C1B01" w:rsidRDefault="008B194B" w:rsidP="0000371F">
      <w:pPr>
        <w:pStyle w:val="ListBullet"/>
      </w:pPr>
      <w:r w:rsidRPr="000C1B01">
        <w:t>FDOT also developed and refined a methodology to identify freight bottlenecks on Florida’s SIS on an annual basis using vehicle probe data and travel time reliability measures</w:t>
      </w:r>
      <w:r w:rsidR="007026A1">
        <w:t xml:space="preserve">. </w:t>
      </w:r>
      <w:r w:rsidRPr="000C1B01">
        <w:t>Identification of bottlenecks and estimation of their delay impact aids FDOT in focusing on relief efforts and ranking them by priority</w:t>
      </w:r>
      <w:r w:rsidR="007026A1">
        <w:t xml:space="preserve">. </w:t>
      </w:r>
      <w:r w:rsidRPr="000C1B01">
        <w:t>In turn, this information is incorporated into FDOT’s SIT to help identify the most important SIS capacity projects to relieve congestion.</w:t>
      </w:r>
    </w:p>
    <w:p w14:paraId="23573FB8" w14:textId="78727A32" w:rsidR="00A157C1" w:rsidRPr="00902A8B" w:rsidRDefault="00A157C1" w:rsidP="00A157C1">
      <w:pPr>
        <w:pStyle w:val="Heading3"/>
        <w:spacing w:before="0"/>
      </w:pPr>
      <w:r>
        <w:t>5</w:t>
      </w:r>
      <w:r w:rsidRPr="00902A8B">
        <w:t>.1.</w:t>
      </w:r>
      <w:r w:rsidR="00AA1240">
        <w:t>2</w:t>
      </w:r>
      <w:r w:rsidRPr="00902A8B">
        <w:t xml:space="preserve"> </w:t>
      </w:r>
      <w:r w:rsidR="00AA1240">
        <w:t>MPO</w:t>
      </w:r>
      <w:r w:rsidRPr="00902A8B">
        <w:t xml:space="preserve"> Targets</w:t>
      </w:r>
    </w:p>
    <w:p w14:paraId="018FB268" w14:textId="3553F01B" w:rsidR="00A157C1" w:rsidRDefault="00A157C1" w:rsidP="00A157C1">
      <w:pPr>
        <w:rPr>
          <w:rFonts w:cs="Calibri"/>
          <w:kern w:val="28"/>
          <w:szCs w:val="24"/>
        </w:rPr>
      </w:pPr>
      <w:r w:rsidRPr="007E16DA">
        <w:rPr>
          <w:rFonts w:cs="Calibri"/>
          <w:kern w:val="28"/>
          <w:szCs w:val="24"/>
        </w:rPr>
        <w:t xml:space="preserve">MPOs must </w:t>
      </w:r>
      <w:r>
        <w:rPr>
          <w:rFonts w:cs="Calibri"/>
          <w:kern w:val="28"/>
          <w:szCs w:val="24"/>
        </w:rPr>
        <w:t>establish</w:t>
      </w:r>
      <w:r w:rsidRPr="007E16DA">
        <w:rPr>
          <w:rFonts w:cs="Calibri"/>
          <w:kern w:val="28"/>
          <w:szCs w:val="24"/>
        </w:rPr>
        <w:t xml:space="preserve"> four-year targets for all </w:t>
      </w:r>
      <w:r>
        <w:rPr>
          <w:rFonts w:cs="Calibri"/>
          <w:kern w:val="28"/>
          <w:szCs w:val="24"/>
        </w:rPr>
        <w:t>three</w:t>
      </w:r>
      <w:r w:rsidRPr="007E16DA">
        <w:rPr>
          <w:rFonts w:cs="Calibri"/>
          <w:kern w:val="28"/>
          <w:szCs w:val="24"/>
        </w:rPr>
        <w:t xml:space="preserve"> </w:t>
      </w:r>
      <w:r>
        <w:rPr>
          <w:rFonts w:cs="Calibri"/>
          <w:kern w:val="28"/>
          <w:szCs w:val="24"/>
        </w:rPr>
        <w:t xml:space="preserve">performance </w:t>
      </w:r>
      <w:r w:rsidRPr="007E16DA">
        <w:rPr>
          <w:rFonts w:cs="Calibri"/>
          <w:kern w:val="28"/>
          <w:szCs w:val="24"/>
        </w:rPr>
        <w:t>measures</w:t>
      </w:r>
      <w:r w:rsidR="007026A1">
        <w:rPr>
          <w:rFonts w:cs="Calibri"/>
          <w:kern w:val="28"/>
          <w:szCs w:val="24"/>
        </w:rPr>
        <w:t xml:space="preserve">. </w:t>
      </w:r>
      <w:r w:rsidRPr="007E16DA">
        <w:rPr>
          <w:rFonts w:cs="Calibri"/>
          <w:kern w:val="28"/>
          <w:szCs w:val="24"/>
        </w:rPr>
        <w:t xml:space="preserve">MPOs can either agree to program projects that will support the statewide targets or </w:t>
      </w:r>
      <w:r>
        <w:rPr>
          <w:rFonts w:cs="Calibri"/>
          <w:kern w:val="28"/>
          <w:szCs w:val="24"/>
        </w:rPr>
        <w:t>establish</w:t>
      </w:r>
      <w:r w:rsidRPr="007E16DA">
        <w:rPr>
          <w:rFonts w:cs="Calibri"/>
          <w:kern w:val="28"/>
          <w:szCs w:val="24"/>
        </w:rPr>
        <w:t xml:space="preserve"> their own quantifiable targets for the MPO’s planning area</w:t>
      </w:r>
      <w:r w:rsidR="00CE6FCB">
        <w:rPr>
          <w:rFonts w:cs="Calibri"/>
          <w:kern w:val="28"/>
          <w:szCs w:val="24"/>
        </w:rPr>
        <w:t xml:space="preserve"> for one or more measures</w:t>
      </w:r>
      <w:r w:rsidR="007026A1" w:rsidRPr="007E16DA">
        <w:rPr>
          <w:rFonts w:cs="Calibri"/>
          <w:kern w:val="28"/>
          <w:szCs w:val="24"/>
        </w:rPr>
        <w:t xml:space="preserve">. </w:t>
      </w:r>
    </w:p>
    <w:p w14:paraId="1668F987" w14:textId="59A78FD4" w:rsidR="00AA1240" w:rsidRDefault="00AA1240" w:rsidP="00AA1240">
      <w:pPr>
        <w:keepNext/>
        <w:rPr>
          <w:rFonts w:cs="Proxima Nova"/>
          <w:color w:val="000000"/>
          <w:szCs w:val="24"/>
        </w:rPr>
      </w:pPr>
      <w:r w:rsidRPr="00A10F80">
        <w:rPr>
          <w:rFonts w:cs="Proxima Nova"/>
          <w:color w:val="000000"/>
          <w:szCs w:val="24"/>
          <w:highlight w:val="yellow"/>
        </w:rPr>
        <w:t>[Use</w:t>
      </w:r>
      <w:r>
        <w:rPr>
          <w:rFonts w:cs="Proxima Nova"/>
          <w:color w:val="000000"/>
          <w:szCs w:val="24"/>
          <w:highlight w:val="yellow"/>
        </w:rPr>
        <w:t xml:space="preserve"> either Option A or Option B below. </w:t>
      </w:r>
      <w:r w:rsidRPr="00A10F80">
        <w:rPr>
          <w:rFonts w:cs="Proxima Nova"/>
          <w:color w:val="000000"/>
          <w:szCs w:val="24"/>
          <w:highlight w:val="yellow"/>
        </w:rPr>
        <w:t xml:space="preserve">Option A </w:t>
      </w:r>
      <w:r w:rsidR="008C54E5">
        <w:rPr>
          <w:rFonts w:cs="Proxima Nova"/>
          <w:color w:val="000000"/>
          <w:szCs w:val="24"/>
          <w:highlight w:val="yellow"/>
        </w:rPr>
        <w:t>is for</w:t>
      </w:r>
      <w:r>
        <w:rPr>
          <w:rFonts w:cs="Proxima Nova"/>
          <w:color w:val="000000"/>
          <w:szCs w:val="24"/>
          <w:highlight w:val="yellow"/>
        </w:rPr>
        <w:t xml:space="preserve"> MPOs that </w:t>
      </w:r>
      <w:r w:rsidRPr="00A10F80">
        <w:rPr>
          <w:rFonts w:cs="Proxima Nova"/>
          <w:color w:val="000000"/>
          <w:szCs w:val="24"/>
          <w:highlight w:val="yellow"/>
        </w:rPr>
        <w:t xml:space="preserve">support all state </w:t>
      </w:r>
      <w:r>
        <w:rPr>
          <w:rFonts w:cs="Proxima Nova"/>
          <w:color w:val="000000"/>
          <w:szCs w:val="24"/>
          <w:highlight w:val="yellow"/>
        </w:rPr>
        <w:t>targets for the federal system performance and freight measures</w:t>
      </w:r>
      <w:r w:rsidR="007026A1" w:rsidRPr="00A10F80">
        <w:rPr>
          <w:rFonts w:cs="Proxima Nova"/>
          <w:color w:val="000000"/>
          <w:szCs w:val="24"/>
          <w:highlight w:val="yellow"/>
        </w:rPr>
        <w:t xml:space="preserve">. </w:t>
      </w:r>
      <w:r>
        <w:rPr>
          <w:rFonts w:cs="Proxima Nova"/>
          <w:color w:val="000000"/>
          <w:szCs w:val="24"/>
          <w:highlight w:val="yellow"/>
        </w:rPr>
        <w:t>O</w:t>
      </w:r>
      <w:r w:rsidRPr="00A10F80">
        <w:rPr>
          <w:rFonts w:cs="Proxima Nova"/>
          <w:color w:val="000000"/>
          <w:szCs w:val="24"/>
          <w:highlight w:val="yellow"/>
        </w:rPr>
        <w:t xml:space="preserve">ption B </w:t>
      </w:r>
      <w:r w:rsidR="008C54E5">
        <w:rPr>
          <w:rFonts w:cs="Proxima Nova"/>
          <w:color w:val="000000"/>
          <w:szCs w:val="24"/>
          <w:highlight w:val="yellow"/>
        </w:rPr>
        <w:t>is for</w:t>
      </w:r>
      <w:r>
        <w:rPr>
          <w:rFonts w:cs="Proxima Nova"/>
          <w:color w:val="000000"/>
          <w:szCs w:val="24"/>
          <w:highlight w:val="yellow"/>
        </w:rPr>
        <w:t xml:space="preserve"> MPOs that </w:t>
      </w:r>
      <w:r w:rsidRPr="00A10F80">
        <w:rPr>
          <w:rFonts w:cs="Proxima Nova"/>
          <w:color w:val="000000"/>
          <w:szCs w:val="24"/>
          <w:highlight w:val="yellow"/>
        </w:rPr>
        <w:t xml:space="preserve">establish </w:t>
      </w:r>
      <w:r>
        <w:rPr>
          <w:rFonts w:cs="Proxima Nova"/>
          <w:color w:val="000000"/>
          <w:szCs w:val="24"/>
          <w:highlight w:val="yellow"/>
        </w:rPr>
        <w:t xml:space="preserve">their </w:t>
      </w:r>
      <w:r w:rsidRPr="00A10F80">
        <w:rPr>
          <w:rFonts w:cs="Proxima Nova"/>
          <w:color w:val="000000"/>
          <w:szCs w:val="24"/>
          <w:highlight w:val="yellow"/>
        </w:rPr>
        <w:t>own targets.]</w:t>
      </w:r>
    </w:p>
    <w:p w14:paraId="4985729B" w14:textId="77777777" w:rsidR="00F21468" w:rsidRPr="001F53EC" w:rsidRDefault="00F21468" w:rsidP="00AA1240">
      <w:pPr>
        <w:keepNext/>
        <w:rPr>
          <w:rFonts w:cs="Proxima Nova"/>
          <w:color w:val="000000"/>
          <w:szCs w:val="24"/>
        </w:rPr>
      </w:pPr>
    </w:p>
    <w:p w14:paraId="54396C82" w14:textId="434A122B" w:rsidR="00AA1240" w:rsidRPr="00030F57" w:rsidRDefault="00AA1240" w:rsidP="00AA1240">
      <w:pPr>
        <w:keepNext/>
        <w:rPr>
          <w:rFonts w:cs="Proxima Nova"/>
          <w:color w:val="000000"/>
          <w:szCs w:val="24"/>
        </w:rPr>
      </w:pPr>
      <w:r w:rsidRPr="00030F57">
        <w:rPr>
          <w:rFonts w:cs="Proxima Nova"/>
          <w:color w:val="000000"/>
          <w:szCs w:val="24"/>
          <w:highlight w:val="yellow"/>
        </w:rPr>
        <w:t>[</w:t>
      </w:r>
      <w:r w:rsidRPr="00735CF6">
        <w:rPr>
          <w:rFonts w:cs="Proxima Nova"/>
          <w:color w:val="000000"/>
          <w:szCs w:val="24"/>
          <w:highlight w:val="yellow"/>
        </w:rPr>
        <w:t>OPTION A</w:t>
      </w:r>
      <w:r w:rsidRPr="00030F57">
        <w:rPr>
          <w:rFonts w:cs="Proxima Nova"/>
          <w:color w:val="000000"/>
          <w:szCs w:val="24"/>
          <w:highlight w:val="yellow"/>
        </w:rPr>
        <w:t xml:space="preserve">: </w:t>
      </w:r>
      <w:r w:rsidR="008C54E5">
        <w:rPr>
          <w:rFonts w:cs="Proxima Nova"/>
          <w:color w:val="000000"/>
          <w:szCs w:val="24"/>
          <w:highlight w:val="yellow"/>
        </w:rPr>
        <w:t>F</w:t>
      </w:r>
      <w:r w:rsidRPr="00030F57">
        <w:rPr>
          <w:rFonts w:cs="Proxima Nova"/>
          <w:color w:val="000000"/>
          <w:szCs w:val="24"/>
          <w:highlight w:val="yellow"/>
        </w:rPr>
        <w:t xml:space="preserve">or MPO that </w:t>
      </w:r>
      <w:r>
        <w:rPr>
          <w:rFonts w:cs="Proxima Nova"/>
          <w:color w:val="000000"/>
          <w:szCs w:val="24"/>
          <w:highlight w:val="yellow"/>
        </w:rPr>
        <w:t>s</w:t>
      </w:r>
      <w:r w:rsidRPr="00030F57">
        <w:rPr>
          <w:rFonts w:cs="Proxima Nova"/>
          <w:color w:val="000000"/>
          <w:szCs w:val="24"/>
          <w:highlight w:val="yellow"/>
        </w:rPr>
        <w:t xml:space="preserve">upports </w:t>
      </w:r>
      <w:r>
        <w:rPr>
          <w:rFonts w:cs="Proxima Nova"/>
          <w:color w:val="000000"/>
          <w:szCs w:val="24"/>
          <w:highlight w:val="yellow"/>
        </w:rPr>
        <w:t>s</w:t>
      </w:r>
      <w:r w:rsidRPr="00030F57">
        <w:rPr>
          <w:rFonts w:cs="Proxima Nova"/>
          <w:color w:val="000000"/>
          <w:szCs w:val="24"/>
          <w:highlight w:val="yellow"/>
        </w:rPr>
        <w:t xml:space="preserve">tatewide </w:t>
      </w:r>
      <w:r>
        <w:rPr>
          <w:rFonts w:cs="Proxima Nova"/>
          <w:color w:val="000000"/>
          <w:szCs w:val="24"/>
          <w:highlight w:val="yellow"/>
        </w:rPr>
        <w:t>t</w:t>
      </w:r>
      <w:r w:rsidRPr="00030F57">
        <w:rPr>
          <w:rFonts w:cs="Proxima Nova"/>
          <w:color w:val="000000"/>
          <w:szCs w:val="24"/>
          <w:highlight w:val="yellow"/>
        </w:rPr>
        <w:t>argets]</w:t>
      </w:r>
    </w:p>
    <w:p w14:paraId="2E6B3C25" w14:textId="0BA7D53D" w:rsidR="00616F98" w:rsidRDefault="00DD7D5D" w:rsidP="00DD7D5D">
      <w:pPr>
        <w:rPr>
          <w:rFonts w:cs="Calibri"/>
          <w:bCs/>
          <w:color w:val="000000"/>
          <w:kern w:val="36"/>
          <w:szCs w:val="24"/>
        </w:rPr>
      </w:pPr>
      <w:r w:rsidRPr="006B411F">
        <w:rPr>
          <w:rFonts w:cs="Calibri"/>
          <w:kern w:val="28"/>
          <w:szCs w:val="24"/>
        </w:rPr>
        <w:t>On [</w:t>
      </w:r>
      <w:r w:rsidRPr="00EF1433">
        <w:rPr>
          <w:rFonts w:cs="Calibri"/>
          <w:kern w:val="28"/>
          <w:szCs w:val="24"/>
          <w:highlight w:val="yellow"/>
        </w:rPr>
        <w:t>insert date</w:t>
      </w:r>
      <w:r w:rsidRPr="006B411F">
        <w:rPr>
          <w:rFonts w:cs="Calibri"/>
          <w:kern w:val="28"/>
          <w:szCs w:val="24"/>
        </w:rPr>
        <w:t>], the [</w:t>
      </w:r>
      <w:r w:rsidRPr="00EF1433">
        <w:rPr>
          <w:rFonts w:cs="Calibri"/>
          <w:kern w:val="28"/>
          <w:szCs w:val="24"/>
          <w:highlight w:val="yellow"/>
        </w:rPr>
        <w:t>insert MPO name</w:t>
      </w:r>
      <w:r w:rsidRPr="006B411F">
        <w:rPr>
          <w:rFonts w:cs="Calibri"/>
          <w:kern w:val="28"/>
          <w:szCs w:val="24"/>
        </w:rPr>
        <w:t xml:space="preserve">] agreed to support FDOT’s statewide </w:t>
      </w:r>
      <w:r>
        <w:rPr>
          <w:rFonts w:cs="Calibri"/>
          <w:kern w:val="28"/>
          <w:szCs w:val="24"/>
        </w:rPr>
        <w:t xml:space="preserve">system performance </w:t>
      </w:r>
      <w:r w:rsidR="00616F98">
        <w:rPr>
          <w:rFonts w:cs="Calibri"/>
          <w:kern w:val="28"/>
          <w:szCs w:val="24"/>
        </w:rPr>
        <w:t xml:space="preserve">and freight </w:t>
      </w:r>
      <w:r w:rsidRPr="006B411F">
        <w:rPr>
          <w:rFonts w:cs="Calibri"/>
          <w:kern w:val="28"/>
          <w:szCs w:val="24"/>
        </w:rPr>
        <w:t xml:space="preserve">targets, thus agreeing to plan and program projects in the TIP that once implemented, </w:t>
      </w:r>
      <w:r>
        <w:rPr>
          <w:rFonts w:cs="Calibri"/>
          <w:kern w:val="28"/>
          <w:szCs w:val="24"/>
        </w:rPr>
        <w:t xml:space="preserve">are anticipated to </w:t>
      </w:r>
      <w:r w:rsidRPr="006B411F">
        <w:rPr>
          <w:rFonts w:cs="Calibri"/>
          <w:kern w:val="28"/>
          <w:szCs w:val="24"/>
        </w:rPr>
        <w:t>make progress toward achieving the statewide targets</w:t>
      </w:r>
      <w:r w:rsidR="007026A1">
        <w:rPr>
          <w:rFonts w:cs="Calibri"/>
          <w:kern w:val="28"/>
          <w:szCs w:val="24"/>
        </w:rPr>
        <w:t xml:space="preserve">. </w:t>
      </w:r>
      <w:r w:rsidR="00616F98" w:rsidRPr="00F57A31">
        <w:rPr>
          <w:rFonts w:cs="Calibri"/>
          <w:bCs/>
          <w:color w:val="000000"/>
          <w:kern w:val="36"/>
          <w:szCs w:val="24"/>
          <w:highlight w:val="yellow"/>
        </w:rPr>
        <w:t>[The MPO may discuss the reasoning or analysis behind the decision to support the state targets.]</w:t>
      </w:r>
    </w:p>
    <w:p w14:paraId="1400A27A" w14:textId="0FC63336" w:rsidR="00695445" w:rsidRDefault="00695445" w:rsidP="00695445">
      <w:pPr>
        <w:rPr>
          <w:rFonts w:cs="Calibri"/>
          <w:bCs/>
          <w:color w:val="000000"/>
          <w:kern w:val="36"/>
          <w:szCs w:val="24"/>
        </w:rPr>
      </w:pPr>
      <w:r w:rsidRPr="00904649">
        <w:rPr>
          <w:rFonts w:cs="Calibri"/>
          <w:bCs/>
          <w:color w:val="000000"/>
          <w:kern w:val="36"/>
          <w:szCs w:val="24"/>
          <w:highlight w:val="yellow"/>
        </w:rPr>
        <w:t>[</w:t>
      </w:r>
      <w:r>
        <w:rPr>
          <w:rFonts w:cs="Calibri"/>
          <w:bCs/>
          <w:color w:val="000000"/>
          <w:kern w:val="36"/>
          <w:szCs w:val="24"/>
          <w:highlight w:val="yellow"/>
        </w:rPr>
        <w:t>END OF OPTION A</w:t>
      </w:r>
      <w:r w:rsidRPr="00904649">
        <w:rPr>
          <w:rFonts w:cs="Calibri"/>
          <w:bCs/>
          <w:color w:val="000000"/>
          <w:kern w:val="36"/>
          <w:szCs w:val="24"/>
          <w:highlight w:val="yellow"/>
        </w:rPr>
        <w:t xml:space="preserve">. Continue at “Section </w:t>
      </w:r>
      <w:r>
        <w:rPr>
          <w:rFonts w:cs="Calibri"/>
          <w:bCs/>
          <w:color w:val="000000"/>
          <w:kern w:val="36"/>
          <w:szCs w:val="24"/>
          <w:highlight w:val="yellow"/>
        </w:rPr>
        <w:t>5</w:t>
      </w:r>
      <w:r w:rsidRPr="00904649">
        <w:rPr>
          <w:rFonts w:cs="Calibri"/>
          <w:bCs/>
          <w:color w:val="000000"/>
          <w:kern w:val="36"/>
          <w:szCs w:val="24"/>
          <w:highlight w:val="yellow"/>
        </w:rPr>
        <w:t xml:space="preserve">.2 </w:t>
      </w:r>
      <w:r w:rsidR="00F64144">
        <w:rPr>
          <w:rFonts w:cs="Calibri"/>
          <w:bCs/>
          <w:color w:val="000000"/>
          <w:kern w:val="36"/>
          <w:szCs w:val="24"/>
          <w:highlight w:val="yellow"/>
        </w:rPr>
        <w:t>S</w:t>
      </w:r>
      <w:r>
        <w:rPr>
          <w:rFonts w:cs="Calibri"/>
          <w:bCs/>
          <w:color w:val="000000"/>
          <w:kern w:val="36"/>
          <w:szCs w:val="24"/>
          <w:highlight w:val="yellow"/>
        </w:rPr>
        <w:t xml:space="preserve">ystem Performance and Freight Investments </w:t>
      </w:r>
      <w:r w:rsidRPr="00904649">
        <w:rPr>
          <w:rFonts w:cs="Calibri"/>
          <w:bCs/>
          <w:color w:val="000000"/>
          <w:kern w:val="36"/>
          <w:szCs w:val="24"/>
          <w:highlight w:val="yellow"/>
        </w:rPr>
        <w:t xml:space="preserve">in the </w:t>
      </w:r>
      <w:r>
        <w:rPr>
          <w:rFonts w:cs="Calibri"/>
          <w:bCs/>
          <w:color w:val="000000"/>
          <w:kern w:val="36"/>
          <w:szCs w:val="24"/>
          <w:highlight w:val="yellow"/>
        </w:rPr>
        <w:t>TIP</w:t>
      </w:r>
      <w:r w:rsidRPr="00904649">
        <w:rPr>
          <w:rFonts w:cs="Calibri"/>
          <w:bCs/>
          <w:color w:val="000000"/>
          <w:kern w:val="36"/>
          <w:szCs w:val="24"/>
          <w:highlight w:val="yellow"/>
        </w:rPr>
        <w:t>”]</w:t>
      </w:r>
    </w:p>
    <w:p w14:paraId="7765EC6C" w14:textId="111987EE" w:rsidR="00695445" w:rsidRPr="00030F57" w:rsidRDefault="00695445" w:rsidP="00695445">
      <w:pPr>
        <w:keepNext/>
        <w:rPr>
          <w:rFonts w:cs="Proxima Nova"/>
          <w:color w:val="000000"/>
          <w:szCs w:val="24"/>
          <w:highlight w:val="yellow"/>
        </w:rPr>
      </w:pPr>
      <w:r w:rsidRPr="00030F57">
        <w:rPr>
          <w:rFonts w:cs="Proxima Nova"/>
          <w:color w:val="000000"/>
          <w:szCs w:val="24"/>
          <w:highlight w:val="yellow"/>
        </w:rPr>
        <w:t>[</w:t>
      </w:r>
      <w:r w:rsidRPr="00735CF6">
        <w:rPr>
          <w:rFonts w:cs="Proxima Nova"/>
          <w:color w:val="000000"/>
          <w:szCs w:val="24"/>
          <w:highlight w:val="yellow"/>
        </w:rPr>
        <w:t>OPTION B</w:t>
      </w:r>
      <w:r w:rsidRPr="00030F57">
        <w:rPr>
          <w:rFonts w:cs="Proxima Nova"/>
          <w:color w:val="000000"/>
          <w:szCs w:val="24"/>
          <w:highlight w:val="yellow"/>
        </w:rPr>
        <w:t xml:space="preserve">: </w:t>
      </w:r>
      <w:r w:rsidR="008C54E5">
        <w:rPr>
          <w:rFonts w:cs="Proxima Nova"/>
          <w:color w:val="000000"/>
          <w:szCs w:val="24"/>
          <w:highlight w:val="yellow"/>
        </w:rPr>
        <w:t>F</w:t>
      </w:r>
      <w:r w:rsidRPr="00030F57">
        <w:rPr>
          <w:rFonts w:cs="Proxima Nova"/>
          <w:color w:val="000000"/>
          <w:szCs w:val="24"/>
          <w:highlight w:val="yellow"/>
        </w:rPr>
        <w:t xml:space="preserve">or MPO that </w:t>
      </w:r>
      <w:r>
        <w:rPr>
          <w:rFonts w:cs="Proxima Nova"/>
          <w:color w:val="000000"/>
          <w:szCs w:val="24"/>
          <w:highlight w:val="yellow"/>
        </w:rPr>
        <w:t>e</w:t>
      </w:r>
      <w:r w:rsidRPr="00030F57">
        <w:rPr>
          <w:rFonts w:cs="Proxima Nova"/>
          <w:color w:val="000000"/>
          <w:szCs w:val="24"/>
          <w:highlight w:val="yellow"/>
        </w:rPr>
        <w:t xml:space="preserve">stablishes its </w:t>
      </w:r>
      <w:r>
        <w:rPr>
          <w:rFonts w:cs="Proxima Nova"/>
          <w:color w:val="000000"/>
          <w:szCs w:val="24"/>
          <w:highlight w:val="yellow"/>
        </w:rPr>
        <w:t>o</w:t>
      </w:r>
      <w:r w:rsidRPr="00030F57">
        <w:rPr>
          <w:rFonts w:cs="Proxima Nova"/>
          <w:color w:val="000000"/>
          <w:szCs w:val="24"/>
          <w:highlight w:val="yellow"/>
        </w:rPr>
        <w:t xml:space="preserve">wn </w:t>
      </w:r>
      <w:r>
        <w:rPr>
          <w:rFonts w:cs="Proxima Nova"/>
          <w:color w:val="000000"/>
          <w:szCs w:val="24"/>
          <w:highlight w:val="yellow"/>
        </w:rPr>
        <w:t>t</w:t>
      </w:r>
      <w:r w:rsidRPr="00030F57">
        <w:rPr>
          <w:rFonts w:cs="Proxima Nova"/>
          <w:color w:val="000000"/>
          <w:szCs w:val="24"/>
          <w:highlight w:val="yellow"/>
        </w:rPr>
        <w:t>argets</w:t>
      </w:r>
      <w:r w:rsidR="009D365D">
        <w:rPr>
          <w:rFonts w:cs="Proxima Nova"/>
          <w:color w:val="000000"/>
          <w:szCs w:val="24"/>
          <w:highlight w:val="yellow"/>
        </w:rPr>
        <w:t xml:space="preserve"> for one or more measures</w:t>
      </w:r>
      <w:r w:rsidRPr="00030F57">
        <w:rPr>
          <w:rFonts w:cs="Proxima Nova"/>
          <w:color w:val="000000"/>
          <w:szCs w:val="24"/>
          <w:highlight w:val="yellow"/>
        </w:rPr>
        <w:t>]</w:t>
      </w:r>
    </w:p>
    <w:p w14:paraId="1B06E734" w14:textId="1B807288" w:rsidR="00695445" w:rsidRDefault="00695445" w:rsidP="00695445">
      <w:pPr>
        <w:rPr>
          <w:rFonts w:cs="Calibri"/>
          <w:kern w:val="28"/>
          <w:szCs w:val="24"/>
        </w:rPr>
      </w:pPr>
      <w:r>
        <w:rPr>
          <w:rFonts w:cs="Calibri"/>
          <w:kern w:val="28"/>
          <w:szCs w:val="24"/>
        </w:rPr>
        <w:t>T</w:t>
      </w:r>
      <w:r w:rsidRPr="008A2DFD">
        <w:rPr>
          <w:rFonts w:cs="Calibri"/>
          <w:kern w:val="28"/>
          <w:szCs w:val="24"/>
        </w:rPr>
        <w:t xml:space="preserve">he </w:t>
      </w:r>
      <w:r w:rsidRPr="008A2DFD">
        <w:rPr>
          <w:rFonts w:cs="Calibri"/>
          <w:bCs/>
          <w:color w:val="000000"/>
          <w:kern w:val="36"/>
          <w:szCs w:val="24"/>
        </w:rPr>
        <w:t>[</w:t>
      </w:r>
      <w:r w:rsidRPr="008A2DFD">
        <w:rPr>
          <w:rFonts w:cs="Calibri"/>
          <w:bCs/>
          <w:color w:val="000000"/>
          <w:kern w:val="36"/>
          <w:szCs w:val="24"/>
          <w:highlight w:val="yellow"/>
        </w:rPr>
        <w:t>insert name</w:t>
      </w:r>
      <w:r w:rsidRPr="008A2DFD">
        <w:rPr>
          <w:rFonts w:cs="Calibri"/>
          <w:bCs/>
          <w:color w:val="000000"/>
          <w:kern w:val="36"/>
          <w:szCs w:val="24"/>
        </w:rPr>
        <w:t xml:space="preserve">] </w:t>
      </w:r>
      <w:r w:rsidRPr="008A2DFD">
        <w:rPr>
          <w:rFonts w:cs="Calibri"/>
          <w:kern w:val="28"/>
          <w:szCs w:val="24"/>
        </w:rPr>
        <w:t>MPO acknowledges FDOT</w:t>
      </w:r>
      <w:r>
        <w:rPr>
          <w:rFonts w:cs="Calibri"/>
          <w:kern w:val="28"/>
          <w:szCs w:val="24"/>
        </w:rPr>
        <w:t>’s</w:t>
      </w:r>
      <w:r w:rsidRPr="008A2DFD">
        <w:rPr>
          <w:rFonts w:cs="Calibri"/>
          <w:kern w:val="28"/>
          <w:szCs w:val="24"/>
        </w:rPr>
        <w:t xml:space="preserve"> </w:t>
      </w:r>
      <w:r w:rsidR="00942593">
        <w:rPr>
          <w:rFonts w:cs="Calibri"/>
          <w:kern w:val="28"/>
          <w:szCs w:val="24"/>
        </w:rPr>
        <w:t xml:space="preserve">statewide </w:t>
      </w:r>
      <w:r w:rsidRPr="008A2DFD">
        <w:rPr>
          <w:rFonts w:cs="Calibri"/>
          <w:kern w:val="28"/>
          <w:szCs w:val="24"/>
        </w:rPr>
        <w:t>s</w:t>
      </w:r>
      <w:r>
        <w:rPr>
          <w:rFonts w:cs="Calibri"/>
          <w:kern w:val="28"/>
          <w:szCs w:val="24"/>
        </w:rPr>
        <w:t xml:space="preserve">ystem performance and freight </w:t>
      </w:r>
      <w:r w:rsidRPr="008A2DFD">
        <w:rPr>
          <w:rFonts w:cs="Calibri"/>
          <w:kern w:val="28"/>
          <w:szCs w:val="24"/>
        </w:rPr>
        <w:t>targets</w:t>
      </w:r>
      <w:r w:rsidR="007026A1" w:rsidRPr="008A2DFD">
        <w:rPr>
          <w:rFonts w:cs="Calibri"/>
          <w:kern w:val="28"/>
          <w:szCs w:val="24"/>
        </w:rPr>
        <w:t xml:space="preserve">. </w:t>
      </w:r>
      <w:r w:rsidRPr="008A2DFD">
        <w:rPr>
          <w:rFonts w:cs="Calibri"/>
          <w:kern w:val="28"/>
          <w:szCs w:val="24"/>
        </w:rPr>
        <w:t xml:space="preserve">However, </w:t>
      </w:r>
      <w:r>
        <w:rPr>
          <w:rFonts w:cs="Calibri"/>
          <w:kern w:val="28"/>
          <w:szCs w:val="24"/>
        </w:rPr>
        <w:t>o</w:t>
      </w:r>
      <w:r w:rsidRPr="007E16DA">
        <w:rPr>
          <w:rFonts w:cs="Calibri"/>
          <w:kern w:val="28"/>
          <w:szCs w:val="24"/>
        </w:rPr>
        <w:t>n [</w:t>
      </w:r>
      <w:r w:rsidRPr="007E16DA">
        <w:rPr>
          <w:rFonts w:cs="Calibri"/>
          <w:kern w:val="28"/>
          <w:szCs w:val="24"/>
          <w:highlight w:val="yellow"/>
        </w:rPr>
        <w:t>insert date</w:t>
      </w:r>
      <w:r w:rsidRPr="007E16DA">
        <w:rPr>
          <w:rFonts w:cs="Calibri"/>
          <w:kern w:val="28"/>
          <w:szCs w:val="24"/>
        </w:rPr>
        <w:t>], the [</w:t>
      </w:r>
      <w:r w:rsidRPr="007E16DA">
        <w:rPr>
          <w:rFonts w:cs="Calibri"/>
          <w:kern w:val="28"/>
          <w:szCs w:val="24"/>
          <w:highlight w:val="yellow"/>
        </w:rPr>
        <w:t>insert MPO name</w:t>
      </w:r>
      <w:r w:rsidRPr="007E16DA">
        <w:rPr>
          <w:rFonts w:cs="Calibri"/>
          <w:kern w:val="28"/>
          <w:szCs w:val="24"/>
        </w:rPr>
        <w:t xml:space="preserve">] established </w:t>
      </w:r>
      <w:r>
        <w:rPr>
          <w:rFonts w:cs="Calibri"/>
          <w:kern w:val="28"/>
          <w:szCs w:val="24"/>
        </w:rPr>
        <w:t>the four</w:t>
      </w:r>
      <w:r w:rsidRPr="007E16DA">
        <w:rPr>
          <w:rFonts w:cs="Calibri"/>
          <w:kern w:val="28"/>
          <w:szCs w:val="24"/>
        </w:rPr>
        <w:t xml:space="preserve">-year </w:t>
      </w:r>
      <w:r w:rsidR="00942593">
        <w:rPr>
          <w:rFonts w:cs="Calibri"/>
          <w:kern w:val="28"/>
          <w:szCs w:val="24"/>
        </w:rPr>
        <w:t>t</w:t>
      </w:r>
      <w:r w:rsidRPr="007E16DA">
        <w:rPr>
          <w:rFonts w:cs="Calibri"/>
          <w:kern w:val="28"/>
          <w:szCs w:val="24"/>
        </w:rPr>
        <w:t>argets for the MPO’s planning area</w:t>
      </w:r>
      <w:r>
        <w:rPr>
          <w:rFonts w:cs="Calibri"/>
          <w:kern w:val="28"/>
          <w:szCs w:val="24"/>
        </w:rPr>
        <w:t xml:space="preserve"> identified in Table </w:t>
      </w:r>
      <w:r w:rsidR="00942593">
        <w:rPr>
          <w:rFonts w:cs="Calibri"/>
          <w:kern w:val="28"/>
          <w:szCs w:val="24"/>
        </w:rPr>
        <w:t>5</w:t>
      </w:r>
      <w:r>
        <w:rPr>
          <w:rFonts w:cs="Calibri"/>
          <w:kern w:val="28"/>
          <w:szCs w:val="24"/>
        </w:rPr>
        <w:t>.2</w:t>
      </w:r>
      <w:r w:rsidRPr="007E16DA">
        <w:rPr>
          <w:rFonts w:cs="Calibri"/>
          <w:kern w:val="28"/>
          <w:szCs w:val="24"/>
        </w:rPr>
        <w:t xml:space="preserve">: </w:t>
      </w:r>
    </w:p>
    <w:p w14:paraId="72E06611" w14:textId="300E789B" w:rsidR="00695445" w:rsidRDefault="00695445" w:rsidP="00695445">
      <w:pPr>
        <w:rPr>
          <w:rFonts w:cs="Calibri"/>
          <w:kern w:val="28"/>
          <w:szCs w:val="24"/>
        </w:rPr>
      </w:pPr>
      <w:r>
        <w:rPr>
          <w:rFonts w:cs="Calibri"/>
          <w:kern w:val="28"/>
          <w:szCs w:val="24"/>
          <w:highlight w:val="yellow"/>
        </w:rPr>
        <w:t>[</w:t>
      </w:r>
      <w:r w:rsidRPr="002E74D6">
        <w:rPr>
          <w:rFonts w:cs="Calibri"/>
          <w:kern w:val="28"/>
          <w:szCs w:val="24"/>
          <w:highlight w:val="yellow"/>
        </w:rPr>
        <w:t xml:space="preserve">Insert table </w:t>
      </w:r>
      <w:r>
        <w:rPr>
          <w:rFonts w:cs="Calibri"/>
          <w:kern w:val="28"/>
          <w:szCs w:val="24"/>
          <w:highlight w:val="yellow"/>
        </w:rPr>
        <w:t>similar to t</w:t>
      </w:r>
      <w:r w:rsidRPr="002E74D6">
        <w:rPr>
          <w:rFonts w:cs="Calibri"/>
          <w:kern w:val="28"/>
          <w:szCs w:val="24"/>
          <w:highlight w:val="yellow"/>
        </w:rPr>
        <w:t>he one below</w:t>
      </w:r>
      <w:r>
        <w:rPr>
          <w:rFonts w:cs="Calibri"/>
          <w:kern w:val="28"/>
          <w:szCs w:val="24"/>
          <w:highlight w:val="yellow"/>
        </w:rPr>
        <w:t>. I</w:t>
      </w:r>
      <w:r w:rsidRPr="002E74D6">
        <w:rPr>
          <w:rFonts w:cs="Calibri"/>
          <w:kern w:val="28"/>
          <w:szCs w:val="24"/>
          <w:highlight w:val="yellow"/>
        </w:rPr>
        <w:t>f desired, include the statewide targets in the table for reference purposes</w:t>
      </w:r>
      <w:r>
        <w:rPr>
          <w:rFonts w:cs="Calibri"/>
          <w:kern w:val="28"/>
          <w:szCs w:val="24"/>
          <w:highlight w:val="yellow"/>
        </w:rPr>
        <w:t xml:space="preserve">, or combine Tables </w:t>
      </w:r>
      <w:r w:rsidR="00942593">
        <w:rPr>
          <w:rFonts w:cs="Calibri"/>
          <w:kern w:val="28"/>
          <w:szCs w:val="24"/>
          <w:highlight w:val="yellow"/>
        </w:rPr>
        <w:t>5</w:t>
      </w:r>
      <w:r>
        <w:rPr>
          <w:rFonts w:cs="Calibri"/>
          <w:kern w:val="28"/>
          <w:szCs w:val="24"/>
          <w:highlight w:val="yellow"/>
        </w:rPr>
        <w:t xml:space="preserve">.1 and </w:t>
      </w:r>
      <w:r w:rsidR="00942593">
        <w:rPr>
          <w:rFonts w:cs="Calibri"/>
          <w:kern w:val="28"/>
          <w:szCs w:val="24"/>
          <w:highlight w:val="yellow"/>
        </w:rPr>
        <w:t>5</w:t>
      </w:r>
      <w:r>
        <w:rPr>
          <w:rFonts w:cs="Calibri"/>
          <w:kern w:val="28"/>
          <w:szCs w:val="24"/>
          <w:highlight w:val="yellow"/>
        </w:rPr>
        <w:t>.2 into one table</w:t>
      </w:r>
      <w:r w:rsidRPr="00FE62ED">
        <w:rPr>
          <w:rFonts w:cs="Calibri"/>
          <w:kern w:val="28"/>
          <w:szCs w:val="24"/>
          <w:highlight w:val="yellow"/>
        </w:rPr>
        <w:t>.</w:t>
      </w:r>
      <w:r>
        <w:rPr>
          <w:rFonts w:cs="Calibri"/>
          <w:kern w:val="28"/>
          <w:szCs w:val="24"/>
          <w:highlight w:val="yellow"/>
        </w:rPr>
        <w:t xml:space="preserve"> </w:t>
      </w:r>
      <w:r w:rsidR="00F64144">
        <w:rPr>
          <w:rFonts w:cs="Calibri"/>
          <w:kern w:val="28"/>
          <w:szCs w:val="24"/>
          <w:highlight w:val="yellow"/>
        </w:rPr>
        <w:t>M</w:t>
      </w:r>
      <w:r>
        <w:rPr>
          <w:rFonts w:cs="Calibri"/>
          <w:kern w:val="28"/>
          <w:szCs w:val="24"/>
          <w:highlight w:val="yellow"/>
        </w:rPr>
        <w:t xml:space="preserve">POs are required to establish only 4-year targets for the federal </w:t>
      </w:r>
      <w:r w:rsidR="00942593">
        <w:rPr>
          <w:rFonts w:cs="Calibri"/>
          <w:kern w:val="28"/>
          <w:szCs w:val="24"/>
          <w:highlight w:val="yellow"/>
        </w:rPr>
        <w:t xml:space="preserve">system performance and freight </w:t>
      </w:r>
      <w:r>
        <w:rPr>
          <w:rFonts w:cs="Calibri"/>
          <w:kern w:val="28"/>
          <w:szCs w:val="24"/>
          <w:highlight w:val="yellow"/>
        </w:rPr>
        <w:t xml:space="preserve">measures. </w:t>
      </w:r>
      <w:r w:rsidR="00F64144">
        <w:rPr>
          <w:rFonts w:cs="Calibri"/>
          <w:kern w:val="28"/>
          <w:szCs w:val="24"/>
          <w:highlight w:val="yellow"/>
        </w:rPr>
        <w:t>However, a</w:t>
      </w:r>
      <w:r>
        <w:rPr>
          <w:rFonts w:cs="Calibri"/>
          <w:kern w:val="28"/>
          <w:szCs w:val="24"/>
          <w:highlight w:val="yellow"/>
        </w:rPr>
        <w:t>n MPO may choose to establish 2-year targets.</w:t>
      </w:r>
      <w:r w:rsidRPr="00FE62ED">
        <w:rPr>
          <w:rFonts w:cs="Calibri"/>
          <w:kern w:val="28"/>
          <w:szCs w:val="24"/>
          <w:highlight w:val="yellow"/>
        </w:rPr>
        <w:t>]</w:t>
      </w:r>
    </w:p>
    <w:p w14:paraId="363590E0" w14:textId="4CCCF995" w:rsidR="00575744" w:rsidRDefault="00575744" w:rsidP="00695445">
      <w:pPr>
        <w:rPr>
          <w:rFonts w:cs="Calibri"/>
          <w:kern w:val="28"/>
          <w:szCs w:val="24"/>
        </w:rPr>
      </w:pPr>
    </w:p>
    <w:p w14:paraId="6E8F98DA" w14:textId="53CD128B" w:rsidR="00575744" w:rsidRDefault="00575744" w:rsidP="00695445">
      <w:pPr>
        <w:rPr>
          <w:rFonts w:cs="Calibri"/>
          <w:kern w:val="28"/>
          <w:szCs w:val="24"/>
        </w:rPr>
      </w:pPr>
    </w:p>
    <w:p w14:paraId="7D4D31E3" w14:textId="77777777" w:rsidR="00575744" w:rsidRDefault="00575744" w:rsidP="00695445">
      <w:pPr>
        <w:rPr>
          <w:rFonts w:cs="Calibri"/>
          <w:kern w:val="28"/>
          <w:szCs w:val="24"/>
        </w:rPr>
      </w:pPr>
    </w:p>
    <w:p w14:paraId="14980BBD" w14:textId="77777777" w:rsidR="00695445" w:rsidRPr="006C7BCD" w:rsidRDefault="00695445" w:rsidP="00695445">
      <w:pPr>
        <w:pStyle w:val="BodyText"/>
        <w:spacing w:after="120"/>
        <w:rPr>
          <w:b/>
        </w:rPr>
      </w:pPr>
      <w:r>
        <w:rPr>
          <w:b/>
        </w:rPr>
        <w:t>Table 5.2 [</w:t>
      </w:r>
      <w:r w:rsidRPr="000E0D08">
        <w:rPr>
          <w:b/>
          <w:highlight w:val="yellow"/>
        </w:rPr>
        <w:t>MPO name</w:t>
      </w:r>
      <w:r>
        <w:rPr>
          <w:b/>
        </w:rPr>
        <w:t>] System Performance and Freight Targets</w:t>
      </w:r>
    </w:p>
    <w:tbl>
      <w:tblPr>
        <w:tblW w:w="8901" w:type="dxa"/>
        <w:tblInd w:w="9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43" w:type="dxa"/>
          <w:right w:w="43" w:type="dxa"/>
        </w:tblCellMar>
        <w:tblLook w:val="01E0" w:firstRow="1" w:lastRow="1" w:firstColumn="1" w:lastColumn="1" w:noHBand="0" w:noVBand="0"/>
      </w:tblPr>
      <w:tblGrid>
        <w:gridCol w:w="5571"/>
        <w:gridCol w:w="3330"/>
      </w:tblGrid>
      <w:tr w:rsidR="00695445" w:rsidRPr="00922E8F" w14:paraId="7614EC82" w14:textId="77777777" w:rsidTr="00A75880">
        <w:tc>
          <w:tcPr>
            <w:tcW w:w="5571" w:type="dxa"/>
            <w:vAlign w:val="center"/>
          </w:tcPr>
          <w:p w14:paraId="280710AD" w14:textId="77777777" w:rsidR="00695445" w:rsidRPr="00922E8F" w:rsidRDefault="00695445" w:rsidP="0000371F">
            <w:pPr>
              <w:pStyle w:val="TableHeadText"/>
            </w:pPr>
            <w:r w:rsidRPr="00922E8F">
              <w:t>Performance Measure</w:t>
            </w:r>
          </w:p>
        </w:tc>
        <w:tc>
          <w:tcPr>
            <w:tcW w:w="3330" w:type="dxa"/>
            <w:vAlign w:val="center"/>
          </w:tcPr>
          <w:p w14:paraId="4C9B1F84" w14:textId="29B6804F" w:rsidR="00695445" w:rsidRPr="00922E8F" w:rsidRDefault="00A75880" w:rsidP="0000371F">
            <w:pPr>
              <w:pStyle w:val="TableHeadText"/>
              <w:jc w:val="center"/>
            </w:pPr>
            <w:r w:rsidRPr="00C114E9">
              <w:t>202</w:t>
            </w:r>
            <w:r w:rsidR="00C114E9">
              <w:t>5</w:t>
            </w:r>
            <w:r w:rsidR="00695445" w:rsidRPr="00922E8F">
              <w:t xml:space="preserve"> MPO Target</w:t>
            </w:r>
          </w:p>
        </w:tc>
      </w:tr>
      <w:tr w:rsidR="00695445" w:rsidRPr="007E16DA" w14:paraId="625C7052" w14:textId="77777777" w:rsidTr="00A75880">
        <w:tc>
          <w:tcPr>
            <w:tcW w:w="5571" w:type="dxa"/>
            <w:shd w:val="clear" w:color="auto" w:fill="F1F1F1"/>
            <w:vAlign w:val="center"/>
          </w:tcPr>
          <w:p w14:paraId="1BC2241A" w14:textId="0991FEDD" w:rsidR="00695445" w:rsidRPr="007E16DA" w:rsidRDefault="00695445" w:rsidP="0000371F">
            <w:pPr>
              <w:pStyle w:val="TableBodyText"/>
            </w:pPr>
            <w:r w:rsidRPr="007E16DA">
              <w:t xml:space="preserve">Percent of person-miles </w:t>
            </w:r>
            <w:r w:rsidR="002A10FC">
              <w:t xml:space="preserve">traveled </w:t>
            </w:r>
            <w:r w:rsidRPr="007E16DA">
              <w:t xml:space="preserve">on the Interstate that are reliable </w:t>
            </w:r>
          </w:p>
        </w:tc>
        <w:tc>
          <w:tcPr>
            <w:tcW w:w="3330" w:type="dxa"/>
            <w:shd w:val="clear" w:color="auto" w:fill="F1F1F1"/>
            <w:vAlign w:val="center"/>
          </w:tcPr>
          <w:p w14:paraId="01EFAA14" w14:textId="0E5B1C15" w:rsidR="00695445" w:rsidRPr="007E16DA" w:rsidRDefault="00695445" w:rsidP="0000371F">
            <w:pPr>
              <w:pStyle w:val="TableBodyText"/>
              <w:jc w:val="center"/>
              <w:rPr>
                <w:highlight w:val="yellow"/>
              </w:rPr>
            </w:pPr>
            <w:r w:rsidRPr="007E16DA">
              <w:rPr>
                <w:highlight w:val="yellow"/>
              </w:rPr>
              <w:t>xx.x%</w:t>
            </w:r>
          </w:p>
        </w:tc>
      </w:tr>
      <w:tr w:rsidR="00695445" w:rsidRPr="007E16DA" w14:paraId="5EA5EFA5" w14:textId="77777777" w:rsidTr="00A75880">
        <w:tc>
          <w:tcPr>
            <w:tcW w:w="5571" w:type="dxa"/>
            <w:vAlign w:val="center"/>
          </w:tcPr>
          <w:p w14:paraId="0F4DD655" w14:textId="604E5023" w:rsidR="00695445" w:rsidRPr="007E16DA" w:rsidRDefault="00695445" w:rsidP="0000371F">
            <w:pPr>
              <w:pStyle w:val="TableBodyText"/>
            </w:pPr>
            <w:r w:rsidRPr="007E16DA">
              <w:t xml:space="preserve">Percent of person-miles </w:t>
            </w:r>
            <w:r w:rsidR="00F00B5B">
              <w:t>traveled on</w:t>
            </w:r>
            <w:r w:rsidRPr="007E16DA">
              <w:t xml:space="preserve"> the non-Interstate NHS that are reliable </w:t>
            </w:r>
          </w:p>
        </w:tc>
        <w:tc>
          <w:tcPr>
            <w:tcW w:w="3330" w:type="dxa"/>
            <w:vAlign w:val="center"/>
          </w:tcPr>
          <w:p w14:paraId="38242B82" w14:textId="5850F824" w:rsidR="00695445" w:rsidRPr="007E16DA" w:rsidRDefault="00695445" w:rsidP="0000371F">
            <w:pPr>
              <w:pStyle w:val="TableBodyText"/>
              <w:jc w:val="center"/>
              <w:rPr>
                <w:highlight w:val="yellow"/>
              </w:rPr>
            </w:pPr>
            <w:r w:rsidRPr="007E16DA">
              <w:rPr>
                <w:highlight w:val="yellow"/>
              </w:rPr>
              <w:t>xx.x%</w:t>
            </w:r>
          </w:p>
        </w:tc>
      </w:tr>
      <w:tr w:rsidR="00695445" w:rsidRPr="007E16DA" w14:paraId="0984CBF9" w14:textId="77777777" w:rsidTr="00A75880">
        <w:tc>
          <w:tcPr>
            <w:tcW w:w="5571" w:type="dxa"/>
            <w:shd w:val="clear" w:color="auto" w:fill="F1F1F1"/>
            <w:vAlign w:val="center"/>
          </w:tcPr>
          <w:p w14:paraId="1EE7697B" w14:textId="3C713BFA" w:rsidR="00695445" w:rsidRPr="007E16DA" w:rsidRDefault="00695445" w:rsidP="0000371F">
            <w:pPr>
              <w:pStyle w:val="TableBodyText"/>
            </w:pPr>
            <w:r w:rsidRPr="007E16DA">
              <w:t xml:space="preserve">Truck travel time reliability </w:t>
            </w:r>
            <w:r w:rsidR="00960D47">
              <w:t xml:space="preserve">index </w:t>
            </w:r>
            <w:r w:rsidR="00985AAD">
              <w:t>(Interstate)</w:t>
            </w:r>
          </w:p>
        </w:tc>
        <w:tc>
          <w:tcPr>
            <w:tcW w:w="3330" w:type="dxa"/>
            <w:shd w:val="clear" w:color="auto" w:fill="F1F1F1"/>
            <w:vAlign w:val="center"/>
          </w:tcPr>
          <w:p w14:paraId="2EC653AC" w14:textId="354C64DB" w:rsidR="00695445" w:rsidRPr="007E16DA" w:rsidRDefault="00695445" w:rsidP="0000371F">
            <w:pPr>
              <w:pStyle w:val="TableBodyText"/>
              <w:jc w:val="center"/>
              <w:rPr>
                <w:highlight w:val="yellow"/>
              </w:rPr>
            </w:pPr>
            <w:r w:rsidRPr="007E16DA">
              <w:rPr>
                <w:highlight w:val="yellow"/>
              </w:rPr>
              <w:t>x.xx</w:t>
            </w:r>
          </w:p>
        </w:tc>
      </w:tr>
    </w:tbl>
    <w:p w14:paraId="1F5BCB0A" w14:textId="0FA4A1B0" w:rsidR="00616F98" w:rsidRDefault="00616F98" w:rsidP="00064ACC">
      <w:pPr>
        <w:rPr>
          <w:rFonts w:cs="Calibri"/>
          <w:kern w:val="28"/>
          <w:szCs w:val="24"/>
        </w:rPr>
      </w:pPr>
    </w:p>
    <w:p w14:paraId="61494078" w14:textId="24CE39DE" w:rsidR="00064ACC" w:rsidRDefault="00064ACC" w:rsidP="00064ACC">
      <w:pPr>
        <w:tabs>
          <w:tab w:val="left" w:pos="2250"/>
        </w:tabs>
        <w:rPr>
          <w:rFonts w:cs="Calibri"/>
          <w:bCs/>
          <w:color w:val="000000"/>
          <w:kern w:val="36"/>
          <w:szCs w:val="24"/>
        </w:rPr>
      </w:pPr>
      <w:r>
        <w:rPr>
          <w:rFonts w:cs="Calibri"/>
          <w:bCs/>
          <w:color w:val="000000"/>
          <w:kern w:val="36"/>
          <w:szCs w:val="24"/>
        </w:rPr>
        <w:t>In establishing the MPO’s targets for the system performance and freight measures, [</w:t>
      </w:r>
      <w:r w:rsidRPr="007E16DA">
        <w:rPr>
          <w:rFonts w:cs="Calibri"/>
          <w:kern w:val="28"/>
          <w:szCs w:val="24"/>
          <w:highlight w:val="yellow"/>
        </w:rPr>
        <w:t>insert MPO name</w:t>
      </w:r>
      <w:r w:rsidRPr="007E16DA">
        <w:rPr>
          <w:rFonts w:cs="Calibri"/>
          <w:kern w:val="28"/>
          <w:szCs w:val="24"/>
        </w:rPr>
        <w:t>]</w:t>
      </w:r>
      <w:r>
        <w:rPr>
          <w:rFonts w:cs="Calibri"/>
          <w:bCs/>
          <w:color w:val="000000"/>
          <w:kern w:val="36"/>
          <w:szCs w:val="24"/>
        </w:rPr>
        <w:t xml:space="preserve"> considered many factors</w:t>
      </w:r>
      <w:r w:rsidR="007026A1">
        <w:rPr>
          <w:rFonts w:cs="Calibri"/>
          <w:bCs/>
          <w:color w:val="000000"/>
          <w:kern w:val="36"/>
          <w:szCs w:val="24"/>
        </w:rPr>
        <w:t xml:space="preserve">. </w:t>
      </w:r>
      <w:r>
        <w:rPr>
          <w:rFonts w:cs="Calibri"/>
          <w:bCs/>
          <w:color w:val="000000"/>
          <w:kern w:val="36"/>
          <w:szCs w:val="24"/>
        </w:rPr>
        <w:t>[</w:t>
      </w:r>
      <w:r>
        <w:rPr>
          <w:rFonts w:cs="Calibri"/>
          <w:kern w:val="28"/>
          <w:szCs w:val="24"/>
          <w:highlight w:val="yellow"/>
        </w:rPr>
        <w:t xml:space="preserve">The </w:t>
      </w:r>
      <w:r w:rsidRPr="00BB3F9B">
        <w:rPr>
          <w:rFonts w:cs="Calibri"/>
          <w:kern w:val="28"/>
          <w:szCs w:val="24"/>
          <w:highlight w:val="yellow"/>
        </w:rPr>
        <w:t xml:space="preserve">MPO should </w:t>
      </w:r>
      <w:r>
        <w:rPr>
          <w:rFonts w:cs="Calibri"/>
          <w:kern w:val="28"/>
          <w:szCs w:val="24"/>
          <w:highlight w:val="yellow"/>
        </w:rPr>
        <w:t xml:space="preserve">discuss why and </w:t>
      </w:r>
      <w:r w:rsidRPr="00BB3F9B">
        <w:rPr>
          <w:rFonts w:cs="Calibri"/>
          <w:kern w:val="28"/>
          <w:szCs w:val="24"/>
          <w:highlight w:val="yellow"/>
        </w:rPr>
        <w:t xml:space="preserve">how it established its own targets. </w:t>
      </w:r>
      <w:r>
        <w:rPr>
          <w:rFonts w:cs="Calibri"/>
          <w:kern w:val="28"/>
          <w:szCs w:val="24"/>
          <w:highlight w:val="yellow"/>
        </w:rPr>
        <w:t>I</w:t>
      </w:r>
      <w:r w:rsidRPr="00BB3F9B">
        <w:rPr>
          <w:rFonts w:cs="Calibri"/>
          <w:kern w:val="28"/>
          <w:szCs w:val="24"/>
          <w:highlight w:val="yellow"/>
        </w:rPr>
        <w:t xml:space="preserve">nclude </w:t>
      </w:r>
      <w:r>
        <w:rPr>
          <w:rFonts w:cs="Calibri"/>
          <w:kern w:val="28"/>
          <w:szCs w:val="24"/>
          <w:highlight w:val="yellow"/>
        </w:rPr>
        <w:t xml:space="preserve">the basis </w:t>
      </w:r>
      <w:r w:rsidRPr="00BB3F9B">
        <w:rPr>
          <w:rFonts w:cs="Calibri"/>
          <w:kern w:val="28"/>
          <w:szCs w:val="24"/>
          <w:highlight w:val="yellow"/>
        </w:rPr>
        <w:t xml:space="preserve">for </w:t>
      </w:r>
      <w:r>
        <w:rPr>
          <w:rFonts w:cs="Calibri"/>
          <w:kern w:val="28"/>
          <w:szCs w:val="24"/>
          <w:highlight w:val="yellow"/>
        </w:rPr>
        <w:t xml:space="preserve">developing the </w:t>
      </w:r>
      <w:r w:rsidRPr="00BB3F9B">
        <w:rPr>
          <w:rFonts w:cs="Calibri"/>
          <w:kern w:val="28"/>
          <w:szCs w:val="24"/>
          <w:highlight w:val="yellow"/>
        </w:rPr>
        <w:t>MPO targets and</w:t>
      </w:r>
      <w:r>
        <w:rPr>
          <w:rFonts w:cs="Calibri"/>
          <w:kern w:val="28"/>
          <w:szCs w:val="24"/>
          <w:highlight w:val="yellow"/>
        </w:rPr>
        <w:t xml:space="preserve"> cite relevant factors. Examples may include </w:t>
      </w:r>
      <w:r w:rsidRPr="00BB3F9B">
        <w:rPr>
          <w:rFonts w:cs="Calibri"/>
          <w:kern w:val="28"/>
          <w:szCs w:val="24"/>
          <w:highlight w:val="yellow"/>
        </w:rPr>
        <w:t xml:space="preserve">different </w:t>
      </w:r>
      <w:r>
        <w:rPr>
          <w:rFonts w:cs="Calibri"/>
          <w:kern w:val="28"/>
          <w:szCs w:val="24"/>
          <w:highlight w:val="yellow"/>
        </w:rPr>
        <w:t>performance tren</w:t>
      </w:r>
      <w:r w:rsidRPr="00BB3F9B">
        <w:rPr>
          <w:rFonts w:cs="Calibri"/>
          <w:kern w:val="28"/>
          <w:szCs w:val="24"/>
          <w:highlight w:val="yellow"/>
        </w:rPr>
        <w:t xml:space="preserve">ds in the MPO area compared to the state, additional funding for </w:t>
      </w:r>
      <w:r>
        <w:rPr>
          <w:rFonts w:cs="Calibri"/>
          <w:kern w:val="28"/>
          <w:szCs w:val="24"/>
          <w:highlight w:val="yellow"/>
        </w:rPr>
        <w:t>system performance and/or freight projects in the MPO area</w:t>
      </w:r>
      <w:r w:rsidRPr="00BB3F9B">
        <w:rPr>
          <w:rFonts w:cs="Calibri"/>
          <w:kern w:val="28"/>
          <w:szCs w:val="24"/>
          <w:highlight w:val="yellow"/>
        </w:rPr>
        <w:t xml:space="preserve">, </w:t>
      </w:r>
      <w:r>
        <w:rPr>
          <w:rFonts w:cs="Calibri"/>
          <w:kern w:val="28"/>
          <w:szCs w:val="24"/>
          <w:highlight w:val="yellow"/>
        </w:rPr>
        <w:t xml:space="preserve">an increased focus on system performance or freight as an MPO priority, the use of reliability criteria for selecting </w:t>
      </w:r>
      <w:r w:rsidRPr="00BB3F9B">
        <w:rPr>
          <w:rFonts w:cs="Calibri"/>
          <w:kern w:val="28"/>
          <w:szCs w:val="24"/>
          <w:highlight w:val="yellow"/>
        </w:rPr>
        <w:t>project</w:t>
      </w:r>
      <w:r>
        <w:rPr>
          <w:rFonts w:cs="Calibri"/>
          <w:kern w:val="28"/>
          <w:szCs w:val="24"/>
          <w:highlight w:val="yellow"/>
        </w:rPr>
        <w:t>s</w:t>
      </w:r>
      <w:r w:rsidRPr="00BB3F9B">
        <w:rPr>
          <w:rFonts w:cs="Calibri"/>
          <w:kern w:val="28"/>
          <w:szCs w:val="24"/>
          <w:highlight w:val="yellow"/>
        </w:rPr>
        <w:t>, etc.</w:t>
      </w:r>
      <w:r>
        <w:rPr>
          <w:rFonts w:cs="Calibri"/>
          <w:bCs/>
          <w:color w:val="000000"/>
          <w:kern w:val="36"/>
          <w:szCs w:val="24"/>
        </w:rPr>
        <w:t xml:space="preserve">] </w:t>
      </w:r>
    </w:p>
    <w:p w14:paraId="3469CCFB" w14:textId="3C78C55A" w:rsidR="00B9621A" w:rsidRDefault="00B9621A" w:rsidP="00B9621A">
      <w:pPr>
        <w:rPr>
          <w:rFonts w:cs="Calibri"/>
          <w:bCs/>
          <w:color w:val="000000"/>
          <w:kern w:val="36"/>
          <w:szCs w:val="24"/>
        </w:rPr>
      </w:pPr>
      <w:r w:rsidRPr="00904649">
        <w:rPr>
          <w:rFonts w:cs="Calibri"/>
          <w:bCs/>
          <w:color w:val="000000"/>
          <w:kern w:val="36"/>
          <w:szCs w:val="24"/>
          <w:highlight w:val="yellow"/>
        </w:rPr>
        <w:t>[</w:t>
      </w:r>
      <w:r>
        <w:rPr>
          <w:rFonts w:cs="Calibri"/>
          <w:bCs/>
          <w:color w:val="000000"/>
          <w:kern w:val="36"/>
          <w:szCs w:val="24"/>
          <w:highlight w:val="yellow"/>
        </w:rPr>
        <w:t>END OF OPTION B</w:t>
      </w:r>
      <w:r w:rsidRPr="00904649">
        <w:rPr>
          <w:rFonts w:cs="Calibri"/>
          <w:bCs/>
          <w:color w:val="000000"/>
          <w:kern w:val="36"/>
          <w:szCs w:val="24"/>
          <w:highlight w:val="yellow"/>
        </w:rPr>
        <w:t xml:space="preserve">. Continue </w:t>
      </w:r>
      <w:r>
        <w:rPr>
          <w:rFonts w:cs="Calibri"/>
          <w:bCs/>
          <w:color w:val="000000"/>
          <w:kern w:val="36"/>
          <w:szCs w:val="24"/>
          <w:highlight w:val="yellow"/>
        </w:rPr>
        <w:t xml:space="preserve">with </w:t>
      </w:r>
      <w:r w:rsidRPr="00904649">
        <w:rPr>
          <w:rFonts w:cs="Calibri"/>
          <w:bCs/>
          <w:color w:val="000000"/>
          <w:kern w:val="36"/>
          <w:szCs w:val="24"/>
          <w:highlight w:val="yellow"/>
        </w:rPr>
        <w:t xml:space="preserve">“Section </w:t>
      </w:r>
      <w:r>
        <w:rPr>
          <w:rFonts w:cs="Calibri"/>
          <w:bCs/>
          <w:color w:val="000000"/>
          <w:kern w:val="36"/>
          <w:szCs w:val="24"/>
          <w:highlight w:val="yellow"/>
        </w:rPr>
        <w:t>5</w:t>
      </w:r>
      <w:r w:rsidRPr="00904649">
        <w:rPr>
          <w:rFonts w:cs="Calibri"/>
          <w:bCs/>
          <w:color w:val="000000"/>
          <w:kern w:val="36"/>
          <w:szCs w:val="24"/>
          <w:highlight w:val="yellow"/>
        </w:rPr>
        <w:t xml:space="preserve">.2 </w:t>
      </w:r>
      <w:r>
        <w:rPr>
          <w:rFonts w:cs="Calibri"/>
          <w:bCs/>
          <w:color w:val="000000"/>
          <w:kern w:val="36"/>
          <w:szCs w:val="24"/>
          <w:highlight w:val="yellow"/>
        </w:rPr>
        <w:t xml:space="preserve">System Performance and Freight Investments </w:t>
      </w:r>
      <w:r w:rsidRPr="00904649">
        <w:rPr>
          <w:rFonts w:cs="Calibri"/>
          <w:bCs/>
          <w:color w:val="000000"/>
          <w:kern w:val="36"/>
          <w:szCs w:val="24"/>
          <w:highlight w:val="yellow"/>
        </w:rPr>
        <w:t xml:space="preserve">in the </w:t>
      </w:r>
      <w:r>
        <w:rPr>
          <w:rFonts w:cs="Calibri"/>
          <w:bCs/>
          <w:color w:val="000000"/>
          <w:kern w:val="36"/>
          <w:szCs w:val="24"/>
          <w:highlight w:val="yellow"/>
        </w:rPr>
        <w:t>TIP</w:t>
      </w:r>
      <w:r w:rsidRPr="00904649">
        <w:rPr>
          <w:rFonts w:cs="Calibri"/>
          <w:bCs/>
          <w:color w:val="000000"/>
          <w:kern w:val="36"/>
          <w:szCs w:val="24"/>
          <w:highlight w:val="yellow"/>
        </w:rPr>
        <w:t>”</w:t>
      </w:r>
      <w:r w:rsidR="00F64144">
        <w:rPr>
          <w:rFonts w:cs="Calibri"/>
          <w:bCs/>
          <w:color w:val="000000"/>
          <w:kern w:val="36"/>
          <w:szCs w:val="24"/>
          <w:highlight w:val="yellow"/>
        </w:rPr>
        <w:t xml:space="preserve"> below.</w:t>
      </w:r>
      <w:r w:rsidRPr="00904649">
        <w:rPr>
          <w:rFonts w:cs="Calibri"/>
          <w:bCs/>
          <w:color w:val="000000"/>
          <w:kern w:val="36"/>
          <w:szCs w:val="24"/>
          <w:highlight w:val="yellow"/>
        </w:rPr>
        <w:t>]</w:t>
      </w:r>
    </w:p>
    <w:p w14:paraId="06CDFC41" w14:textId="7102F1F5" w:rsidR="0081745A" w:rsidRPr="007E16DA" w:rsidRDefault="0081745A" w:rsidP="0081745A">
      <w:pPr>
        <w:pStyle w:val="Heading2"/>
        <w:spacing w:before="0"/>
      </w:pPr>
      <w:bookmarkStart w:id="27" w:name="_Toc97743205"/>
      <w:bookmarkStart w:id="28" w:name="_Toc126264202"/>
      <w:r>
        <w:t>5.2 System Performance and Freight Investments in the TIP</w:t>
      </w:r>
      <w:bookmarkEnd w:id="27"/>
      <w:bookmarkEnd w:id="28"/>
    </w:p>
    <w:p w14:paraId="21036CE7" w14:textId="11103BD3" w:rsidR="002C3E43" w:rsidRDefault="00B05D40" w:rsidP="00CB7329">
      <w:pPr>
        <w:tabs>
          <w:tab w:val="left" w:pos="2250"/>
        </w:tabs>
        <w:rPr>
          <w:rFonts w:cs="Calibri"/>
          <w:bCs/>
          <w:color w:val="000000"/>
          <w:kern w:val="36"/>
          <w:szCs w:val="24"/>
        </w:rPr>
      </w:pPr>
      <w:r>
        <w:rPr>
          <w:rFonts w:cs="Calibri"/>
          <w:bCs/>
          <w:color w:val="000000"/>
          <w:kern w:val="36"/>
          <w:szCs w:val="24"/>
          <w:highlight w:val="yellow"/>
        </w:rPr>
        <w:t>[</w:t>
      </w:r>
      <w:r w:rsidR="002C3E43" w:rsidRPr="002C3E43">
        <w:rPr>
          <w:rFonts w:cs="Calibri"/>
          <w:bCs/>
          <w:color w:val="000000"/>
          <w:kern w:val="36"/>
          <w:szCs w:val="24"/>
          <w:highlight w:val="yellow"/>
        </w:rPr>
        <w:t xml:space="preserve">The TIP document must include a written narrative describing the anticipated effect of the TIP toward achieving the targets, linking investment priorities to those performance targets. MPOs could address this requirement by describing how the </w:t>
      </w:r>
      <w:r w:rsidR="00F64144">
        <w:rPr>
          <w:rFonts w:cs="Calibri"/>
          <w:bCs/>
          <w:color w:val="000000"/>
          <w:kern w:val="36"/>
          <w:szCs w:val="24"/>
          <w:highlight w:val="yellow"/>
        </w:rPr>
        <w:t xml:space="preserve">system performance and freight </w:t>
      </w:r>
      <w:r w:rsidR="002C3E43" w:rsidRPr="002C3E43">
        <w:rPr>
          <w:rFonts w:cs="Calibri"/>
          <w:bCs/>
          <w:color w:val="000000"/>
          <w:kern w:val="36"/>
          <w:szCs w:val="24"/>
          <w:highlight w:val="yellow"/>
        </w:rPr>
        <w:t xml:space="preserve">projects in the TIP were determined, </w:t>
      </w:r>
      <w:r w:rsidR="00494297">
        <w:rPr>
          <w:rFonts w:cs="Calibri"/>
          <w:bCs/>
          <w:color w:val="000000"/>
          <w:kern w:val="36"/>
          <w:szCs w:val="24"/>
          <w:highlight w:val="yellow"/>
        </w:rPr>
        <w:t xml:space="preserve">including how performance targets were considered in this process. The section also can discuss </w:t>
      </w:r>
      <w:r w:rsidR="002C3E43" w:rsidRPr="002C3E43">
        <w:rPr>
          <w:rFonts w:cs="Calibri"/>
          <w:bCs/>
          <w:color w:val="000000"/>
          <w:kern w:val="36"/>
          <w:szCs w:val="24"/>
          <w:highlight w:val="yellow"/>
        </w:rPr>
        <w:t xml:space="preserve">how the TIP implements goals, objectives, strategies, and investment priorities from other performance-based plans and processes (for example, </w:t>
      </w:r>
      <w:r w:rsidR="00A83D2D" w:rsidRPr="002C3E43">
        <w:rPr>
          <w:rFonts w:cs="Calibri"/>
          <w:bCs/>
          <w:color w:val="000000"/>
          <w:kern w:val="36"/>
          <w:szCs w:val="24"/>
          <w:highlight w:val="yellow"/>
        </w:rPr>
        <w:t xml:space="preserve">the </w:t>
      </w:r>
      <w:r w:rsidR="00F21468">
        <w:rPr>
          <w:rFonts w:cs="Calibri"/>
          <w:bCs/>
          <w:color w:val="000000"/>
          <w:kern w:val="36"/>
          <w:szCs w:val="24"/>
          <w:highlight w:val="yellow"/>
        </w:rPr>
        <w:t>Florida</w:t>
      </w:r>
      <w:r w:rsidR="00494297">
        <w:rPr>
          <w:rFonts w:cs="Calibri"/>
          <w:bCs/>
          <w:color w:val="000000"/>
          <w:kern w:val="36"/>
          <w:szCs w:val="24"/>
          <w:highlight w:val="yellow"/>
        </w:rPr>
        <w:t xml:space="preserve"> Freight Mobility and Trade Plan</w:t>
      </w:r>
      <w:r w:rsidR="002C3E43" w:rsidRPr="002C3E43">
        <w:rPr>
          <w:rFonts w:cs="Calibri"/>
          <w:bCs/>
          <w:color w:val="000000"/>
          <w:kern w:val="36"/>
          <w:szCs w:val="24"/>
          <w:highlight w:val="yellow"/>
        </w:rPr>
        <w:t xml:space="preserve">). MPOs are required to describe the anticipated effect of the collective program of project activities, not </w:t>
      </w:r>
      <w:r w:rsidR="00494297">
        <w:rPr>
          <w:rFonts w:cs="Calibri"/>
          <w:bCs/>
          <w:color w:val="000000"/>
          <w:kern w:val="36"/>
          <w:szCs w:val="24"/>
          <w:highlight w:val="yellow"/>
        </w:rPr>
        <w:t xml:space="preserve">the impact of </w:t>
      </w:r>
      <w:r w:rsidR="002C3E43" w:rsidRPr="002C3E43">
        <w:rPr>
          <w:rFonts w:cs="Calibri"/>
          <w:bCs/>
          <w:color w:val="000000"/>
          <w:kern w:val="36"/>
          <w:szCs w:val="24"/>
          <w:highlight w:val="yellow"/>
        </w:rPr>
        <w:t>individual projects in the TIP.</w:t>
      </w:r>
      <w:r>
        <w:rPr>
          <w:rFonts w:cs="Calibri"/>
          <w:bCs/>
          <w:color w:val="000000"/>
          <w:kern w:val="36"/>
          <w:szCs w:val="24"/>
        </w:rPr>
        <w:t>]</w:t>
      </w:r>
    </w:p>
    <w:p w14:paraId="2EA0A3F5" w14:textId="0B2C1E98" w:rsidR="008B194B" w:rsidRDefault="000C1B01" w:rsidP="00CB7329">
      <w:pPr>
        <w:tabs>
          <w:tab w:val="left" w:pos="2250"/>
        </w:tabs>
        <w:rPr>
          <w:rFonts w:cs="Calibri"/>
          <w:kern w:val="28"/>
          <w:szCs w:val="24"/>
        </w:rPr>
      </w:pPr>
      <w:r>
        <w:rPr>
          <w:rFonts w:cs="Calibri"/>
          <w:bCs/>
          <w:color w:val="000000"/>
          <w:kern w:val="36"/>
          <w:szCs w:val="24"/>
        </w:rPr>
        <w:t xml:space="preserve">The </w:t>
      </w:r>
      <w:r w:rsidRPr="00D405C2">
        <w:rPr>
          <w:rFonts w:cs="Calibri"/>
          <w:bCs/>
          <w:color w:val="000000"/>
          <w:kern w:val="36"/>
          <w:szCs w:val="24"/>
          <w:highlight w:val="yellow"/>
        </w:rPr>
        <w:t>[insert MPO name]</w:t>
      </w:r>
      <w:r>
        <w:rPr>
          <w:rFonts w:cs="Calibri"/>
          <w:bCs/>
          <w:color w:val="000000"/>
          <w:kern w:val="36"/>
          <w:szCs w:val="24"/>
        </w:rPr>
        <w:t xml:space="preserve"> TIP </w:t>
      </w:r>
      <w:r w:rsidRPr="006B411F">
        <w:rPr>
          <w:rFonts w:cs="Calibri"/>
          <w:bCs/>
          <w:color w:val="000000"/>
          <w:kern w:val="36"/>
          <w:szCs w:val="24"/>
        </w:rPr>
        <w:t xml:space="preserve">reflects investment priorities established in the </w:t>
      </w:r>
      <w:r w:rsidRPr="00474E76">
        <w:rPr>
          <w:rFonts w:cs="Calibri"/>
          <w:bCs/>
          <w:color w:val="000000"/>
          <w:kern w:val="36"/>
          <w:szCs w:val="24"/>
          <w:highlight w:val="yellow"/>
        </w:rPr>
        <w:t>[insert name of the current LRTP]</w:t>
      </w:r>
      <w:r w:rsidR="007026A1">
        <w:rPr>
          <w:rFonts w:cs="Calibri"/>
          <w:bCs/>
          <w:color w:val="000000"/>
          <w:kern w:val="36"/>
          <w:szCs w:val="24"/>
          <w:highlight w:val="yellow"/>
        </w:rPr>
        <w:t xml:space="preserve">. </w:t>
      </w:r>
      <w:r w:rsidR="008B194B" w:rsidRPr="007E16DA">
        <w:rPr>
          <w:rFonts w:cs="Calibri"/>
          <w:kern w:val="28"/>
          <w:szCs w:val="24"/>
        </w:rPr>
        <w:t>The focus of [</w:t>
      </w:r>
      <w:r w:rsidR="008B194B" w:rsidRPr="000822E1">
        <w:rPr>
          <w:rFonts w:cs="Calibri"/>
          <w:kern w:val="28"/>
          <w:szCs w:val="24"/>
          <w:highlight w:val="yellow"/>
        </w:rPr>
        <w:t>insert MPO name</w:t>
      </w:r>
      <w:r w:rsidR="008B194B" w:rsidRPr="007E16DA">
        <w:rPr>
          <w:rFonts w:cs="Calibri"/>
          <w:kern w:val="28"/>
          <w:szCs w:val="24"/>
        </w:rPr>
        <w:t xml:space="preserve">]’s investments that address system performance and </w:t>
      </w:r>
      <w:r w:rsidR="00283F9B">
        <w:rPr>
          <w:rFonts w:cs="Calibri"/>
          <w:kern w:val="28"/>
          <w:szCs w:val="24"/>
        </w:rPr>
        <w:t>freight</w:t>
      </w:r>
      <w:r w:rsidR="008B194B" w:rsidRPr="007E16DA">
        <w:rPr>
          <w:rFonts w:cs="Calibri"/>
          <w:kern w:val="28"/>
          <w:szCs w:val="24"/>
        </w:rPr>
        <w:t xml:space="preserve"> include [</w:t>
      </w:r>
      <w:r w:rsidR="008B194B" w:rsidRPr="000822E1">
        <w:rPr>
          <w:rFonts w:cs="Calibri"/>
          <w:kern w:val="28"/>
          <w:szCs w:val="24"/>
          <w:highlight w:val="yellow"/>
        </w:rPr>
        <w:t xml:space="preserve">list </w:t>
      </w:r>
      <w:r w:rsidR="008B194B" w:rsidRPr="00F7379B">
        <w:rPr>
          <w:rFonts w:cs="Calibri"/>
          <w:kern w:val="28"/>
          <w:szCs w:val="24"/>
          <w:highlight w:val="yellow"/>
          <w:u w:val="single"/>
        </w:rPr>
        <w:t>example</w:t>
      </w:r>
      <w:r w:rsidR="008B194B" w:rsidRPr="000822E1">
        <w:rPr>
          <w:rFonts w:cs="Calibri"/>
          <w:kern w:val="28"/>
          <w:szCs w:val="24"/>
          <w:highlight w:val="yellow"/>
        </w:rPr>
        <w:t xml:space="preserve"> programs and strategies</w:t>
      </w:r>
      <w:r w:rsidR="00283F9B">
        <w:rPr>
          <w:rFonts w:cs="Calibri"/>
          <w:kern w:val="28"/>
          <w:szCs w:val="24"/>
          <w:highlight w:val="yellow"/>
        </w:rPr>
        <w:t xml:space="preserve"> or major projects</w:t>
      </w:r>
      <w:r w:rsidR="008B194B" w:rsidRPr="000822E1">
        <w:rPr>
          <w:rFonts w:cs="Calibri"/>
          <w:kern w:val="28"/>
          <w:szCs w:val="24"/>
          <w:highlight w:val="yellow"/>
        </w:rPr>
        <w:t xml:space="preserve"> funded in the TIP that address</w:t>
      </w:r>
      <w:r w:rsidR="001C25E1">
        <w:rPr>
          <w:rFonts w:cs="Calibri"/>
          <w:kern w:val="28"/>
          <w:szCs w:val="24"/>
          <w:highlight w:val="yellow"/>
        </w:rPr>
        <w:t xml:space="preserve"> system performance and</w:t>
      </w:r>
      <w:r w:rsidR="008B194B" w:rsidRPr="000822E1">
        <w:rPr>
          <w:rFonts w:cs="Calibri"/>
          <w:kern w:val="28"/>
          <w:szCs w:val="24"/>
          <w:highlight w:val="yellow"/>
        </w:rPr>
        <w:t xml:space="preserve"> </w:t>
      </w:r>
      <w:r w:rsidR="00283F9B">
        <w:rPr>
          <w:rFonts w:cs="Calibri"/>
          <w:kern w:val="28"/>
          <w:szCs w:val="24"/>
          <w:highlight w:val="yellow"/>
        </w:rPr>
        <w:t>freight</w:t>
      </w:r>
      <w:r w:rsidR="008B194B" w:rsidRPr="000822E1">
        <w:rPr>
          <w:rFonts w:cs="Calibri"/>
          <w:kern w:val="28"/>
          <w:szCs w:val="24"/>
          <w:highlight w:val="yellow"/>
        </w:rPr>
        <w:t xml:space="preserve"> on the </w:t>
      </w:r>
      <w:r w:rsidR="008B194B">
        <w:rPr>
          <w:rFonts w:cs="Calibri"/>
          <w:kern w:val="28"/>
          <w:szCs w:val="24"/>
          <w:highlight w:val="yellow"/>
        </w:rPr>
        <w:t xml:space="preserve">Interstate and non-Interstate </w:t>
      </w:r>
      <w:r w:rsidR="008B194B" w:rsidRPr="000822E1">
        <w:rPr>
          <w:rFonts w:cs="Calibri"/>
          <w:kern w:val="28"/>
          <w:szCs w:val="24"/>
          <w:highlight w:val="yellow"/>
        </w:rPr>
        <w:t>NHS in the MPO area, such as those in the following categor</w:t>
      </w:r>
      <w:r w:rsidR="008B194B">
        <w:rPr>
          <w:rFonts w:cs="Calibri"/>
          <w:kern w:val="28"/>
          <w:szCs w:val="24"/>
          <w:highlight w:val="yellow"/>
        </w:rPr>
        <w:t>ies</w:t>
      </w:r>
      <w:r w:rsidR="008B194B" w:rsidRPr="000822E1">
        <w:rPr>
          <w:rFonts w:cs="Calibri"/>
          <w:kern w:val="28"/>
          <w:szCs w:val="24"/>
          <w:highlight w:val="yellow"/>
        </w:rPr>
        <w:t>:</w:t>
      </w:r>
    </w:p>
    <w:p w14:paraId="63BEAC6B" w14:textId="77777777" w:rsidR="008B194B" w:rsidRPr="000822E1" w:rsidRDefault="008B194B" w:rsidP="0000371F">
      <w:pPr>
        <w:pStyle w:val="ListBullet"/>
        <w:rPr>
          <w:rFonts w:eastAsia="Calibri"/>
          <w:highlight w:val="yellow"/>
        </w:rPr>
      </w:pPr>
      <w:r w:rsidRPr="000822E1">
        <w:rPr>
          <w:rFonts w:eastAsia="Calibri"/>
          <w:highlight w:val="yellow"/>
        </w:rPr>
        <w:t>Corridor improvements</w:t>
      </w:r>
    </w:p>
    <w:p w14:paraId="24E96A7A" w14:textId="77777777" w:rsidR="008B194B" w:rsidRPr="000822E1" w:rsidRDefault="008B194B" w:rsidP="0000371F">
      <w:pPr>
        <w:pStyle w:val="ListBullet"/>
        <w:rPr>
          <w:rFonts w:eastAsia="Calibri"/>
          <w:highlight w:val="yellow"/>
        </w:rPr>
      </w:pPr>
      <w:r w:rsidRPr="000822E1">
        <w:rPr>
          <w:rFonts w:eastAsia="Calibri"/>
          <w:highlight w:val="yellow"/>
        </w:rPr>
        <w:t>Intersection improvements (on NHS roads)</w:t>
      </w:r>
    </w:p>
    <w:p w14:paraId="29A6897D" w14:textId="77777777" w:rsidR="008B194B" w:rsidRPr="000822E1" w:rsidRDefault="008B194B" w:rsidP="0000371F">
      <w:pPr>
        <w:pStyle w:val="ListBullet"/>
        <w:rPr>
          <w:rFonts w:eastAsia="Calibri"/>
          <w:highlight w:val="yellow"/>
        </w:rPr>
      </w:pPr>
      <w:r w:rsidRPr="000822E1">
        <w:rPr>
          <w:rFonts w:eastAsia="Calibri"/>
          <w:highlight w:val="yellow"/>
        </w:rPr>
        <w:t>Projects evaluated in the CMP and selected for the TIP</w:t>
      </w:r>
    </w:p>
    <w:p w14:paraId="74F5389A" w14:textId="77777777" w:rsidR="008B194B" w:rsidRPr="000822E1" w:rsidRDefault="008B194B" w:rsidP="0000371F">
      <w:pPr>
        <w:pStyle w:val="ListBullet"/>
        <w:rPr>
          <w:rFonts w:eastAsia="Calibri"/>
          <w:highlight w:val="yellow"/>
        </w:rPr>
      </w:pPr>
      <w:r w:rsidRPr="000822E1">
        <w:rPr>
          <w:rFonts w:eastAsia="Calibri"/>
          <w:highlight w:val="yellow"/>
        </w:rPr>
        <w:t>Investments in transit, bicycle, or pedestrian systems that promote mode shift</w:t>
      </w:r>
    </w:p>
    <w:p w14:paraId="7E8974FC" w14:textId="77777777" w:rsidR="008B194B" w:rsidRDefault="008B194B" w:rsidP="0000371F">
      <w:pPr>
        <w:pStyle w:val="ListBullet"/>
        <w:rPr>
          <w:rFonts w:eastAsia="Calibri"/>
          <w:highlight w:val="yellow"/>
        </w:rPr>
      </w:pPr>
      <w:r w:rsidRPr="000822E1">
        <w:rPr>
          <w:rFonts w:eastAsia="Calibri"/>
          <w:highlight w:val="yellow"/>
        </w:rPr>
        <w:lastRenderedPageBreak/>
        <w:t>Managed lanes</w:t>
      </w:r>
    </w:p>
    <w:p w14:paraId="4335F6AD" w14:textId="2CBC4BAB" w:rsidR="001C25E1" w:rsidRPr="00C103BD" w:rsidRDefault="001C25E1" w:rsidP="0000371F">
      <w:pPr>
        <w:pStyle w:val="ListBullet"/>
        <w:rPr>
          <w:rFonts w:eastAsia="Calibri"/>
          <w:highlight w:val="yellow"/>
        </w:rPr>
      </w:pPr>
      <w:r w:rsidRPr="00C103BD">
        <w:rPr>
          <w:rFonts w:eastAsia="Calibri"/>
          <w:highlight w:val="yellow"/>
        </w:rPr>
        <w:t xml:space="preserve">Freight improvements (Interstate) that increase reliability (could include improved weigh stations, addressing identified truck bottlenecks on the Interstate, etc.). </w:t>
      </w:r>
    </w:p>
    <w:p w14:paraId="7A59F04A" w14:textId="6A93CD40" w:rsidR="008B194B" w:rsidRPr="000822E1" w:rsidRDefault="008B194B" w:rsidP="0000371F">
      <w:pPr>
        <w:pStyle w:val="ListBullet"/>
        <w:rPr>
          <w:rFonts w:eastAsia="Calibri"/>
          <w:highlight w:val="yellow"/>
        </w:rPr>
      </w:pPr>
      <w:r w:rsidRPr="000822E1">
        <w:rPr>
          <w:rFonts w:eastAsia="Calibri"/>
          <w:highlight w:val="yellow"/>
        </w:rPr>
        <w:t>TSMO</w:t>
      </w:r>
      <w:r w:rsidR="001C25E1">
        <w:rPr>
          <w:rFonts w:eastAsia="Calibri"/>
          <w:highlight w:val="yellow"/>
        </w:rPr>
        <w:t>/ITS</w:t>
      </w:r>
      <w:r w:rsidRPr="000822E1">
        <w:rPr>
          <w:rFonts w:eastAsia="Calibri"/>
          <w:highlight w:val="yellow"/>
        </w:rPr>
        <w:t xml:space="preserve"> projects or programs </w:t>
      </w:r>
    </w:p>
    <w:p w14:paraId="676433C0" w14:textId="030F1948" w:rsidR="008B194B" w:rsidRPr="003520B2" w:rsidRDefault="008B194B" w:rsidP="0000371F">
      <w:pPr>
        <w:pStyle w:val="ListBullet"/>
        <w:rPr>
          <w:rFonts w:eastAsia="Calibri"/>
          <w:highlight w:val="yellow"/>
        </w:rPr>
      </w:pPr>
      <w:r w:rsidRPr="003520B2">
        <w:rPr>
          <w:rFonts w:eastAsia="Calibri"/>
          <w:highlight w:val="yellow"/>
        </w:rPr>
        <w:t>Travel demand management programs</w:t>
      </w:r>
      <w:r w:rsidR="001C25E1">
        <w:rPr>
          <w:rFonts w:eastAsia="Calibri"/>
          <w:highlight w:val="yellow"/>
        </w:rPr>
        <w:t xml:space="preserve">, </w:t>
      </w:r>
      <w:r w:rsidR="007026A1">
        <w:rPr>
          <w:rFonts w:eastAsia="Calibri"/>
          <w:highlight w:val="yellow"/>
        </w:rPr>
        <w:t>park,</w:t>
      </w:r>
      <w:r w:rsidR="001C25E1">
        <w:rPr>
          <w:rFonts w:eastAsia="Calibri"/>
          <w:highlight w:val="yellow"/>
        </w:rPr>
        <w:t xml:space="preserve"> and ride lots, etc.</w:t>
      </w:r>
      <w:r w:rsidRPr="003520B2">
        <w:rPr>
          <w:highlight w:val="yellow"/>
        </w:rPr>
        <w:t>]</w:t>
      </w:r>
    </w:p>
    <w:p w14:paraId="0A224A1C" w14:textId="7549A31D" w:rsidR="008B194B" w:rsidRPr="00C56757" w:rsidRDefault="008B194B" w:rsidP="00C56757">
      <w:pPr>
        <w:tabs>
          <w:tab w:val="left" w:pos="2250"/>
        </w:tabs>
        <w:rPr>
          <w:rFonts w:cs="Calibri"/>
          <w:kern w:val="28"/>
          <w:szCs w:val="24"/>
          <w:highlight w:val="yellow"/>
        </w:rPr>
      </w:pPr>
      <w:r w:rsidRPr="00C56757">
        <w:rPr>
          <w:rFonts w:cs="Calibri"/>
          <w:kern w:val="28"/>
          <w:szCs w:val="24"/>
          <w:highlight w:val="yellow"/>
        </w:rPr>
        <w:t xml:space="preserve">[If the MPO uses project selection criteria related to congestion-relief, reliability, mode shift, </w:t>
      </w:r>
      <w:r w:rsidR="001C25E1" w:rsidRPr="00C56757">
        <w:rPr>
          <w:rFonts w:cs="Calibri"/>
          <w:kern w:val="28"/>
          <w:szCs w:val="24"/>
          <w:highlight w:val="yellow"/>
        </w:rPr>
        <w:t xml:space="preserve">freight, </w:t>
      </w:r>
      <w:r w:rsidRPr="00C56757">
        <w:rPr>
          <w:rFonts w:cs="Calibri"/>
          <w:kern w:val="28"/>
          <w:szCs w:val="24"/>
          <w:highlight w:val="yellow"/>
        </w:rPr>
        <w:t>TDM, etc. in the LRTP or TIP development process, insert a discussion here</w:t>
      </w:r>
      <w:r w:rsidR="007026A1">
        <w:rPr>
          <w:rFonts w:cs="Calibri"/>
          <w:kern w:val="28"/>
          <w:szCs w:val="24"/>
          <w:highlight w:val="yellow"/>
        </w:rPr>
        <w:t xml:space="preserve">. </w:t>
      </w:r>
      <w:r w:rsidRPr="00C56757">
        <w:rPr>
          <w:rFonts w:cs="Calibri"/>
          <w:kern w:val="28"/>
          <w:szCs w:val="24"/>
          <w:highlight w:val="yellow"/>
        </w:rPr>
        <w:t xml:space="preserve">Note any data-driven, </w:t>
      </w:r>
      <w:r w:rsidR="00CD0074" w:rsidRPr="00C56757">
        <w:rPr>
          <w:rFonts w:cs="Calibri"/>
          <w:kern w:val="28"/>
          <w:szCs w:val="24"/>
          <w:highlight w:val="yellow"/>
        </w:rPr>
        <w:t>performance-based</w:t>
      </w:r>
      <w:r w:rsidRPr="00C56757">
        <w:rPr>
          <w:rFonts w:cs="Calibri"/>
          <w:kern w:val="28"/>
          <w:szCs w:val="24"/>
          <w:highlight w:val="yellow"/>
        </w:rPr>
        <w:t xml:space="preserve"> elements.] </w:t>
      </w:r>
    </w:p>
    <w:p w14:paraId="6081C33A" w14:textId="25038613" w:rsidR="008B194B" w:rsidRPr="00C56757" w:rsidRDefault="008B194B" w:rsidP="00C56757">
      <w:pPr>
        <w:tabs>
          <w:tab w:val="left" w:pos="2250"/>
        </w:tabs>
        <w:rPr>
          <w:rFonts w:cs="Calibri"/>
          <w:kern w:val="28"/>
          <w:szCs w:val="24"/>
          <w:highlight w:val="yellow"/>
        </w:rPr>
      </w:pPr>
      <w:r w:rsidRPr="00C56757">
        <w:rPr>
          <w:rFonts w:cs="Calibri"/>
          <w:kern w:val="28"/>
          <w:szCs w:val="24"/>
          <w:highlight w:val="yellow"/>
        </w:rPr>
        <w:t xml:space="preserve">[Summarize the funding amounts identified in the TIP for </w:t>
      </w:r>
      <w:r w:rsidR="007A13DF" w:rsidRPr="00C56757">
        <w:rPr>
          <w:rFonts w:cs="Calibri"/>
          <w:kern w:val="28"/>
          <w:szCs w:val="24"/>
          <w:highlight w:val="yellow"/>
        </w:rPr>
        <w:t>system performance and freight</w:t>
      </w:r>
      <w:r w:rsidRPr="00C56757">
        <w:rPr>
          <w:rFonts w:cs="Calibri"/>
          <w:kern w:val="28"/>
          <w:szCs w:val="24"/>
          <w:highlight w:val="yellow"/>
        </w:rPr>
        <w:t xml:space="preserve">-related projects </w:t>
      </w:r>
      <w:r w:rsidR="007A13DF" w:rsidRPr="00C56757">
        <w:rPr>
          <w:rFonts w:cs="Calibri"/>
          <w:kern w:val="28"/>
          <w:szCs w:val="24"/>
          <w:highlight w:val="yellow"/>
        </w:rPr>
        <w:t xml:space="preserve">on the NHS </w:t>
      </w:r>
      <w:r w:rsidRPr="00C56757">
        <w:rPr>
          <w:rFonts w:cs="Calibri"/>
          <w:kern w:val="28"/>
          <w:szCs w:val="24"/>
          <w:highlight w:val="yellow"/>
        </w:rPr>
        <w:t>such as those listed above</w:t>
      </w:r>
      <w:r w:rsidR="007026A1">
        <w:rPr>
          <w:rFonts w:cs="Calibri"/>
          <w:kern w:val="28"/>
          <w:szCs w:val="24"/>
          <w:highlight w:val="yellow"/>
        </w:rPr>
        <w:t xml:space="preserve">. </w:t>
      </w:r>
      <w:r w:rsidRPr="00C56757">
        <w:rPr>
          <w:rFonts w:cs="Calibri"/>
          <w:kern w:val="28"/>
          <w:szCs w:val="24"/>
          <w:highlight w:val="yellow"/>
        </w:rPr>
        <w:t xml:space="preserve">Also consider how other project types may contribute toward achievement of statewide </w:t>
      </w:r>
      <w:r w:rsidR="000C1B01" w:rsidRPr="00C56757">
        <w:rPr>
          <w:rFonts w:cs="Calibri"/>
          <w:kern w:val="28"/>
          <w:szCs w:val="24"/>
          <w:highlight w:val="yellow"/>
        </w:rPr>
        <w:t xml:space="preserve">targets - </w:t>
      </w:r>
      <w:r w:rsidRPr="00C56757">
        <w:rPr>
          <w:rFonts w:cs="Calibri"/>
          <w:kern w:val="28"/>
          <w:szCs w:val="24"/>
          <w:highlight w:val="yellow"/>
        </w:rPr>
        <w:t xml:space="preserve">for example, </w:t>
      </w:r>
      <w:r w:rsidR="000C1B01" w:rsidRPr="00C56757">
        <w:rPr>
          <w:rFonts w:cs="Calibri"/>
          <w:kern w:val="28"/>
          <w:szCs w:val="24"/>
          <w:highlight w:val="yellow"/>
        </w:rPr>
        <w:t>s</w:t>
      </w:r>
      <w:r w:rsidRPr="00C56757">
        <w:rPr>
          <w:rFonts w:cs="Calibri"/>
          <w:kern w:val="28"/>
          <w:szCs w:val="24"/>
          <w:highlight w:val="yellow"/>
        </w:rPr>
        <w:t>afety</w:t>
      </w:r>
      <w:r w:rsidR="000C1B01" w:rsidRPr="00C56757">
        <w:rPr>
          <w:rFonts w:cs="Calibri"/>
          <w:kern w:val="28"/>
          <w:szCs w:val="24"/>
          <w:highlight w:val="yellow"/>
        </w:rPr>
        <w:t xml:space="preserve"> programs could</w:t>
      </w:r>
      <w:r w:rsidRPr="00C56757">
        <w:rPr>
          <w:rFonts w:cs="Calibri"/>
          <w:kern w:val="28"/>
          <w:szCs w:val="24"/>
          <w:highlight w:val="yellow"/>
        </w:rPr>
        <w:t xml:space="preserve"> reduce incidents and </w:t>
      </w:r>
      <w:r w:rsidR="00640319">
        <w:rPr>
          <w:rFonts w:cs="Calibri"/>
          <w:kern w:val="28"/>
          <w:szCs w:val="24"/>
          <w:highlight w:val="yellow"/>
        </w:rPr>
        <w:t>related</w:t>
      </w:r>
      <w:r w:rsidRPr="00C56757">
        <w:rPr>
          <w:rFonts w:cs="Calibri"/>
          <w:kern w:val="28"/>
          <w:szCs w:val="24"/>
          <w:highlight w:val="yellow"/>
        </w:rPr>
        <w:t xml:space="preserve"> travel delay.</w:t>
      </w:r>
      <w:r w:rsidR="00F21468">
        <w:rPr>
          <w:rFonts w:cs="Calibri"/>
          <w:kern w:val="28"/>
          <w:szCs w:val="24"/>
          <w:highlight w:val="yellow"/>
        </w:rPr>
        <w:t>]</w:t>
      </w:r>
      <w:r w:rsidRPr="00C56757">
        <w:rPr>
          <w:rFonts w:cs="Calibri"/>
          <w:kern w:val="28"/>
          <w:szCs w:val="24"/>
          <w:highlight w:val="yellow"/>
        </w:rPr>
        <w:t xml:space="preserve"> </w:t>
      </w:r>
    </w:p>
    <w:p w14:paraId="6D2B649B" w14:textId="67BBED8A" w:rsidR="008B194B" w:rsidRDefault="00F21468" w:rsidP="00C56757">
      <w:pPr>
        <w:tabs>
          <w:tab w:val="left" w:pos="2250"/>
        </w:tabs>
        <w:rPr>
          <w:rFonts w:cs="Calibri"/>
          <w:kern w:val="28"/>
          <w:szCs w:val="24"/>
          <w:highlight w:val="yellow"/>
        </w:rPr>
      </w:pPr>
      <w:r>
        <w:rPr>
          <w:rFonts w:cs="Calibri"/>
          <w:kern w:val="28"/>
          <w:szCs w:val="24"/>
          <w:highlight w:val="yellow"/>
        </w:rPr>
        <w:t>[</w:t>
      </w:r>
      <w:r w:rsidR="008B194B">
        <w:rPr>
          <w:rFonts w:cs="Calibri"/>
          <w:kern w:val="28"/>
          <w:szCs w:val="24"/>
          <w:highlight w:val="yellow"/>
        </w:rPr>
        <w:t xml:space="preserve">Example: </w:t>
      </w:r>
      <w:r w:rsidR="008B194B" w:rsidRPr="004B0657">
        <w:rPr>
          <w:rFonts w:cs="Calibri"/>
          <w:kern w:val="28"/>
          <w:szCs w:val="24"/>
          <w:highlight w:val="yellow"/>
        </w:rPr>
        <w:t xml:space="preserve">The TIP </w:t>
      </w:r>
      <w:r w:rsidR="008B194B">
        <w:rPr>
          <w:rFonts w:cs="Calibri"/>
          <w:kern w:val="28"/>
          <w:szCs w:val="24"/>
          <w:highlight w:val="yellow"/>
        </w:rPr>
        <w:t xml:space="preserve">devotes a significant amount of resources to </w:t>
      </w:r>
      <w:r w:rsidR="00283F9B">
        <w:rPr>
          <w:rFonts w:cs="Calibri"/>
          <w:kern w:val="28"/>
          <w:szCs w:val="24"/>
          <w:highlight w:val="yellow"/>
        </w:rPr>
        <w:t xml:space="preserve">programs and </w:t>
      </w:r>
      <w:r w:rsidR="008B194B">
        <w:rPr>
          <w:rFonts w:cs="Calibri"/>
          <w:kern w:val="28"/>
          <w:szCs w:val="24"/>
          <w:highlight w:val="yellow"/>
        </w:rPr>
        <w:t xml:space="preserve">projects that will improve </w:t>
      </w:r>
      <w:r w:rsidR="00283F9B">
        <w:rPr>
          <w:rFonts w:cs="Calibri"/>
          <w:kern w:val="28"/>
          <w:szCs w:val="24"/>
          <w:highlight w:val="yellow"/>
        </w:rPr>
        <w:t xml:space="preserve">system performance and freight </w:t>
      </w:r>
      <w:r w:rsidR="008B194B">
        <w:rPr>
          <w:rFonts w:cs="Calibri"/>
          <w:kern w:val="28"/>
          <w:szCs w:val="24"/>
          <w:highlight w:val="yellow"/>
        </w:rPr>
        <w:t>reliability on the Interstate and non-Interstate NHS</w:t>
      </w:r>
      <w:r w:rsidR="00CE5F06">
        <w:rPr>
          <w:rFonts w:cs="Calibri"/>
          <w:kern w:val="28"/>
          <w:szCs w:val="24"/>
          <w:highlight w:val="yellow"/>
        </w:rPr>
        <w:t xml:space="preserve">. </w:t>
      </w:r>
      <w:r w:rsidR="008B194B">
        <w:rPr>
          <w:rFonts w:cs="Calibri"/>
          <w:kern w:val="28"/>
          <w:szCs w:val="24"/>
          <w:highlight w:val="yellow"/>
        </w:rPr>
        <w:t>I</w:t>
      </w:r>
      <w:r w:rsidR="008B194B" w:rsidRPr="004B0657">
        <w:rPr>
          <w:rFonts w:cs="Calibri"/>
          <w:kern w:val="28"/>
          <w:szCs w:val="24"/>
          <w:highlight w:val="yellow"/>
        </w:rPr>
        <w:t>nvestments</w:t>
      </w:r>
      <w:r w:rsidR="008B194B">
        <w:rPr>
          <w:rFonts w:cs="Calibri"/>
          <w:kern w:val="28"/>
          <w:szCs w:val="24"/>
          <w:highlight w:val="yellow"/>
        </w:rPr>
        <w:t xml:space="preserve"> </w:t>
      </w:r>
      <w:r w:rsidR="008B194B" w:rsidRPr="004B0657">
        <w:rPr>
          <w:rFonts w:cs="Calibri"/>
          <w:kern w:val="28"/>
          <w:szCs w:val="24"/>
          <w:highlight w:val="yellow"/>
        </w:rPr>
        <w:t xml:space="preserve">include </w:t>
      </w:r>
      <w:r w:rsidR="008B194B">
        <w:rPr>
          <w:rFonts w:cs="Calibri"/>
          <w:kern w:val="28"/>
          <w:szCs w:val="24"/>
          <w:highlight w:val="yellow"/>
        </w:rPr>
        <w:t xml:space="preserve">(list </w:t>
      </w:r>
      <w:r w:rsidR="00283F9B">
        <w:rPr>
          <w:rFonts w:cs="Calibri"/>
          <w:kern w:val="28"/>
          <w:szCs w:val="24"/>
          <w:highlight w:val="yellow"/>
        </w:rPr>
        <w:t>pr</w:t>
      </w:r>
      <w:r w:rsidR="000C1B01">
        <w:rPr>
          <w:rFonts w:cs="Calibri"/>
          <w:kern w:val="28"/>
          <w:szCs w:val="24"/>
          <w:highlight w:val="yellow"/>
        </w:rPr>
        <w:t>ograms</w:t>
      </w:r>
      <w:r w:rsidR="008B194B">
        <w:rPr>
          <w:rFonts w:cs="Calibri"/>
          <w:kern w:val="28"/>
          <w:szCs w:val="24"/>
          <w:highlight w:val="yellow"/>
        </w:rPr>
        <w:t xml:space="preserve"> such as those identified above)</w:t>
      </w:r>
      <w:r w:rsidR="007026A1">
        <w:rPr>
          <w:rFonts w:cs="Calibri"/>
          <w:kern w:val="28"/>
          <w:szCs w:val="24"/>
          <w:highlight w:val="yellow"/>
        </w:rPr>
        <w:t xml:space="preserve">. </w:t>
      </w:r>
      <w:r w:rsidR="008B194B" w:rsidRPr="004B0657">
        <w:rPr>
          <w:rFonts w:cs="Calibri"/>
          <w:kern w:val="28"/>
          <w:szCs w:val="24"/>
          <w:highlight w:val="yellow"/>
        </w:rPr>
        <w:t xml:space="preserve">The TIP will fund $x million for </w:t>
      </w:r>
      <w:r w:rsidR="008B194B">
        <w:rPr>
          <w:rFonts w:cs="Calibri"/>
          <w:kern w:val="28"/>
          <w:szCs w:val="24"/>
          <w:highlight w:val="yellow"/>
        </w:rPr>
        <w:t xml:space="preserve">intersection improvements, </w:t>
      </w:r>
      <w:r w:rsidR="008B194B" w:rsidRPr="004B0657">
        <w:rPr>
          <w:rFonts w:cs="Calibri"/>
          <w:kern w:val="28"/>
          <w:szCs w:val="24"/>
          <w:highlight w:val="yellow"/>
        </w:rPr>
        <w:t xml:space="preserve">$x million for </w:t>
      </w:r>
      <w:r w:rsidR="008B194B">
        <w:rPr>
          <w:rFonts w:cs="Calibri"/>
          <w:kern w:val="28"/>
          <w:szCs w:val="24"/>
          <w:highlight w:val="yellow"/>
        </w:rPr>
        <w:t xml:space="preserve">congestion relief projects, </w:t>
      </w:r>
      <w:r w:rsidR="00283F9B">
        <w:rPr>
          <w:rFonts w:cs="Calibri"/>
          <w:kern w:val="28"/>
          <w:szCs w:val="24"/>
          <w:highlight w:val="yellow"/>
        </w:rPr>
        <w:t xml:space="preserve">$x million for freight, </w:t>
      </w:r>
      <w:r w:rsidR="008B194B">
        <w:rPr>
          <w:rFonts w:cs="Calibri"/>
          <w:kern w:val="28"/>
          <w:szCs w:val="24"/>
          <w:highlight w:val="yellow"/>
        </w:rPr>
        <w:t>$x thousand for TDM, $xx million for managed lanes, and $x million for TSMO projects</w:t>
      </w:r>
      <w:r w:rsidR="008B194B" w:rsidRPr="004B0657">
        <w:rPr>
          <w:rFonts w:cs="Calibri"/>
          <w:kern w:val="28"/>
          <w:szCs w:val="24"/>
          <w:highlight w:val="yellow"/>
        </w:rPr>
        <w:t>.]</w:t>
      </w:r>
    </w:p>
    <w:p w14:paraId="33737A6B" w14:textId="02DC5975" w:rsidR="00990747" w:rsidRPr="005F59F2" w:rsidRDefault="00990747" w:rsidP="005F59F2">
      <w:pPr>
        <w:pBdr>
          <w:top w:val="single" w:sz="4" w:space="1" w:color="auto"/>
          <w:left w:val="single" w:sz="4" w:space="4" w:color="auto"/>
          <w:bottom w:val="single" w:sz="4" w:space="1" w:color="auto"/>
          <w:right w:val="single" w:sz="4" w:space="4" w:color="auto"/>
        </w:pBdr>
        <w:tabs>
          <w:tab w:val="left" w:pos="2250"/>
        </w:tabs>
        <w:rPr>
          <w:rFonts w:cs="Calibri"/>
          <w:kern w:val="28"/>
          <w:szCs w:val="24"/>
        </w:rPr>
      </w:pPr>
      <w:r w:rsidRPr="005F59F2">
        <w:rPr>
          <w:rFonts w:cs="Calibri"/>
          <w:kern w:val="28"/>
          <w:szCs w:val="24"/>
        </w:rPr>
        <w:t xml:space="preserve">Example from the Space Coast </w:t>
      </w:r>
      <w:r w:rsidR="00CB7329" w:rsidRPr="005F59F2">
        <w:rPr>
          <w:rFonts w:cs="Calibri"/>
          <w:kern w:val="28"/>
          <w:szCs w:val="24"/>
        </w:rPr>
        <w:t>T</w:t>
      </w:r>
      <w:r w:rsidRPr="005F59F2">
        <w:rPr>
          <w:rFonts w:cs="Calibri"/>
          <w:kern w:val="28"/>
          <w:szCs w:val="24"/>
        </w:rPr>
        <w:t>PO:</w:t>
      </w:r>
      <w:r w:rsidR="00CB7329" w:rsidRPr="005F59F2">
        <w:rPr>
          <w:rStyle w:val="FootnoteReference"/>
          <w:rFonts w:cs="Calibri"/>
          <w:kern w:val="28"/>
          <w:szCs w:val="24"/>
        </w:rPr>
        <w:footnoteReference w:id="10"/>
      </w:r>
    </w:p>
    <w:p w14:paraId="3C01B9F3" w14:textId="75F5AAD9" w:rsidR="004C6C2C" w:rsidRPr="00CB7329" w:rsidRDefault="004C6C2C" w:rsidP="005F59F2">
      <w:pPr>
        <w:pBdr>
          <w:top w:val="single" w:sz="4" w:space="1" w:color="auto"/>
          <w:left w:val="single" w:sz="4" w:space="4" w:color="auto"/>
          <w:bottom w:val="single" w:sz="4" w:space="1" w:color="auto"/>
          <w:right w:val="single" w:sz="4" w:space="4" w:color="auto"/>
        </w:pBdr>
        <w:tabs>
          <w:tab w:val="left" w:pos="2250"/>
        </w:tabs>
        <w:rPr>
          <w:rFonts w:cs="Calibri"/>
          <w:i/>
          <w:iCs/>
          <w:kern w:val="28"/>
          <w:szCs w:val="24"/>
        </w:rPr>
      </w:pPr>
      <w:r w:rsidRPr="00CB7329">
        <w:rPr>
          <w:rFonts w:cs="Calibri"/>
          <w:i/>
          <w:iCs/>
          <w:kern w:val="28"/>
          <w:szCs w:val="24"/>
        </w:rPr>
        <w:t>The Space Coast TPO’s TIP reflects investment priorities established in the 204</w:t>
      </w:r>
      <w:r w:rsidR="00B06414">
        <w:rPr>
          <w:rFonts w:cs="Calibri"/>
          <w:i/>
          <w:iCs/>
          <w:kern w:val="28"/>
          <w:szCs w:val="24"/>
        </w:rPr>
        <w:t>5</w:t>
      </w:r>
      <w:r w:rsidRPr="00CB7329">
        <w:rPr>
          <w:rFonts w:cs="Calibri"/>
          <w:i/>
          <w:iCs/>
          <w:kern w:val="28"/>
          <w:szCs w:val="24"/>
        </w:rPr>
        <w:t xml:space="preserve"> LRTP</w:t>
      </w:r>
      <w:r w:rsidR="007026A1" w:rsidRPr="00CB7329">
        <w:rPr>
          <w:rFonts w:cs="Calibri"/>
          <w:i/>
          <w:iCs/>
          <w:kern w:val="28"/>
          <w:szCs w:val="24"/>
        </w:rPr>
        <w:t xml:space="preserve">. </w:t>
      </w:r>
      <w:r w:rsidRPr="00CB7329">
        <w:rPr>
          <w:rFonts w:cs="Calibri"/>
          <w:i/>
          <w:iCs/>
          <w:kern w:val="28"/>
          <w:szCs w:val="24"/>
        </w:rPr>
        <w:t>The focus of Space Coast TPO’s investments that address system performance and freight are identified below</w:t>
      </w:r>
      <w:r w:rsidR="007026A1" w:rsidRPr="00CB7329">
        <w:rPr>
          <w:rFonts w:cs="Calibri"/>
          <w:i/>
          <w:iCs/>
          <w:kern w:val="28"/>
          <w:szCs w:val="24"/>
        </w:rPr>
        <w:t xml:space="preserve">. </w:t>
      </w:r>
      <w:r w:rsidRPr="00CB7329">
        <w:rPr>
          <w:rFonts w:cs="Calibri"/>
          <w:i/>
          <w:iCs/>
          <w:kern w:val="28"/>
          <w:szCs w:val="24"/>
        </w:rPr>
        <w:t>The TIP will fund $</w:t>
      </w:r>
      <w:r w:rsidR="00B06414">
        <w:rPr>
          <w:rFonts w:cs="Calibri"/>
          <w:i/>
          <w:iCs/>
          <w:kern w:val="28"/>
          <w:szCs w:val="24"/>
        </w:rPr>
        <w:t>201</w:t>
      </w:r>
      <w:r w:rsidRPr="00CB7329">
        <w:rPr>
          <w:rFonts w:cs="Calibri"/>
          <w:i/>
          <w:iCs/>
          <w:kern w:val="28"/>
          <w:szCs w:val="24"/>
        </w:rPr>
        <w:t xml:space="preserve"> million for congestion relief projects and freight, $</w:t>
      </w:r>
      <w:r w:rsidR="00B06414">
        <w:rPr>
          <w:rFonts w:cs="Calibri"/>
          <w:i/>
          <w:iCs/>
          <w:kern w:val="28"/>
          <w:szCs w:val="24"/>
        </w:rPr>
        <w:t>12</w:t>
      </w:r>
      <w:r w:rsidRPr="00CB7329">
        <w:rPr>
          <w:rFonts w:cs="Calibri"/>
          <w:i/>
          <w:iCs/>
          <w:kern w:val="28"/>
          <w:szCs w:val="24"/>
        </w:rPr>
        <w:t>.2 million for TSM&amp;O projects.</w:t>
      </w:r>
    </w:p>
    <w:p w14:paraId="29477C44" w14:textId="77777777" w:rsidR="004C6C2C" w:rsidRPr="00CB7329" w:rsidRDefault="004C6C2C" w:rsidP="005F59F2">
      <w:pPr>
        <w:pStyle w:val="ListParagraph"/>
        <w:numPr>
          <w:ilvl w:val="0"/>
          <w:numId w:val="32"/>
        </w:numPr>
        <w:pBdr>
          <w:top w:val="single" w:sz="4" w:space="1" w:color="auto"/>
          <w:left w:val="single" w:sz="4" w:space="4" w:color="auto"/>
          <w:bottom w:val="single" w:sz="4" w:space="1" w:color="auto"/>
          <w:right w:val="single" w:sz="4" w:space="4" w:color="auto"/>
        </w:pBdr>
        <w:tabs>
          <w:tab w:val="left" w:pos="2250"/>
        </w:tabs>
        <w:spacing w:after="100"/>
        <w:ind w:left="360"/>
        <w:contextualSpacing w:val="0"/>
        <w:rPr>
          <w:rFonts w:cs="Calibri"/>
          <w:i/>
          <w:iCs/>
          <w:kern w:val="28"/>
          <w:szCs w:val="24"/>
        </w:rPr>
      </w:pPr>
      <w:r w:rsidRPr="00CB7329">
        <w:rPr>
          <w:rFonts w:cs="Calibri"/>
          <w:i/>
          <w:iCs/>
          <w:kern w:val="28"/>
          <w:szCs w:val="24"/>
        </w:rPr>
        <w:t>Intersection improvements (on NHS roads) – US 192 / Hollywood.</w:t>
      </w:r>
    </w:p>
    <w:p w14:paraId="775DA489" w14:textId="6CA839B2" w:rsidR="00B06414" w:rsidRDefault="004C6C2C" w:rsidP="005F59F2">
      <w:pPr>
        <w:pStyle w:val="ListParagraph"/>
        <w:numPr>
          <w:ilvl w:val="0"/>
          <w:numId w:val="32"/>
        </w:numPr>
        <w:pBdr>
          <w:top w:val="single" w:sz="4" w:space="1" w:color="auto"/>
          <w:left w:val="single" w:sz="4" w:space="4" w:color="auto"/>
          <w:bottom w:val="single" w:sz="4" w:space="1" w:color="auto"/>
          <w:right w:val="single" w:sz="4" w:space="4" w:color="auto"/>
        </w:pBdr>
        <w:tabs>
          <w:tab w:val="left" w:pos="2250"/>
        </w:tabs>
        <w:spacing w:after="100"/>
        <w:ind w:left="360"/>
        <w:contextualSpacing w:val="0"/>
        <w:rPr>
          <w:rFonts w:cs="Calibri"/>
          <w:i/>
          <w:iCs/>
          <w:kern w:val="28"/>
          <w:szCs w:val="24"/>
        </w:rPr>
      </w:pPr>
      <w:r w:rsidRPr="00CB7329">
        <w:rPr>
          <w:rFonts w:cs="Calibri"/>
          <w:i/>
          <w:iCs/>
          <w:kern w:val="28"/>
          <w:szCs w:val="24"/>
        </w:rPr>
        <w:t>Freight improvements (SIS) to increase capacity on SR 528 (Beachline)</w:t>
      </w:r>
      <w:r w:rsidR="00286A7C">
        <w:rPr>
          <w:rFonts w:cs="Calibri"/>
          <w:i/>
          <w:iCs/>
          <w:kern w:val="28"/>
          <w:szCs w:val="24"/>
        </w:rPr>
        <w:t xml:space="preserve"> and roadway</w:t>
      </w:r>
      <w:r w:rsidR="00244DB4">
        <w:rPr>
          <w:rFonts w:cs="Calibri"/>
          <w:i/>
          <w:iCs/>
          <w:kern w:val="28"/>
          <w:szCs w:val="24"/>
        </w:rPr>
        <w:t xml:space="preserve"> rehabilitation to SR 528 and I-95.</w:t>
      </w:r>
    </w:p>
    <w:p w14:paraId="3792E59B" w14:textId="04B33B65" w:rsidR="00B06414" w:rsidRDefault="00B06414" w:rsidP="005F59F2">
      <w:pPr>
        <w:pStyle w:val="ListParagraph"/>
        <w:numPr>
          <w:ilvl w:val="0"/>
          <w:numId w:val="32"/>
        </w:numPr>
        <w:pBdr>
          <w:top w:val="single" w:sz="4" w:space="1" w:color="auto"/>
          <w:left w:val="single" w:sz="4" w:space="4" w:color="auto"/>
          <w:bottom w:val="single" w:sz="4" w:space="1" w:color="auto"/>
          <w:right w:val="single" w:sz="4" w:space="4" w:color="auto"/>
        </w:pBdr>
        <w:tabs>
          <w:tab w:val="left" w:pos="2250"/>
        </w:tabs>
        <w:spacing w:after="100"/>
        <w:ind w:left="360"/>
        <w:contextualSpacing w:val="0"/>
        <w:rPr>
          <w:rFonts w:cs="Calibri"/>
          <w:i/>
          <w:iCs/>
          <w:kern w:val="28"/>
          <w:szCs w:val="24"/>
        </w:rPr>
      </w:pPr>
      <w:r w:rsidRPr="00B06414">
        <w:rPr>
          <w:rFonts w:cs="Calibri"/>
          <w:i/>
          <w:iCs/>
          <w:kern w:val="28"/>
          <w:szCs w:val="24"/>
        </w:rPr>
        <w:t>Ellis Road widening (SIS) to Orlando-Melbourne International Airport.</w:t>
      </w:r>
    </w:p>
    <w:p w14:paraId="0E4D2AD7" w14:textId="622A3759" w:rsidR="004C6C2C" w:rsidRPr="00CB7329" w:rsidRDefault="004C6C2C" w:rsidP="005F59F2">
      <w:pPr>
        <w:pStyle w:val="ListParagraph"/>
        <w:numPr>
          <w:ilvl w:val="0"/>
          <w:numId w:val="32"/>
        </w:numPr>
        <w:pBdr>
          <w:top w:val="single" w:sz="4" w:space="1" w:color="auto"/>
          <w:left w:val="single" w:sz="4" w:space="4" w:color="auto"/>
          <w:bottom w:val="single" w:sz="4" w:space="1" w:color="auto"/>
          <w:right w:val="single" w:sz="4" w:space="4" w:color="auto"/>
        </w:pBdr>
        <w:tabs>
          <w:tab w:val="left" w:pos="2250"/>
        </w:tabs>
        <w:spacing w:after="100"/>
        <w:ind w:left="360"/>
        <w:contextualSpacing w:val="0"/>
        <w:rPr>
          <w:rFonts w:cs="Calibri"/>
          <w:i/>
          <w:iCs/>
          <w:kern w:val="28"/>
          <w:szCs w:val="24"/>
        </w:rPr>
      </w:pPr>
      <w:r w:rsidRPr="00CB7329">
        <w:rPr>
          <w:rFonts w:cs="Calibri"/>
          <w:i/>
          <w:iCs/>
          <w:kern w:val="28"/>
          <w:szCs w:val="24"/>
        </w:rPr>
        <w:t>Space Freight (SIS hubs and connectors) – replacement of NASA Cswy/Indian River Bridge; SR 405 Spaceport Connector Intersection improvements</w:t>
      </w:r>
      <w:r w:rsidR="00B06414">
        <w:rPr>
          <w:rFonts w:cs="Calibri"/>
          <w:i/>
          <w:iCs/>
          <w:kern w:val="28"/>
          <w:szCs w:val="24"/>
        </w:rPr>
        <w:t>; Space Commerce Way widening</w:t>
      </w:r>
      <w:r w:rsidR="007026A1">
        <w:rPr>
          <w:rFonts w:cs="Calibri"/>
          <w:i/>
          <w:iCs/>
          <w:kern w:val="28"/>
          <w:szCs w:val="24"/>
        </w:rPr>
        <w:t xml:space="preserve">. </w:t>
      </w:r>
    </w:p>
    <w:p w14:paraId="417131B4" w14:textId="4D40F690" w:rsidR="004C6C2C" w:rsidRPr="00B06414" w:rsidRDefault="00B06414" w:rsidP="005F59F2">
      <w:pPr>
        <w:pStyle w:val="ListParagraph"/>
        <w:numPr>
          <w:ilvl w:val="0"/>
          <w:numId w:val="32"/>
        </w:numPr>
        <w:pBdr>
          <w:top w:val="single" w:sz="4" w:space="1" w:color="auto"/>
          <w:left w:val="single" w:sz="4" w:space="4" w:color="auto"/>
          <w:bottom w:val="single" w:sz="4" w:space="1" w:color="auto"/>
          <w:right w:val="single" w:sz="4" w:space="4" w:color="auto"/>
        </w:pBdr>
        <w:tabs>
          <w:tab w:val="left" w:pos="2250"/>
        </w:tabs>
        <w:spacing w:after="100"/>
        <w:ind w:left="360"/>
        <w:contextualSpacing w:val="0"/>
        <w:rPr>
          <w:rFonts w:cs="Calibri"/>
          <w:i/>
          <w:iCs/>
          <w:kern w:val="28"/>
          <w:szCs w:val="24"/>
        </w:rPr>
      </w:pPr>
      <w:r w:rsidRPr="00B06414">
        <w:rPr>
          <w:rFonts w:cs="Calibri"/>
          <w:i/>
          <w:iCs/>
          <w:kern w:val="28"/>
          <w:szCs w:val="24"/>
        </w:rPr>
        <w:t>Freight and Cargo - SR 401 bascule bridges replacement – critical to economic prosperity of central Florida regions – corridor serves, Port Canaveral cruise passengers, Kennedy Space Center, Space Florida, Seaport Canaveral, port assets of the US Navy and US army and the Cape Canaveral Air force Station. The volume of freight and cargo movement is drivers that impact the performance and reliability of the bascule bridges</w:t>
      </w:r>
      <w:r w:rsidR="00C35C98" w:rsidRPr="00B06414">
        <w:rPr>
          <w:rFonts w:cs="Calibri"/>
          <w:i/>
          <w:iCs/>
          <w:kern w:val="28"/>
          <w:szCs w:val="24"/>
        </w:rPr>
        <w:t xml:space="preserve">. </w:t>
      </w:r>
    </w:p>
    <w:p w14:paraId="2E8C97B0" w14:textId="77777777" w:rsidR="004C6C2C" w:rsidRPr="00CB7329" w:rsidRDefault="004C6C2C" w:rsidP="005F59F2">
      <w:pPr>
        <w:pStyle w:val="ListParagraph"/>
        <w:numPr>
          <w:ilvl w:val="0"/>
          <w:numId w:val="32"/>
        </w:numPr>
        <w:pBdr>
          <w:top w:val="single" w:sz="4" w:space="1" w:color="auto"/>
          <w:left w:val="single" w:sz="4" w:space="4" w:color="auto"/>
          <w:bottom w:val="single" w:sz="4" w:space="1" w:color="auto"/>
          <w:right w:val="single" w:sz="4" w:space="4" w:color="auto"/>
        </w:pBdr>
        <w:tabs>
          <w:tab w:val="left" w:pos="2250"/>
        </w:tabs>
        <w:spacing w:after="100"/>
        <w:ind w:left="360"/>
        <w:contextualSpacing w:val="0"/>
        <w:rPr>
          <w:rFonts w:cs="Calibri"/>
          <w:i/>
          <w:iCs/>
          <w:kern w:val="28"/>
          <w:szCs w:val="24"/>
        </w:rPr>
      </w:pPr>
      <w:r w:rsidRPr="00CB7329">
        <w:rPr>
          <w:rFonts w:cs="Calibri"/>
          <w:i/>
          <w:iCs/>
          <w:kern w:val="28"/>
          <w:szCs w:val="24"/>
        </w:rPr>
        <w:t xml:space="preserve">Investments in transit, bicycle, or pedestrian systems that promote mode shift. </w:t>
      </w:r>
    </w:p>
    <w:p w14:paraId="62A417D9" w14:textId="77777777" w:rsidR="004C6C2C" w:rsidRDefault="004C6C2C" w:rsidP="005F59F2">
      <w:pPr>
        <w:pStyle w:val="ListParagraph"/>
        <w:numPr>
          <w:ilvl w:val="0"/>
          <w:numId w:val="32"/>
        </w:numPr>
        <w:pBdr>
          <w:top w:val="single" w:sz="4" w:space="1" w:color="auto"/>
          <w:left w:val="single" w:sz="4" w:space="4" w:color="auto"/>
          <w:bottom w:val="single" w:sz="4" w:space="1" w:color="auto"/>
          <w:right w:val="single" w:sz="4" w:space="4" w:color="auto"/>
        </w:pBdr>
        <w:tabs>
          <w:tab w:val="left" w:pos="2250"/>
        </w:tabs>
        <w:spacing w:after="100"/>
        <w:ind w:left="360"/>
        <w:contextualSpacing w:val="0"/>
        <w:rPr>
          <w:rFonts w:cs="Calibri"/>
          <w:i/>
          <w:iCs/>
          <w:kern w:val="28"/>
          <w:szCs w:val="24"/>
        </w:rPr>
      </w:pPr>
      <w:r w:rsidRPr="00640319">
        <w:rPr>
          <w:rFonts w:cs="Calibri"/>
          <w:i/>
          <w:iCs/>
          <w:kern w:val="28"/>
          <w:szCs w:val="24"/>
        </w:rPr>
        <w:lastRenderedPageBreak/>
        <w:t xml:space="preserve">TSM&amp;O / ITS projects - The strategies to address these objectives include capital investments in the county’s arterial and limited access roadways providing access to major economic generators like ports, downtown areas, and other emerging employment centers as well as incremental improvements in the county’s Intelligent Transportation System through the TPO’s ITS Master Plan. </w:t>
      </w:r>
    </w:p>
    <w:p w14:paraId="4C33C2A9" w14:textId="77777777" w:rsidR="004C6C2C" w:rsidRPr="00247E70" w:rsidRDefault="004C6C2C" w:rsidP="005F59F2">
      <w:pPr>
        <w:pStyle w:val="ListParagraph"/>
        <w:numPr>
          <w:ilvl w:val="0"/>
          <w:numId w:val="32"/>
        </w:numPr>
        <w:pBdr>
          <w:top w:val="single" w:sz="4" w:space="1" w:color="auto"/>
          <w:left w:val="single" w:sz="4" w:space="4" w:color="auto"/>
          <w:bottom w:val="single" w:sz="4" w:space="1" w:color="auto"/>
          <w:right w:val="single" w:sz="4" w:space="4" w:color="auto"/>
        </w:pBdr>
        <w:tabs>
          <w:tab w:val="left" w:pos="2250"/>
        </w:tabs>
        <w:ind w:left="360"/>
        <w:rPr>
          <w:rFonts w:cs="Calibri"/>
          <w:i/>
          <w:iCs/>
          <w:kern w:val="28"/>
          <w:szCs w:val="24"/>
        </w:rPr>
      </w:pPr>
      <w:r w:rsidRPr="00640319">
        <w:rPr>
          <w:rFonts w:cs="Calibri"/>
          <w:i/>
          <w:iCs/>
          <w:kern w:val="28"/>
          <w:szCs w:val="24"/>
        </w:rPr>
        <w:t>Projects evaluated in the State of the System / Congestion Management System and selected for the TIP.</w:t>
      </w:r>
    </w:p>
    <w:p w14:paraId="4FFEF42F" w14:textId="5C5E4AB6" w:rsidR="004C6C2C" w:rsidRDefault="004C6C2C" w:rsidP="00053163">
      <w:pPr>
        <w:pBdr>
          <w:top w:val="single" w:sz="4" w:space="1" w:color="auto"/>
          <w:left w:val="single" w:sz="4" w:space="1" w:color="auto"/>
          <w:bottom w:val="single" w:sz="4" w:space="1" w:color="auto"/>
          <w:right w:val="single" w:sz="4" w:space="1" w:color="auto"/>
        </w:pBdr>
        <w:tabs>
          <w:tab w:val="left" w:pos="2250"/>
        </w:tabs>
        <w:rPr>
          <w:rFonts w:cs="Calibri"/>
          <w:bCs/>
          <w:color w:val="000000"/>
          <w:kern w:val="36"/>
          <w:szCs w:val="24"/>
        </w:rPr>
      </w:pPr>
      <w:r w:rsidRPr="005F59F2">
        <w:rPr>
          <w:rFonts w:cs="Calibri"/>
          <w:bCs/>
          <w:color w:val="000000"/>
          <w:kern w:val="36"/>
          <w:szCs w:val="24"/>
        </w:rPr>
        <w:t>Example from the Forward Pinellas TIP:</w:t>
      </w:r>
      <w:r w:rsidRPr="005F59F2">
        <w:rPr>
          <w:rStyle w:val="FootnoteReference"/>
          <w:rFonts w:cs="Calibri"/>
          <w:bCs/>
          <w:color w:val="000000"/>
          <w:kern w:val="36"/>
          <w:szCs w:val="24"/>
        </w:rPr>
        <w:footnoteReference w:id="11"/>
      </w:r>
    </w:p>
    <w:p w14:paraId="4E0DD9F8" w14:textId="40A34AED" w:rsidR="004C6C2C" w:rsidRPr="004C6C2C" w:rsidRDefault="004C6C2C" w:rsidP="00053163">
      <w:pPr>
        <w:pBdr>
          <w:top w:val="single" w:sz="4" w:space="1" w:color="auto"/>
          <w:left w:val="single" w:sz="4" w:space="1" w:color="auto"/>
          <w:bottom w:val="single" w:sz="4" w:space="1" w:color="auto"/>
          <w:right w:val="single" w:sz="4" w:space="1" w:color="auto"/>
        </w:pBdr>
        <w:tabs>
          <w:tab w:val="left" w:pos="2250"/>
        </w:tabs>
        <w:rPr>
          <w:rFonts w:cs="Calibri"/>
          <w:bCs/>
          <w:i/>
          <w:iCs/>
          <w:color w:val="000000"/>
          <w:kern w:val="36"/>
          <w:szCs w:val="24"/>
        </w:rPr>
      </w:pPr>
      <w:r w:rsidRPr="004C6C2C">
        <w:rPr>
          <w:rFonts w:cs="Calibri"/>
          <w:bCs/>
          <w:i/>
          <w:iCs/>
          <w:color w:val="000000"/>
          <w:kern w:val="36"/>
          <w:szCs w:val="24"/>
        </w:rPr>
        <w:t>The Forward Pinellas TIP reflects investment priorities established in Advantage Pinellas, the 2045 LRTP. The focus of Forward Pinellas’ investments that address system performance and freight include:</w:t>
      </w:r>
    </w:p>
    <w:p w14:paraId="046FE3BA" w14:textId="2A512F6D" w:rsidR="004C6C2C" w:rsidRPr="004C6C2C" w:rsidRDefault="004C6C2C" w:rsidP="00053163">
      <w:pPr>
        <w:pStyle w:val="ListParagraph"/>
        <w:numPr>
          <w:ilvl w:val="0"/>
          <w:numId w:val="32"/>
        </w:numPr>
        <w:pBdr>
          <w:top w:val="single" w:sz="4" w:space="1" w:color="auto"/>
          <w:left w:val="single" w:sz="4" w:space="1" w:color="auto"/>
          <w:bottom w:val="single" w:sz="4" w:space="1" w:color="auto"/>
          <w:right w:val="single" w:sz="4" w:space="1" w:color="auto"/>
        </w:pBdr>
        <w:tabs>
          <w:tab w:val="left" w:pos="2250"/>
        </w:tabs>
        <w:spacing w:after="100"/>
        <w:ind w:left="360"/>
        <w:contextualSpacing w:val="0"/>
        <w:rPr>
          <w:rFonts w:cs="Calibri"/>
          <w:i/>
          <w:iCs/>
          <w:kern w:val="28"/>
          <w:szCs w:val="24"/>
        </w:rPr>
      </w:pPr>
      <w:r w:rsidRPr="004C6C2C">
        <w:rPr>
          <w:rFonts w:cs="Calibri"/>
          <w:i/>
          <w:iCs/>
          <w:kern w:val="28"/>
          <w:szCs w:val="24"/>
        </w:rPr>
        <w:t>Alt US 19/Bayshore Blvd at Curlew Rd Intersection Improvements</w:t>
      </w:r>
    </w:p>
    <w:p w14:paraId="538007DF" w14:textId="08798FBA" w:rsidR="004C6C2C" w:rsidRDefault="004C6C2C" w:rsidP="00053163">
      <w:pPr>
        <w:pStyle w:val="ListParagraph"/>
        <w:numPr>
          <w:ilvl w:val="0"/>
          <w:numId w:val="32"/>
        </w:numPr>
        <w:pBdr>
          <w:top w:val="single" w:sz="4" w:space="1" w:color="auto"/>
          <w:left w:val="single" w:sz="4" w:space="1" w:color="auto"/>
          <w:bottom w:val="single" w:sz="4" w:space="1" w:color="auto"/>
          <w:right w:val="single" w:sz="4" w:space="1" w:color="auto"/>
        </w:pBdr>
        <w:tabs>
          <w:tab w:val="left" w:pos="2250"/>
        </w:tabs>
        <w:spacing w:after="100"/>
        <w:ind w:left="360"/>
        <w:contextualSpacing w:val="0"/>
        <w:rPr>
          <w:rFonts w:cs="Calibri"/>
          <w:i/>
          <w:iCs/>
          <w:kern w:val="28"/>
          <w:szCs w:val="24"/>
        </w:rPr>
      </w:pPr>
      <w:r w:rsidRPr="004C6C2C">
        <w:rPr>
          <w:rFonts w:cs="Calibri"/>
          <w:i/>
          <w:iCs/>
          <w:kern w:val="28"/>
          <w:szCs w:val="24"/>
        </w:rPr>
        <w:t>Duhme Rd/113th St. ATMS Improvements</w:t>
      </w:r>
    </w:p>
    <w:p w14:paraId="3A8B873F" w14:textId="41314A3B" w:rsidR="00450C6A" w:rsidRPr="004C6C2C" w:rsidRDefault="00450C6A" w:rsidP="00053163">
      <w:pPr>
        <w:pStyle w:val="ListParagraph"/>
        <w:numPr>
          <w:ilvl w:val="0"/>
          <w:numId w:val="32"/>
        </w:numPr>
        <w:pBdr>
          <w:top w:val="single" w:sz="4" w:space="1" w:color="auto"/>
          <w:left w:val="single" w:sz="4" w:space="1" w:color="auto"/>
          <w:bottom w:val="single" w:sz="4" w:space="1" w:color="auto"/>
          <w:right w:val="single" w:sz="4" w:space="1" w:color="auto"/>
        </w:pBdr>
        <w:tabs>
          <w:tab w:val="left" w:pos="2250"/>
        </w:tabs>
        <w:spacing w:after="100"/>
        <w:ind w:left="360"/>
        <w:contextualSpacing w:val="0"/>
        <w:rPr>
          <w:rFonts w:cs="Calibri"/>
          <w:i/>
          <w:iCs/>
          <w:kern w:val="28"/>
          <w:szCs w:val="24"/>
        </w:rPr>
      </w:pPr>
      <w:r>
        <w:rPr>
          <w:rFonts w:cs="Calibri"/>
          <w:i/>
          <w:iCs/>
          <w:kern w:val="28"/>
          <w:szCs w:val="24"/>
        </w:rPr>
        <w:t>Alderman</w:t>
      </w:r>
      <w:r w:rsidR="001362F3">
        <w:rPr>
          <w:rFonts w:cs="Calibri"/>
          <w:i/>
          <w:iCs/>
          <w:kern w:val="28"/>
          <w:szCs w:val="24"/>
        </w:rPr>
        <w:t xml:space="preserve"> Rd ATMS Improvements</w:t>
      </w:r>
    </w:p>
    <w:p w14:paraId="71BAE3C7" w14:textId="7F7786EB" w:rsidR="004C6C2C" w:rsidRPr="004C6C2C" w:rsidRDefault="004C6C2C" w:rsidP="00053163">
      <w:pPr>
        <w:pStyle w:val="ListParagraph"/>
        <w:numPr>
          <w:ilvl w:val="0"/>
          <w:numId w:val="32"/>
        </w:numPr>
        <w:pBdr>
          <w:top w:val="single" w:sz="4" w:space="1" w:color="auto"/>
          <w:left w:val="single" w:sz="4" w:space="1" w:color="auto"/>
          <w:bottom w:val="single" w:sz="4" w:space="1" w:color="auto"/>
          <w:right w:val="single" w:sz="4" w:space="1" w:color="auto"/>
        </w:pBdr>
        <w:tabs>
          <w:tab w:val="left" w:pos="2250"/>
        </w:tabs>
        <w:spacing w:after="100"/>
        <w:ind w:left="360"/>
        <w:contextualSpacing w:val="0"/>
        <w:rPr>
          <w:rFonts w:cs="Calibri"/>
          <w:i/>
          <w:iCs/>
          <w:kern w:val="28"/>
          <w:szCs w:val="24"/>
        </w:rPr>
      </w:pPr>
      <w:r w:rsidRPr="004C6C2C">
        <w:rPr>
          <w:rFonts w:cs="Calibri"/>
          <w:i/>
          <w:iCs/>
          <w:kern w:val="28"/>
          <w:szCs w:val="24"/>
        </w:rPr>
        <w:t>SR 586/Causeway Blvd ATMS Improvements</w:t>
      </w:r>
    </w:p>
    <w:p w14:paraId="77C5B7F4" w14:textId="74685F71" w:rsidR="004C6C2C" w:rsidRPr="004C6C2C" w:rsidRDefault="004C6C2C" w:rsidP="00053163">
      <w:pPr>
        <w:pStyle w:val="ListParagraph"/>
        <w:numPr>
          <w:ilvl w:val="0"/>
          <w:numId w:val="32"/>
        </w:numPr>
        <w:pBdr>
          <w:top w:val="single" w:sz="4" w:space="1" w:color="auto"/>
          <w:left w:val="single" w:sz="4" w:space="1" w:color="auto"/>
          <w:bottom w:val="single" w:sz="4" w:space="1" w:color="auto"/>
          <w:right w:val="single" w:sz="4" w:space="1" w:color="auto"/>
        </w:pBdr>
        <w:tabs>
          <w:tab w:val="left" w:pos="2250"/>
        </w:tabs>
        <w:spacing w:after="100"/>
        <w:ind w:left="360"/>
        <w:contextualSpacing w:val="0"/>
        <w:rPr>
          <w:rFonts w:cs="Calibri"/>
          <w:i/>
          <w:iCs/>
          <w:kern w:val="28"/>
          <w:szCs w:val="24"/>
        </w:rPr>
      </w:pPr>
      <w:r w:rsidRPr="004C6C2C">
        <w:rPr>
          <w:rFonts w:cs="Calibri"/>
          <w:i/>
          <w:iCs/>
          <w:kern w:val="28"/>
          <w:szCs w:val="24"/>
        </w:rPr>
        <w:t>SR 590/Drew St. ATMS Improvements</w:t>
      </w:r>
    </w:p>
    <w:p w14:paraId="772EF0CA" w14:textId="3AE220CF" w:rsidR="004C6C2C" w:rsidRPr="004C6C2C" w:rsidRDefault="004C6C2C" w:rsidP="00053163">
      <w:pPr>
        <w:pStyle w:val="ListParagraph"/>
        <w:numPr>
          <w:ilvl w:val="0"/>
          <w:numId w:val="32"/>
        </w:numPr>
        <w:pBdr>
          <w:top w:val="single" w:sz="4" w:space="1" w:color="auto"/>
          <w:left w:val="single" w:sz="4" w:space="1" w:color="auto"/>
          <w:bottom w:val="single" w:sz="4" w:space="1" w:color="auto"/>
          <w:right w:val="single" w:sz="4" w:space="1" w:color="auto"/>
        </w:pBdr>
        <w:tabs>
          <w:tab w:val="left" w:pos="2250"/>
        </w:tabs>
        <w:spacing w:after="100"/>
        <w:ind w:left="360"/>
        <w:contextualSpacing w:val="0"/>
        <w:rPr>
          <w:rFonts w:cs="Calibri"/>
          <w:i/>
          <w:iCs/>
          <w:kern w:val="28"/>
          <w:szCs w:val="24"/>
        </w:rPr>
      </w:pPr>
      <w:r w:rsidRPr="004C6C2C">
        <w:rPr>
          <w:rFonts w:cs="Calibri"/>
          <w:i/>
          <w:iCs/>
          <w:kern w:val="28"/>
          <w:szCs w:val="24"/>
        </w:rPr>
        <w:t>SR 580/Skinner ATMS Improvements</w:t>
      </w:r>
    </w:p>
    <w:p w14:paraId="0EE8B81A" w14:textId="2040E566" w:rsidR="004C6C2C" w:rsidRPr="004C6C2C" w:rsidRDefault="004C6C2C" w:rsidP="00053163">
      <w:pPr>
        <w:pBdr>
          <w:top w:val="single" w:sz="4" w:space="1" w:color="auto"/>
          <w:left w:val="single" w:sz="4" w:space="1" w:color="auto"/>
          <w:bottom w:val="single" w:sz="4" w:space="1" w:color="auto"/>
          <w:right w:val="single" w:sz="4" w:space="1" w:color="auto"/>
        </w:pBdr>
        <w:tabs>
          <w:tab w:val="left" w:pos="2250"/>
        </w:tabs>
        <w:rPr>
          <w:rFonts w:cs="Calibri"/>
          <w:bCs/>
          <w:i/>
          <w:iCs/>
          <w:color w:val="000000"/>
          <w:kern w:val="36"/>
          <w:szCs w:val="24"/>
        </w:rPr>
      </w:pPr>
      <w:r w:rsidRPr="004C6C2C">
        <w:rPr>
          <w:rFonts w:cs="Calibri"/>
          <w:bCs/>
          <w:i/>
          <w:iCs/>
          <w:color w:val="000000"/>
          <w:kern w:val="36"/>
          <w:szCs w:val="24"/>
        </w:rPr>
        <w:t xml:space="preserve">Forward Pinellas includes mobility measures in its project selection and review criteria. Criteria considered include if the project is intended to improve traffic flow (including if the project encourages a mode shift), if the project provides new services where one currently does not exist (for all modes), if the project completes a gap in the network and if the project is supportive of the Investment Corridor framework identified in Advantage Pinellas, the 2045 LRTP. </w:t>
      </w:r>
    </w:p>
    <w:p w14:paraId="2456FBA4" w14:textId="27F9E31F" w:rsidR="004C6C2C" w:rsidRPr="004C6C2C" w:rsidRDefault="004C6C2C" w:rsidP="00053163">
      <w:pPr>
        <w:pBdr>
          <w:top w:val="single" w:sz="4" w:space="1" w:color="auto"/>
          <w:left w:val="single" w:sz="4" w:space="1" w:color="auto"/>
          <w:bottom w:val="single" w:sz="4" w:space="1" w:color="auto"/>
          <w:right w:val="single" w:sz="4" w:space="1" w:color="auto"/>
        </w:pBdr>
        <w:tabs>
          <w:tab w:val="left" w:pos="2250"/>
        </w:tabs>
        <w:rPr>
          <w:rFonts w:cs="Calibri"/>
          <w:bCs/>
          <w:i/>
          <w:iCs/>
          <w:color w:val="000000"/>
          <w:kern w:val="36"/>
          <w:szCs w:val="24"/>
        </w:rPr>
      </w:pPr>
      <w:r w:rsidRPr="004C6C2C">
        <w:rPr>
          <w:rFonts w:cs="Calibri"/>
          <w:bCs/>
          <w:i/>
          <w:iCs/>
          <w:color w:val="000000"/>
          <w:kern w:val="36"/>
          <w:szCs w:val="24"/>
        </w:rPr>
        <w:t>The TIP devotes a significant amount of resources to programs and projects that will improve system performance and freight reliability on the Interstate and non-Interstate NHS. Investments include ATMS and enhancement projects to improve mobility across the network. The TIP will fund $</w:t>
      </w:r>
      <w:r w:rsidR="00711165">
        <w:rPr>
          <w:rFonts w:cs="Calibri"/>
          <w:bCs/>
          <w:i/>
          <w:iCs/>
          <w:color w:val="000000"/>
          <w:kern w:val="36"/>
          <w:szCs w:val="24"/>
        </w:rPr>
        <w:t>9</w:t>
      </w:r>
      <w:r w:rsidRPr="004C6C2C">
        <w:rPr>
          <w:rFonts w:cs="Calibri"/>
          <w:bCs/>
          <w:i/>
          <w:iCs/>
          <w:color w:val="000000"/>
          <w:kern w:val="36"/>
          <w:szCs w:val="24"/>
        </w:rPr>
        <w:t xml:space="preserve"> million in ITS/ATMS projects </w:t>
      </w:r>
      <w:r w:rsidR="00BD590A">
        <w:rPr>
          <w:rFonts w:cs="Calibri"/>
          <w:bCs/>
          <w:i/>
          <w:iCs/>
          <w:color w:val="000000"/>
          <w:kern w:val="36"/>
          <w:szCs w:val="24"/>
        </w:rPr>
        <w:t xml:space="preserve">and more than </w:t>
      </w:r>
      <w:r w:rsidR="001F325E">
        <w:rPr>
          <w:rFonts w:cs="Calibri"/>
          <w:bCs/>
          <w:i/>
          <w:iCs/>
          <w:color w:val="000000"/>
          <w:kern w:val="36"/>
          <w:szCs w:val="24"/>
        </w:rPr>
        <w:t>$</w:t>
      </w:r>
      <w:r w:rsidR="00BD590A">
        <w:rPr>
          <w:rFonts w:cs="Calibri"/>
          <w:bCs/>
          <w:i/>
          <w:iCs/>
          <w:color w:val="000000"/>
          <w:kern w:val="36"/>
          <w:szCs w:val="24"/>
        </w:rPr>
        <w:t>1.5</w:t>
      </w:r>
      <w:r w:rsidRPr="004C6C2C">
        <w:rPr>
          <w:rFonts w:cs="Calibri"/>
          <w:bCs/>
          <w:i/>
          <w:iCs/>
          <w:color w:val="000000"/>
          <w:kern w:val="36"/>
          <w:szCs w:val="24"/>
        </w:rPr>
        <w:t xml:space="preserve"> </w:t>
      </w:r>
      <w:r w:rsidR="00BD590A">
        <w:rPr>
          <w:rFonts w:cs="Calibri"/>
          <w:bCs/>
          <w:i/>
          <w:iCs/>
          <w:color w:val="000000"/>
          <w:kern w:val="36"/>
          <w:szCs w:val="24"/>
        </w:rPr>
        <w:t>b</w:t>
      </w:r>
      <w:r w:rsidRPr="004C6C2C">
        <w:rPr>
          <w:rFonts w:cs="Calibri"/>
          <w:bCs/>
          <w:i/>
          <w:iCs/>
          <w:color w:val="000000"/>
          <w:kern w:val="36"/>
          <w:szCs w:val="24"/>
        </w:rPr>
        <w:t xml:space="preserve">illion in </w:t>
      </w:r>
      <w:r w:rsidR="00BD590A">
        <w:rPr>
          <w:rFonts w:cs="Calibri"/>
          <w:bCs/>
          <w:i/>
          <w:iCs/>
          <w:color w:val="000000"/>
          <w:kern w:val="36"/>
          <w:szCs w:val="24"/>
        </w:rPr>
        <w:t xml:space="preserve">roadway </w:t>
      </w:r>
      <w:r w:rsidR="001F325E">
        <w:rPr>
          <w:rFonts w:cs="Calibri"/>
          <w:bCs/>
          <w:i/>
          <w:iCs/>
          <w:color w:val="000000"/>
          <w:kern w:val="36"/>
          <w:szCs w:val="24"/>
        </w:rPr>
        <w:t>capacity projects.</w:t>
      </w:r>
    </w:p>
    <w:p w14:paraId="34BF74A9" w14:textId="55224502" w:rsidR="008B194B" w:rsidRDefault="008B194B" w:rsidP="00922E8F">
      <w:pPr>
        <w:tabs>
          <w:tab w:val="left" w:pos="2250"/>
        </w:tabs>
        <w:rPr>
          <w:rFonts w:cs="Calibri"/>
          <w:kern w:val="28"/>
          <w:szCs w:val="24"/>
        </w:rPr>
      </w:pPr>
      <w:r>
        <w:rPr>
          <w:rFonts w:cs="Calibri"/>
          <w:bCs/>
          <w:color w:val="000000"/>
          <w:kern w:val="36"/>
          <w:szCs w:val="24"/>
        </w:rPr>
        <w:t>T</w:t>
      </w:r>
      <w:r w:rsidRPr="00E70683">
        <w:rPr>
          <w:rFonts w:cs="Calibri"/>
          <w:bCs/>
          <w:color w:val="000000"/>
          <w:kern w:val="36"/>
          <w:szCs w:val="24"/>
        </w:rPr>
        <w:t>he projects included in the TIP are consistent with FDOT's Five Year Work Program</w:t>
      </w:r>
      <w:r>
        <w:rPr>
          <w:rFonts w:cs="Calibri"/>
          <w:bCs/>
          <w:color w:val="000000"/>
          <w:kern w:val="36"/>
          <w:szCs w:val="24"/>
        </w:rPr>
        <w:t xml:space="preserve">, and therefore to FDOT’s approach to </w:t>
      </w:r>
      <w:r w:rsidRPr="00C3591D">
        <w:rPr>
          <w:rFonts w:cs="Calibri"/>
          <w:bCs/>
          <w:color w:val="000000"/>
          <w:kern w:val="36"/>
          <w:szCs w:val="24"/>
        </w:rPr>
        <w:t xml:space="preserve">prioritize </w:t>
      </w:r>
      <w:r>
        <w:rPr>
          <w:rFonts w:cs="Calibri"/>
          <w:bCs/>
          <w:color w:val="000000"/>
          <w:kern w:val="36"/>
          <w:szCs w:val="24"/>
        </w:rPr>
        <w:t>f</w:t>
      </w:r>
      <w:r w:rsidRPr="00C3591D">
        <w:rPr>
          <w:rFonts w:cs="Calibri"/>
          <w:bCs/>
          <w:color w:val="000000"/>
          <w:kern w:val="36"/>
          <w:szCs w:val="24"/>
        </w:rPr>
        <w:t>unding to</w:t>
      </w:r>
      <w:r>
        <w:rPr>
          <w:rFonts w:cs="Calibri"/>
          <w:bCs/>
          <w:color w:val="000000"/>
          <w:kern w:val="36"/>
          <w:szCs w:val="24"/>
        </w:rPr>
        <w:t xml:space="preserve"> address performance goals and targets</w:t>
      </w:r>
      <w:r w:rsidR="007026A1">
        <w:rPr>
          <w:rFonts w:cs="Calibri"/>
          <w:bCs/>
          <w:color w:val="000000"/>
          <w:kern w:val="36"/>
          <w:szCs w:val="24"/>
        </w:rPr>
        <w:t xml:space="preserve">. </w:t>
      </w:r>
      <w:r>
        <w:rPr>
          <w:rFonts w:cs="Calibri"/>
          <w:bCs/>
          <w:color w:val="000000"/>
          <w:kern w:val="36"/>
          <w:szCs w:val="24"/>
        </w:rPr>
        <w:t xml:space="preserve">Per federal planning requirements, the </w:t>
      </w:r>
      <w:r w:rsidR="000C1B01">
        <w:rPr>
          <w:rFonts w:cs="Calibri"/>
          <w:bCs/>
          <w:color w:val="000000"/>
          <w:kern w:val="36"/>
          <w:szCs w:val="24"/>
        </w:rPr>
        <w:t>s</w:t>
      </w:r>
      <w:r w:rsidRPr="00606288">
        <w:rPr>
          <w:rFonts w:cs="Calibri"/>
          <w:bCs/>
          <w:color w:val="000000"/>
          <w:kern w:val="36"/>
          <w:szCs w:val="24"/>
        </w:rPr>
        <w:t>tate select</w:t>
      </w:r>
      <w:r>
        <w:rPr>
          <w:rFonts w:cs="Calibri"/>
          <w:bCs/>
          <w:color w:val="000000"/>
          <w:kern w:val="36"/>
          <w:szCs w:val="24"/>
        </w:rPr>
        <w:t>s</w:t>
      </w:r>
      <w:r w:rsidRPr="00606288">
        <w:rPr>
          <w:rFonts w:cs="Calibri"/>
          <w:bCs/>
          <w:color w:val="000000"/>
          <w:kern w:val="36"/>
          <w:szCs w:val="24"/>
        </w:rPr>
        <w:t xml:space="preserve"> projects on the NHS in cooperation with the MPO from the approved TIP</w:t>
      </w:r>
      <w:r w:rsidR="007026A1">
        <w:rPr>
          <w:rFonts w:cs="Calibri"/>
          <w:bCs/>
          <w:color w:val="000000"/>
          <w:kern w:val="36"/>
          <w:szCs w:val="24"/>
        </w:rPr>
        <w:t xml:space="preserve">. </w:t>
      </w:r>
      <w:r>
        <w:rPr>
          <w:rFonts w:cs="Calibri"/>
          <w:bCs/>
          <w:color w:val="000000"/>
          <w:kern w:val="36"/>
          <w:szCs w:val="24"/>
        </w:rPr>
        <w:t xml:space="preserve">Given the significant resources devoted in the TIP to </w:t>
      </w:r>
      <w:r w:rsidR="000C1B01">
        <w:rPr>
          <w:rFonts w:cs="Calibri"/>
          <w:bCs/>
          <w:color w:val="000000"/>
          <w:kern w:val="36"/>
          <w:szCs w:val="24"/>
        </w:rPr>
        <w:t xml:space="preserve">programs that </w:t>
      </w:r>
      <w:r>
        <w:rPr>
          <w:rFonts w:cs="Calibri"/>
          <w:bCs/>
          <w:color w:val="000000"/>
          <w:kern w:val="36"/>
          <w:szCs w:val="24"/>
        </w:rPr>
        <w:t xml:space="preserve">address </w:t>
      </w:r>
      <w:r w:rsidR="000C1B01">
        <w:rPr>
          <w:rFonts w:cs="Calibri"/>
          <w:bCs/>
          <w:color w:val="000000"/>
          <w:kern w:val="36"/>
          <w:szCs w:val="24"/>
        </w:rPr>
        <w:t xml:space="preserve">system performance and freight, the MPO anticipates that </w:t>
      </w:r>
      <w:r w:rsidRPr="006B411F">
        <w:rPr>
          <w:rFonts w:cs="Calibri"/>
          <w:kern w:val="28"/>
          <w:szCs w:val="24"/>
        </w:rPr>
        <w:t xml:space="preserve">once implemented, </w:t>
      </w:r>
      <w:r w:rsidR="000C1B01">
        <w:rPr>
          <w:rFonts w:cs="Calibri"/>
          <w:kern w:val="28"/>
          <w:szCs w:val="24"/>
        </w:rPr>
        <w:t xml:space="preserve">the TIP </w:t>
      </w:r>
      <w:r>
        <w:rPr>
          <w:rFonts w:cs="Calibri"/>
          <w:kern w:val="28"/>
          <w:szCs w:val="24"/>
        </w:rPr>
        <w:t xml:space="preserve">will contribute to </w:t>
      </w:r>
      <w:r w:rsidRPr="006B411F">
        <w:rPr>
          <w:rFonts w:cs="Calibri"/>
          <w:kern w:val="28"/>
          <w:szCs w:val="24"/>
        </w:rPr>
        <w:t xml:space="preserve">progress </w:t>
      </w:r>
      <w:r>
        <w:rPr>
          <w:rFonts w:cs="Calibri"/>
          <w:kern w:val="28"/>
          <w:szCs w:val="24"/>
        </w:rPr>
        <w:t>to</w:t>
      </w:r>
      <w:r w:rsidRPr="006B411F">
        <w:rPr>
          <w:rFonts w:cs="Calibri"/>
          <w:kern w:val="28"/>
          <w:szCs w:val="24"/>
        </w:rPr>
        <w:t xml:space="preserve">wards achieving the statewide </w:t>
      </w:r>
      <w:r>
        <w:rPr>
          <w:rFonts w:cs="Calibri"/>
          <w:kern w:val="28"/>
          <w:szCs w:val="24"/>
        </w:rPr>
        <w:t xml:space="preserve">reliability </w:t>
      </w:r>
      <w:r w:rsidRPr="006B411F">
        <w:rPr>
          <w:rFonts w:cs="Calibri"/>
          <w:kern w:val="28"/>
          <w:szCs w:val="24"/>
        </w:rPr>
        <w:t>performance targets</w:t>
      </w:r>
      <w:r w:rsidR="007026A1">
        <w:rPr>
          <w:rFonts w:cs="Calibri"/>
          <w:kern w:val="28"/>
          <w:szCs w:val="24"/>
        </w:rPr>
        <w:t xml:space="preserve">. </w:t>
      </w:r>
    </w:p>
    <w:p w14:paraId="7A12D7AF" w14:textId="70CFAFC5" w:rsidR="005B00C2" w:rsidRDefault="005B00C2">
      <w:pPr>
        <w:spacing w:after="200" w:line="276" w:lineRule="auto"/>
        <w:jc w:val="left"/>
        <w:rPr>
          <w:rFonts w:cs="Calibri"/>
          <w:kern w:val="28"/>
          <w:szCs w:val="24"/>
        </w:rPr>
      </w:pPr>
      <w:r>
        <w:rPr>
          <w:rFonts w:cs="Calibri"/>
          <w:kern w:val="28"/>
          <w:szCs w:val="24"/>
        </w:rPr>
        <w:br w:type="page"/>
      </w:r>
    </w:p>
    <w:p w14:paraId="5EC97000" w14:textId="0BAF3508" w:rsidR="005B00C2" w:rsidRPr="007E16DA" w:rsidRDefault="005B00C2" w:rsidP="005B00C2">
      <w:pPr>
        <w:pStyle w:val="Heading1"/>
        <w:spacing w:after="360"/>
      </w:pPr>
      <w:bookmarkStart w:id="29" w:name="_6_-_Transit"/>
      <w:bookmarkStart w:id="30" w:name="_Toc97743206"/>
      <w:bookmarkStart w:id="31" w:name="_Toc126264203"/>
      <w:bookmarkEnd w:id="29"/>
      <w:r>
        <w:lastRenderedPageBreak/>
        <w:t>6 - Transit Asset Management Measures</w:t>
      </w:r>
      <w:bookmarkEnd w:id="30"/>
      <w:bookmarkEnd w:id="31"/>
    </w:p>
    <w:p w14:paraId="70DA9334" w14:textId="77777777" w:rsidR="005B00C2" w:rsidRPr="008A2DFD" w:rsidRDefault="005B00C2" w:rsidP="005B00C2">
      <w:pPr>
        <w:rPr>
          <w:rFonts w:cs="Calibri"/>
          <w:b/>
          <w:bCs/>
          <w:iCs/>
          <w:szCs w:val="24"/>
        </w:rPr>
      </w:pPr>
      <w:r w:rsidRPr="008A2DFD">
        <w:rPr>
          <w:rFonts w:cs="Calibri"/>
          <w:b/>
          <w:bCs/>
          <w:iCs/>
          <w:szCs w:val="24"/>
        </w:rPr>
        <w:t xml:space="preserve">Transit Asset Performance </w:t>
      </w:r>
      <w:r>
        <w:rPr>
          <w:rFonts w:cs="Calibri"/>
          <w:b/>
          <w:bCs/>
          <w:iCs/>
          <w:szCs w:val="24"/>
        </w:rPr>
        <w:t>Measures</w:t>
      </w:r>
    </w:p>
    <w:p w14:paraId="2BF93617" w14:textId="1098B85B" w:rsidR="005B00C2" w:rsidRPr="00342667" w:rsidRDefault="005B00C2" w:rsidP="005B00C2">
      <w:pPr>
        <w:rPr>
          <w:rFonts w:cs="Calibri"/>
          <w:szCs w:val="24"/>
        </w:rPr>
      </w:pPr>
      <w:r w:rsidRPr="008A2DFD">
        <w:rPr>
          <w:rFonts w:cs="Calibri"/>
          <w:szCs w:val="24"/>
        </w:rPr>
        <w:t>FTA</w:t>
      </w:r>
      <w:r w:rsidR="00CF09C5">
        <w:rPr>
          <w:rFonts w:cs="Calibri"/>
          <w:szCs w:val="24"/>
        </w:rPr>
        <w:t>’s</w:t>
      </w:r>
      <w:r w:rsidRPr="008A2DFD">
        <w:rPr>
          <w:rFonts w:cs="Calibri"/>
          <w:szCs w:val="24"/>
        </w:rPr>
        <w:t xml:space="preserve"> Transit Asset Management</w:t>
      </w:r>
      <w:r>
        <w:rPr>
          <w:rFonts w:cs="Calibri"/>
          <w:szCs w:val="24"/>
        </w:rPr>
        <w:t xml:space="preserve"> (TAM)</w:t>
      </w:r>
      <w:r w:rsidRPr="008A2DFD">
        <w:rPr>
          <w:rFonts w:cs="Calibri"/>
          <w:szCs w:val="24"/>
        </w:rPr>
        <w:t xml:space="preserve"> </w:t>
      </w:r>
      <w:r w:rsidR="00CF09C5">
        <w:rPr>
          <w:rFonts w:cs="Calibri"/>
          <w:szCs w:val="24"/>
        </w:rPr>
        <w:t xml:space="preserve">regulations </w:t>
      </w:r>
      <w:r w:rsidRPr="008A2DFD">
        <w:rPr>
          <w:rFonts w:cs="Calibri"/>
          <w:szCs w:val="24"/>
        </w:rPr>
        <w:t>appl</w:t>
      </w:r>
      <w:r w:rsidR="00CF09C5">
        <w:rPr>
          <w:rFonts w:cs="Calibri"/>
          <w:szCs w:val="24"/>
        </w:rPr>
        <w:t>y</w:t>
      </w:r>
      <w:r w:rsidRPr="008A2DFD">
        <w:rPr>
          <w:rFonts w:cs="Calibri"/>
          <w:szCs w:val="24"/>
        </w:rPr>
        <w:t xml:space="preserve"> to all recipients and subrecipients of Federal transit funding that own, operate, or manage public transportation capital assets</w:t>
      </w:r>
      <w:r w:rsidR="007026A1">
        <w:rPr>
          <w:rFonts w:cs="Calibri"/>
          <w:szCs w:val="24"/>
        </w:rPr>
        <w:t xml:space="preserve">. </w:t>
      </w:r>
      <w:r w:rsidRPr="008A2DFD">
        <w:rPr>
          <w:rFonts w:cs="Calibri"/>
          <w:szCs w:val="24"/>
        </w:rPr>
        <w:t xml:space="preserve">The </w:t>
      </w:r>
      <w:r w:rsidR="00CF09C5">
        <w:rPr>
          <w:rFonts w:cs="Calibri"/>
          <w:szCs w:val="24"/>
        </w:rPr>
        <w:t xml:space="preserve">regulations </w:t>
      </w:r>
      <w:r w:rsidRPr="008A2DFD">
        <w:rPr>
          <w:rFonts w:cs="Calibri"/>
          <w:szCs w:val="24"/>
        </w:rPr>
        <w:t>define the term “state of good repair,” require that public transportation providers develop and implement TAM plans, and establishe</w:t>
      </w:r>
      <w:r w:rsidR="00CF09C5">
        <w:rPr>
          <w:rFonts w:cs="Calibri"/>
          <w:szCs w:val="24"/>
        </w:rPr>
        <w:t>d</w:t>
      </w:r>
      <w:r w:rsidRPr="008A2DFD">
        <w:rPr>
          <w:rFonts w:cs="Calibri"/>
          <w:szCs w:val="24"/>
        </w:rPr>
        <w:t xml:space="preserve"> state of good repair standards and performance measures for four asset categories: </w:t>
      </w:r>
      <w:r>
        <w:rPr>
          <w:rFonts w:cs="Calibri"/>
          <w:szCs w:val="24"/>
        </w:rPr>
        <w:t xml:space="preserve">equipment, </w:t>
      </w:r>
      <w:r w:rsidRPr="008A2DFD">
        <w:rPr>
          <w:rFonts w:cs="Calibri"/>
          <w:szCs w:val="24"/>
        </w:rPr>
        <w:t>rolling stock, transit infrastructure, and facilities</w:t>
      </w:r>
      <w:r w:rsidR="007026A1" w:rsidRPr="008A2DFD">
        <w:rPr>
          <w:rFonts w:cs="Calibri"/>
          <w:szCs w:val="24"/>
        </w:rPr>
        <w:t xml:space="preserve">. </w:t>
      </w:r>
      <w:r w:rsidRPr="00342667">
        <w:rPr>
          <w:rFonts w:cs="Calibri"/>
          <w:szCs w:val="24"/>
        </w:rPr>
        <w:t>Table </w:t>
      </w:r>
      <w:r>
        <w:rPr>
          <w:rFonts w:cs="Calibri"/>
          <w:szCs w:val="24"/>
        </w:rPr>
        <w:t>6</w:t>
      </w:r>
      <w:r w:rsidRPr="00342667">
        <w:rPr>
          <w:rFonts w:cs="Calibri"/>
          <w:szCs w:val="24"/>
        </w:rPr>
        <w:t xml:space="preserve">.1 identifies </w:t>
      </w:r>
      <w:r w:rsidR="0050155E">
        <w:rPr>
          <w:rFonts w:cs="Calibri"/>
          <w:szCs w:val="24"/>
        </w:rPr>
        <w:t xml:space="preserve">the TAM </w:t>
      </w:r>
      <w:r w:rsidRPr="00342667">
        <w:rPr>
          <w:rFonts w:cs="Calibri"/>
          <w:szCs w:val="24"/>
        </w:rPr>
        <w:t>performance measures</w:t>
      </w:r>
      <w:r w:rsidR="007026A1" w:rsidRPr="00342667">
        <w:rPr>
          <w:rFonts w:cs="Calibri"/>
          <w:szCs w:val="24"/>
        </w:rPr>
        <w:t xml:space="preserve">. </w:t>
      </w:r>
    </w:p>
    <w:p w14:paraId="129CEE05" w14:textId="77777777" w:rsidR="005B00C2" w:rsidRPr="00342667" w:rsidRDefault="005B00C2" w:rsidP="005B00C2">
      <w:pPr>
        <w:keepNext/>
        <w:spacing w:after="120" w:line="288" w:lineRule="auto"/>
        <w:ind w:left="1440" w:hanging="1440"/>
        <w:jc w:val="left"/>
        <w:rPr>
          <w:rFonts w:cs="Arial"/>
          <w:b/>
          <w:szCs w:val="24"/>
        </w:rPr>
      </w:pPr>
      <w:r w:rsidRPr="00342667">
        <w:rPr>
          <w:rFonts w:cs="Arial"/>
          <w:b/>
          <w:szCs w:val="24"/>
        </w:rPr>
        <w:t>Table </w:t>
      </w:r>
      <w:r>
        <w:rPr>
          <w:rFonts w:cs="Arial"/>
          <w:b/>
          <w:szCs w:val="24"/>
        </w:rPr>
        <w:t>6</w:t>
      </w:r>
      <w:r w:rsidRPr="00342667">
        <w:rPr>
          <w:rFonts w:cs="Arial"/>
          <w:b/>
          <w:szCs w:val="24"/>
        </w:rPr>
        <w:t>.1. FTA TAM Performance Measures</w:t>
      </w:r>
    </w:p>
    <w:tbl>
      <w:tblPr>
        <w:tblW w:w="10080"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43" w:type="dxa"/>
          <w:right w:w="43" w:type="dxa"/>
        </w:tblCellMar>
        <w:tblLook w:val="01E0" w:firstRow="1" w:lastRow="1" w:firstColumn="1" w:lastColumn="1" w:noHBand="0" w:noVBand="0"/>
      </w:tblPr>
      <w:tblGrid>
        <w:gridCol w:w="2520"/>
        <w:gridCol w:w="7560"/>
      </w:tblGrid>
      <w:tr w:rsidR="005B00C2" w:rsidRPr="008A2DFD" w14:paraId="519ED8EB" w14:textId="77777777" w:rsidTr="000C0E09">
        <w:trPr>
          <w:trHeight w:val="432"/>
          <w:tblHeader/>
        </w:trPr>
        <w:tc>
          <w:tcPr>
            <w:tcW w:w="2520" w:type="dxa"/>
            <w:vAlign w:val="center"/>
          </w:tcPr>
          <w:p w14:paraId="2963EB3E" w14:textId="77777777" w:rsidR="005B00C2" w:rsidRPr="008A2DFD" w:rsidRDefault="005B00C2" w:rsidP="0000371F">
            <w:pPr>
              <w:pStyle w:val="TableHeadText"/>
            </w:pPr>
            <w:r w:rsidRPr="008A2DFD">
              <w:t>Asset Category</w:t>
            </w:r>
          </w:p>
        </w:tc>
        <w:tc>
          <w:tcPr>
            <w:tcW w:w="7560" w:type="dxa"/>
            <w:vAlign w:val="center"/>
          </w:tcPr>
          <w:p w14:paraId="7944708D" w14:textId="77777777" w:rsidR="005B00C2" w:rsidRPr="008A2DFD" w:rsidRDefault="005B00C2" w:rsidP="0000371F">
            <w:pPr>
              <w:pStyle w:val="TableHeadText"/>
            </w:pPr>
            <w:r w:rsidRPr="008A2DFD">
              <w:t>Performance Measure</w:t>
            </w:r>
          </w:p>
        </w:tc>
      </w:tr>
      <w:tr w:rsidR="005B00C2" w:rsidRPr="008A2DFD" w14:paraId="72D138E5" w14:textId="77777777" w:rsidTr="000C0E09">
        <w:trPr>
          <w:trHeight w:val="432"/>
        </w:trPr>
        <w:tc>
          <w:tcPr>
            <w:tcW w:w="2520" w:type="dxa"/>
            <w:shd w:val="clear" w:color="auto" w:fill="F1F1F1"/>
            <w:vAlign w:val="center"/>
          </w:tcPr>
          <w:p w14:paraId="55F48769" w14:textId="77777777" w:rsidR="005B00C2" w:rsidRPr="008A2DFD" w:rsidRDefault="005B00C2" w:rsidP="0000371F">
            <w:pPr>
              <w:pStyle w:val="ListNumber"/>
              <w:numPr>
                <w:ilvl w:val="0"/>
                <w:numId w:val="46"/>
              </w:numPr>
              <w:spacing w:before="60" w:after="60"/>
              <w:ind w:left="360"/>
            </w:pPr>
            <w:r w:rsidRPr="008A2DFD">
              <w:t>Equipment</w:t>
            </w:r>
          </w:p>
        </w:tc>
        <w:tc>
          <w:tcPr>
            <w:tcW w:w="7560" w:type="dxa"/>
            <w:shd w:val="clear" w:color="auto" w:fill="F1F1F1"/>
            <w:vAlign w:val="center"/>
          </w:tcPr>
          <w:p w14:paraId="20FBB165" w14:textId="77777777" w:rsidR="005B00C2" w:rsidRPr="008A2DFD" w:rsidRDefault="005B00C2" w:rsidP="0000371F">
            <w:pPr>
              <w:pStyle w:val="TableBodyText"/>
            </w:pPr>
            <w:r w:rsidRPr="008A2DFD">
              <w:t xml:space="preserve">Percentage of non-revenue, support-service and maintenance vehicles that have met or exceeded their </w:t>
            </w:r>
            <w:r>
              <w:t>U</w:t>
            </w:r>
            <w:r w:rsidRPr="008A2DFD">
              <w:t xml:space="preserve">seful </w:t>
            </w:r>
            <w:r>
              <w:t>L</w:t>
            </w:r>
            <w:r w:rsidRPr="008A2DFD">
              <w:t xml:space="preserve">ife </w:t>
            </w:r>
            <w:r>
              <w:t>B</w:t>
            </w:r>
            <w:r w:rsidRPr="008A2DFD">
              <w:t>enchmark</w:t>
            </w:r>
          </w:p>
        </w:tc>
      </w:tr>
      <w:tr w:rsidR="005B00C2" w:rsidRPr="008A2DFD" w14:paraId="34A05E3E" w14:textId="77777777" w:rsidTr="000C0E09">
        <w:trPr>
          <w:trHeight w:val="432"/>
        </w:trPr>
        <w:tc>
          <w:tcPr>
            <w:tcW w:w="2520" w:type="dxa"/>
            <w:vAlign w:val="center"/>
          </w:tcPr>
          <w:p w14:paraId="5F8094C9" w14:textId="77777777" w:rsidR="005B00C2" w:rsidRPr="008A2DFD" w:rsidRDefault="005B00C2" w:rsidP="0000371F">
            <w:pPr>
              <w:pStyle w:val="ListNumber"/>
              <w:spacing w:before="60" w:after="60"/>
            </w:pPr>
            <w:r w:rsidRPr="008A2DFD">
              <w:t>Rolling Stock</w:t>
            </w:r>
          </w:p>
        </w:tc>
        <w:tc>
          <w:tcPr>
            <w:tcW w:w="7560" w:type="dxa"/>
            <w:vAlign w:val="center"/>
          </w:tcPr>
          <w:p w14:paraId="62D8DCED" w14:textId="77777777" w:rsidR="005B00C2" w:rsidRPr="008A2DFD" w:rsidRDefault="005B00C2" w:rsidP="0000371F">
            <w:pPr>
              <w:pStyle w:val="TableBodyText"/>
            </w:pPr>
            <w:r w:rsidRPr="008A2DFD">
              <w:t xml:space="preserve">Percentage of revenue vehicles within a particular asset class that have either met or exceeded their </w:t>
            </w:r>
            <w:r>
              <w:t>U</w:t>
            </w:r>
            <w:r w:rsidRPr="008A2DFD">
              <w:t xml:space="preserve">seful </w:t>
            </w:r>
            <w:r>
              <w:t>L</w:t>
            </w:r>
            <w:r w:rsidRPr="008A2DFD">
              <w:t xml:space="preserve">ife </w:t>
            </w:r>
            <w:r>
              <w:t>B</w:t>
            </w:r>
            <w:r w:rsidRPr="008A2DFD">
              <w:t>enchmark</w:t>
            </w:r>
          </w:p>
        </w:tc>
      </w:tr>
      <w:tr w:rsidR="005B00C2" w:rsidRPr="008A2DFD" w14:paraId="45AB143D" w14:textId="77777777" w:rsidTr="000C0E09">
        <w:trPr>
          <w:trHeight w:val="432"/>
        </w:trPr>
        <w:tc>
          <w:tcPr>
            <w:tcW w:w="2520" w:type="dxa"/>
            <w:shd w:val="clear" w:color="auto" w:fill="F1F1F1"/>
            <w:vAlign w:val="center"/>
          </w:tcPr>
          <w:p w14:paraId="074C4AD1" w14:textId="77777777" w:rsidR="005B00C2" w:rsidRPr="008A2DFD" w:rsidRDefault="005B00C2" w:rsidP="0000371F">
            <w:pPr>
              <w:pStyle w:val="ListNumber"/>
              <w:spacing w:before="60" w:after="60"/>
            </w:pPr>
            <w:r w:rsidRPr="008A2DFD">
              <w:t>Infrastructure</w:t>
            </w:r>
          </w:p>
        </w:tc>
        <w:tc>
          <w:tcPr>
            <w:tcW w:w="7560" w:type="dxa"/>
            <w:shd w:val="clear" w:color="auto" w:fill="F1F1F1"/>
            <w:vAlign w:val="center"/>
          </w:tcPr>
          <w:p w14:paraId="14DEE2AF" w14:textId="77777777" w:rsidR="005B00C2" w:rsidRPr="008A2DFD" w:rsidRDefault="005B00C2" w:rsidP="0000371F">
            <w:pPr>
              <w:pStyle w:val="TableBodyText"/>
            </w:pPr>
            <w:r w:rsidRPr="008A2DFD">
              <w:t>Percentage of track segments with performance restrictions</w:t>
            </w:r>
          </w:p>
        </w:tc>
      </w:tr>
      <w:tr w:rsidR="005B00C2" w:rsidRPr="008A2DFD" w14:paraId="0034AA8C" w14:textId="77777777" w:rsidTr="000C0E09">
        <w:trPr>
          <w:trHeight w:val="432"/>
        </w:trPr>
        <w:tc>
          <w:tcPr>
            <w:tcW w:w="2520" w:type="dxa"/>
            <w:vAlign w:val="center"/>
          </w:tcPr>
          <w:p w14:paraId="4F3438A2" w14:textId="77777777" w:rsidR="005B00C2" w:rsidRPr="008A2DFD" w:rsidRDefault="005B00C2" w:rsidP="0000371F">
            <w:pPr>
              <w:pStyle w:val="ListNumber"/>
              <w:spacing w:before="60" w:after="60"/>
            </w:pPr>
            <w:r w:rsidRPr="008A2DFD">
              <w:t>Facilities</w:t>
            </w:r>
          </w:p>
        </w:tc>
        <w:tc>
          <w:tcPr>
            <w:tcW w:w="7560" w:type="dxa"/>
            <w:vAlign w:val="center"/>
          </w:tcPr>
          <w:p w14:paraId="216D7BD7" w14:textId="77777777" w:rsidR="005B00C2" w:rsidRPr="008A2DFD" w:rsidRDefault="005B00C2" w:rsidP="0000371F">
            <w:pPr>
              <w:pStyle w:val="TableBodyText"/>
            </w:pPr>
            <w:r w:rsidRPr="008A2DFD">
              <w:t>Percentage of facilities within an asset class rated below condition 3 on the TERM scale</w:t>
            </w:r>
          </w:p>
        </w:tc>
      </w:tr>
    </w:tbl>
    <w:p w14:paraId="7F7F5C40" w14:textId="77777777" w:rsidR="005B00C2" w:rsidRDefault="005B00C2" w:rsidP="005B00C2">
      <w:pPr>
        <w:rPr>
          <w:rFonts w:cs="Calibri"/>
          <w:szCs w:val="24"/>
        </w:rPr>
      </w:pPr>
    </w:p>
    <w:p w14:paraId="54030793" w14:textId="4DE53B7F" w:rsidR="005B00C2" w:rsidRDefault="005B00C2" w:rsidP="005B00C2">
      <w:pPr>
        <w:rPr>
          <w:rFonts w:cs="Calibri"/>
          <w:szCs w:val="24"/>
        </w:rPr>
      </w:pPr>
      <w:r w:rsidRPr="00895BE6">
        <w:rPr>
          <w:rFonts w:cs="Calibri"/>
          <w:szCs w:val="24"/>
        </w:rPr>
        <w:t xml:space="preserve">For equipment and rolling stock classes, </w:t>
      </w:r>
      <w:r>
        <w:rPr>
          <w:rFonts w:cs="Calibri"/>
          <w:szCs w:val="24"/>
        </w:rPr>
        <w:t>u</w:t>
      </w:r>
      <w:r w:rsidRPr="00895BE6">
        <w:rPr>
          <w:rFonts w:cs="Calibri"/>
          <w:szCs w:val="24"/>
        </w:rPr>
        <w:t>seful</w:t>
      </w:r>
      <w:r>
        <w:rPr>
          <w:rFonts w:cs="Calibri"/>
          <w:szCs w:val="24"/>
        </w:rPr>
        <w:t xml:space="preserve"> l</w:t>
      </w:r>
      <w:r w:rsidRPr="00895BE6">
        <w:rPr>
          <w:rFonts w:cs="Calibri"/>
          <w:szCs w:val="24"/>
        </w:rPr>
        <w:t xml:space="preserve">ife </w:t>
      </w:r>
      <w:r>
        <w:rPr>
          <w:rFonts w:cs="Calibri"/>
          <w:szCs w:val="24"/>
        </w:rPr>
        <w:t>b</w:t>
      </w:r>
      <w:r w:rsidRPr="00895BE6">
        <w:rPr>
          <w:rFonts w:cs="Calibri"/>
          <w:szCs w:val="24"/>
        </w:rPr>
        <w:t>enchmark (ULB) is defined as the expected lifecycle of a capital asset, or the acceptable period of use in service, for a particular transit provider’s operating environment</w:t>
      </w:r>
      <w:r w:rsidR="007026A1">
        <w:rPr>
          <w:rFonts w:cs="Calibri"/>
          <w:szCs w:val="24"/>
        </w:rPr>
        <w:t xml:space="preserve">. </w:t>
      </w:r>
      <w:r w:rsidRPr="00895BE6">
        <w:rPr>
          <w:rFonts w:cs="Calibri"/>
          <w:szCs w:val="24"/>
        </w:rPr>
        <w:t>ULB considers a provider’s unique operating environment such as geography, service frequency, etc.</w:t>
      </w:r>
    </w:p>
    <w:p w14:paraId="10938E1C" w14:textId="7E050CF4" w:rsidR="005B00C2" w:rsidRPr="00D310C8" w:rsidRDefault="005B00C2" w:rsidP="005B00C2">
      <w:pPr>
        <w:rPr>
          <w:rFonts w:cs="Calibri"/>
          <w:kern w:val="28"/>
          <w:szCs w:val="24"/>
        </w:rPr>
      </w:pPr>
      <w:r w:rsidRPr="007339A4">
        <w:rPr>
          <w:rFonts w:cs="Calibri"/>
          <w:kern w:val="28"/>
          <w:szCs w:val="24"/>
        </w:rPr>
        <w:t xml:space="preserve">Public transportation </w:t>
      </w:r>
      <w:r w:rsidR="00525807">
        <w:rPr>
          <w:rFonts w:cs="Calibri"/>
          <w:kern w:val="28"/>
          <w:szCs w:val="24"/>
        </w:rPr>
        <w:t>pro</w:t>
      </w:r>
      <w:r w:rsidR="00CF03F9">
        <w:rPr>
          <w:rFonts w:cs="Calibri"/>
          <w:kern w:val="28"/>
          <w:szCs w:val="24"/>
        </w:rPr>
        <w:t xml:space="preserve">viders </w:t>
      </w:r>
      <w:r w:rsidRPr="007339A4">
        <w:rPr>
          <w:rFonts w:cs="Calibri"/>
          <w:kern w:val="28"/>
          <w:szCs w:val="24"/>
        </w:rPr>
        <w:t xml:space="preserve">are required to establish and report </w:t>
      </w:r>
      <w:r>
        <w:rPr>
          <w:rFonts w:cs="Calibri"/>
          <w:kern w:val="28"/>
          <w:szCs w:val="24"/>
        </w:rPr>
        <w:t>TAM</w:t>
      </w:r>
      <w:r w:rsidRPr="007339A4">
        <w:rPr>
          <w:rFonts w:cs="Calibri"/>
          <w:kern w:val="28"/>
          <w:szCs w:val="24"/>
        </w:rPr>
        <w:t xml:space="preserve"> targets annually for the following fiscal year</w:t>
      </w:r>
      <w:r w:rsidR="007026A1" w:rsidRPr="007339A4">
        <w:rPr>
          <w:rFonts w:cs="Calibri"/>
          <w:kern w:val="28"/>
          <w:szCs w:val="24"/>
        </w:rPr>
        <w:t xml:space="preserve">. </w:t>
      </w:r>
      <w:r w:rsidRPr="007339A4">
        <w:rPr>
          <w:rFonts w:cs="Calibri"/>
          <w:kern w:val="28"/>
          <w:szCs w:val="24"/>
        </w:rPr>
        <w:t>Each public trans</w:t>
      </w:r>
      <w:r w:rsidR="00CF03F9">
        <w:rPr>
          <w:rFonts w:cs="Calibri"/>
          <w:kern w:val="28"/>
          <w:szCs w:val="24"/>
        </w:rPr>
        <w:t>portation</w:t>
      </w:r>
      <w:r w:rsidRPr="007339A4">
        <w:rPr>
          <w:rFonts w:cs="Calibri"/>
          <w:kern w:val="28"/>
          <w:szCs w:val="24"/>
        </w:rPr>
        <w:t xml:space="preserve"> provider or its sponsors must share its targets with each MPO in which the </w:t>
      </w:r>
      <w:r w:rsidR="00203789">
        <w:rPr>
          <w:rFonts w:cs="Calibri"/>
          <w:kern w:val="28"/>
          <w:szCs w:val="24"/>
        </w:rPr>
        <w:t>public transportation</w:t>
      </w:r>
      <w:r w:rsidRPr="007339A4">
        <w:rPr>
          <w:rFonts w:cs="Calibri"/>
          <w:kern w:val="28"/>
          <w:szCs w:val="24"/>
        </w:rPr>
        <w:t xml:space="preserve"> provider’s projects and services are programmed in the MPO’s TIP</w:t>
      </w:r>
      <w:r w:rsidR="0000078C" w:rsidRPr="007339A4">
        <w:rPr>
          <w:rFonts w:cs="Calibri"/>
          <w:kern w:val="28"/>
          <w:szCs w:val="24"/>
        </w:rPr>
        <w:t xml:space="preserve">. </w:t>
      </w:r>
      <w:r w:rsidRPr="007339A4">
        <w:rPr>
          <w:szCs w:val="24"/>
        </w:rPr>
        <w:t xml:space="preserve">MPOs are not required to establish </w:t>
      </w:r>
      <w:r>
        <w:rPr>
          <w:szCs w:val="24"/>
        </w:rPr>
        <w:t>TAM</w:t>
      </w:r>
      <w:r w:rsidRPr="007339A4">
        <w:rPr>
          <w:szCs w:val="24"/>
        </w:rPr>
        <w:t xml:space="preserve"> targets annually each time the transit provider establishes targets</w:t>
      </w:r>
      <w:r w:rsidR="0000078C" w:rsidRPr="007339A4">
        <w:rPr>
          <w:szCs w:val="24"/>
        </w:rPr>
        <w:t xml:space="preserve">. </w:t>
      </w:r>
      <w:r w:rsidRPr="007339A4">
        <w:rPr>
          <w:szCs w:val="24"/>
        </w:rPr>
        <w:t xml:space="preserve">Instead, MPO targets must be established when the MPO updates </w:t>
      </w:r>
      <w:r>
        <w:rPr>
          <w:szCs w:val="24"/>
        </w:rPr>
        <w:t xml:space="preserve">the </w:t>
      </w:r>
      <w:r w:rsidRPr="007339A4">
        <w:rPr>
          <w:szCs w:val="24"/>
        </w:rPr>
        <w:t>LRTP</w:t>
      </w:r>
      <w:r w:rsidR="00783D12">
        <w:rPr>
          <w:szCs w:val="24"/>
        </w:rPr>
        <w:t xml:space="preserve"> (although it is recommended that MPOs reflect the most current transit provider targets in the TIP</w:t>
      </w:r>
      <w:r w:rsidR="0039678F">
        <w:rPr>
          <w:szCs w:val="24"/>
        </w:rPr>
        <w:t xml:space="preserve"> if they have not yet taken action to update MPO targets)</w:t>
      </w:r>
      <w:r w:rsidR="002A29E3" w:rsidRPr="007339A4">
        <w:rPr>
          <w:szCs w:val="24"/>
        </w:rPr>
        <w:t xml:space="preserve">. </w:t>
      </w:r>
      <w:r w:rsidRPr="007339A4">
        <w:rPr>
          <w:szCs w:val="24"/>
        </w:rPr>
        <w:t xml:space="preserve">When establishing </w:t>
      </w:r>
      <w:r>
        <w:rPr>
          <w:szCs w:val="24"/>
        </w:rPr>
        <w:t>TAM targets</w:t>
      </w:r>
      <w:r w:rsidRPr="007339A4">
        <w:rPr>
          <w:szCs w:val="24"/>
        </w:rPr>
        <w:t>, the</w:t>
      </w:r>
      <w:r w:rsidRPr="007339A4">
        <w:rPr>
          <w:rFonts w:cs="Calibri"/>
          <w:kern w:val="28"/>
          <w:szCs w:val="24"/>
        </w:rPr>
        <w:t xml:space="preserve"> MPO can either agree to program projects that will support the transit provider targets or establish its own separate regional </w:t>
      </w:r>
      <w:r>
        <w:rPr>
          <w:rFonts w:cs="Calibri"/>
          <w:kern w:val="28"/>
          <w:szCs w:val="24"/>
        </w:rPr>
        <w:t>TAM</w:t>
      </w:r>
      <w:r w:rsidRPr="007339A4">
        <w:rPr>
          <w:rFonts w:cs="Calibri"/>
          <w:kern w:val="28"/>
          <w:szCs w:val="24"/>
        </w:rPr>
        <w:t xml:space="preserve"> targets for the MPO planning area</w:t>
      </w:r>
      <w:r w:rsidR="002A29E3" w:rsidRPr="007339A4">
        <w:rPr>
          <w:rFonts w:cs="Calibri"/>
          <w:kern w:val="28"/>
          <w:szCs w:val="24"/>
        </w:rPr>
        <w:t xml:space="preserve">. </w:t>
      </w:r>
      <w:r w:rsidRPr="007339A4">
        <w:rPr>
          <w:rFonts w:cs="Calibri"/>
          <w:kern w:val="28"/>
          <w:szCs w:val="24"/>
        </w:rPr>
        <w:t>MPO targets may differ from agency targets, especially if there are multiple transit agencies in the MPO planning area.</w:t>
      </w:r>
      <w:r w:rsidR="00CC2E98">
        <w:rPr>
          <w:rFonts w:cs="Calibri"/>
          <w:kern w:val="28"/>
          <w:szCs w:val="24"/>
        </w:rPr>
        <w:t xml:space="preserve"> </w:t>
      </w:r>
      <w:r w:rsidRPr="00D310C8">
        <w:rPr>
          <w:rFonts w:cs="Calibri"/>
          <w:kern w:val="28"/>
          <w:szCs w:val="24"/>
        </w:rPr>
        <w:t xml:space="preserve">To the maximum extent practicable, </w:t>
      </w:r>
      <w:r w:rsidR="006C0F0F">
        <w:rPr>
          <w:rFonts w:cs="Calibri"/>
          <w:kern w:val="28"/>
          <w:szCs w:val="24"/>
        </w:rPr>
        <w:t xml:space="preserve">public </w:t>
      </w:r>
      <w:r w:rsidRPr="00D310C8">
        <w:rPr>
          <w:rFonts w:cs="Calibri"/>
          <w:kern w:val="28"/>
          <w:szCs w:val="24"/>
        </w:rPr>
        <w:t>transit providers, states, and MPOs must coordinate with each other in the selection of performance targets.</w:t>
      </w:r>
    </w:p>
    <w:p w14:paraId="07BF9307" w14:textId="77556CBB" w:rsidR="005B00C2" w:rsidRDefault="005B00C2" w:rsidP="005B00C2">
      <w:pPr>
        <w:rPr>
          <w:rFonts w:cs="Calibri"/>
          <w:szCs w:val="24"/>
        </w:rPr>
      </w:pPr>
      <w:r w:rsidRPr="00D310C8">
        <w:rPr>
          <w:rFonts w:cs="Calibri"/>
          <w:szCs w:val="24"/>
        </w:rPr>
        <w:t xml:space="preserve">The TAM </w:t>
      </w:r>
      <w:r w:rsidR="0050155E">
        <w:rPr>
          <w:rFonts w:cs="Calibri"/>
          <w:szCs w:val="24"/>
        </w:rPr>
        <w:t>regulation</w:t>
      </w:r>
      <w:r w:rsidR="0050155E" w:rsidRPr="00D310C8">
        <w:rPr>
          <w:rFonts w:cs="Calibri"/>
          <w:szCs w:val="24"/>
        </w:rPr>
        <w:t xml:space="preserve"> </w:t>
      </w:r>
      <w:r w:rsidRPr="00D310C8">
        <w:rPr>
          <w:rFonts w:cs="Calibri"/>
          <w:szCs w:val="24"/>
        </w:rPr>
        <w:t>defines two tiers of public transportation providers based on size parameters</w:t>
      </w:r>
      <w:r w:rsidR="002A29E3" w:rsidRPr="00D310C8">
        <w:rPr>
          <w:rFonts w:cs="Calibri"/>
          <w:szCs w:val="24"/>
        </w:rPr>
        <w:t xml:space="preserve">. </w:t>
      </w:r>
      <w:r w:rsidRPr="00D310C8">
        <w:rPr>
          <w:rFonts w:cs="Calibri"/>
          <w:szCs w:val="24"/>
        </w:rPr>
        <w:t>Tier I providers are those that operate rail service</w:t>
      </w:r>
      <w:r w:rsidR="00E1543C">
        <w:rPr>
          <w:rFonts w:cs="Calibri"/>
          <w:szCs w:val="24"/>
        </w:rPr>
        <w:t>,</w:t>
      </w:r>
      <w:r w:rsidRPr="00D310C8">
        <w:rPr>
          <w:rFonts w:cs="Calibri"/>
          <w:szCs w:val="24"/>
        </w:rPr>
        <w:t xml:space="preserve"> or more than 100 vehicles in all fixed route modes, or more than 100 vehicles in one non-fixed route mode</w:t>
      </w:r>
      <w:r w:rsidR="002A29E3" w:rsidRPr="00D310C8">
        <w:rPr>
          <w:rFonts w:cs="Calibri"/>
          <w:szCs w:val="24"/>
        </w:rPr>
        <w:t xml:space="preserve">. </w:t>
      </w:r>
      <w:r w:rsidRPr="00D310C8">
        <w:rPr>
          <w:rFonts w:cs="Calibri"/>
          <w:szCs w:val="24"/>
        </w:rPr>
        <w:t>Tier II providers are those that are a subrecipient of FTA 5311 funds, or an</w:t>
      </w:r>
      <w:r w:rsidR="00927B30">
        <w:rPr>
          <w:rFonts w:cs="Calibri"/>
          <w:szCs w:val="24"/>
        </w:rPr>
        <w:t xml:space="preserve"> American Indian Tribe</w:t>
      </w:r>
      <w:r w:rsidRPr="00D310C8">
        <w:rPr>
          <w:rFonts w:cs="Calibri"/>
          <w:szCs w:val="24"/>
        </w:rPr>
        <w:t xml:space="preserve">, or have 100 or less vehicles across all fixed route </w:t>
      </w:r>
      <w:r w:rsidR="00653195" w:rsidRPr="00D310C8">
        <w:rPr>
          <w:rFonts w:cs="Calibri"/>
          <w:szCs w:val="24"/>
        </w:rPr>
        <w:t>modes or</w:t>
      </w:r>
      <w:r w:rsidRPr="00D310C8">
        <w:rPr>
          <w:rFonts w:cs="Calibri"/>
          <w:szCs w:val="24"/>
        </w:rPr>
        <w:t xml:space="preserve"> have 100 or less</w:t>
      </w:r>
      <w:r>
        <w:rPr>
          <w:rFonts w:cs="Calibri"/>
          <w:szCs w:val="24"/>
        </w:rPr>
        <w:t xml:space="preserve"> vehicles</w:t>
      </w:r>
      <w:r w:rsidRPr="00D310C8">
        <w:rPr>
          <w:rFonts w:cs="Calibri"/>
          <w:szCs w:val="24"/>
        </w:rPr>
        <w:t xml:space="preserve"> in one non-fixed route mode</w:t>
      </w:r>
      <w:r w:rsidR="0000078C" w:rsidRPr="00D310C8">
        <w:rPr>
          <w:rFonts w:cs="Calibri"/>
          <w:szCs w:val="24"/>
        </w:rPr>
        <w:t xml:space="preserve">. </w:t>
      </w:r>
      <w:r w:rsidRPr="00D310C8">
        <w:rPr>
          <w:rFonts w:cs="Calibri"/>
          <w:szCs w:val="24"/>
        </w:rPr>
        <w:t xml:space="preserve">A Tier I provider must establish its own </w:t>
      </w:r>
      <w:r>
        <w:rPr>
          <w:rFonts w:cs="Calibri"/>
          <w:szCs w:val="24"/>
        </w:rPr>
        <w:t>TAM</w:t>
      </w:r>
      <w:r w:rsidRPr="00D310C8">
        <w:rPr>
          <w:rFonts w:cs="Calibri"/>
          <w:szCs w:val="24"/>
        </w:rPr>
        <w:t xml:space="preserve"> targets, as well as report performance and other data to FTA</w:t>
      </w:r>
      <w:r w:rsidR="002A29E3" w:rsidRPr="00D310C8">
        <w:rPr>
          <w:rFonts w:cs="Calibri"/>
          <w:szCs w:val="24"/>
        </w:rPr>
        <w:t xml:space="preserve">. </w:t>
      </w:r>
      <w:r w:rsidRPr="00D310C8">
        <w:rPr>
          <w:rFonts w:cs="Calibri"/>
          <w:szCs w:val="24"/>
        </w:rPr>
        <w:t xml:space="preserve">A Tier II provider has the option to establish its own targets or </w:t>
      </w:r>
      <w:r w:rsidRPr="00D310C8">
        <w:rPr>
          <w:rFonts w:cs="Calibri"/>
          <w:szCs w:val="24"/>
        </w:rPr>
        <w:lastRenderedPageBreak/>
        <w:t xml:space="preserve">to participate in a </w:t>
      </w:r>
      <w:r>
        <w:rPr>
          <w:rFonts w:cs="Calibri"/>
          <w:szCs w:val="24"/>
        </w:rPr>
        <w:t>G</w:t>
      </w:r>
      <w:r w:rsidRPr="00D310C8">
        <w:rPr>
          <w:rFonts w:cs="Calibri"/>
          <w:szCs w:val="24"/>
        </w:rPr>
        <w:t xml:space="preserve">roup </w:t>
      </w:r>
      <w:r>
        <w:rPr>
          <w:rFonts w:cs="Calibri"/>
          <w:szCs w:val="24"/>
        </w:rPr>
        <w:t>P</w:t>
      </w:r>
      <w:r w:rsidRPr="00D310C8">
        <w:rPr>
          <w:rFonts w:cs="Calibri"/>
          <w:szCs w:val="24"/>
        </w:rPr>
        <w:t xml:space="preserve">lan with other Tier II providers whereby targets are established </w:t>
      </w:r>
      <w:r>
        <w:rPr>
          <w:rFonts w:cs="Calibri"/>
          <w:szCs w:val="24"/>
        </w:rPr>
        <w:t xml:space="preserve">for the entire group in coordination with </w:t>
      </w:r>
      <w:r w:rsidRPr="00D310C8">
        <w:rPr>
          <w:rFonts w:cs="Calibri"/>
          <w:szCs w:val="24"/>
        </w:rPr>
        <w:t xml:space="preserve">a </w:t>
      </w:r>
      <w:r>
        <w:rPr>
          <w:rFonts w:cs="Calibri"/>
          <w:szCs w:val="24"/>
        </w:rPr>
        <w:t xml:space="preserve">group </w:t>
      </w:r>
      <w:r w:rsidRPr="00D310C8">
        <w:rPr>
          <w:rFonts w:cs="Calibri"/>
          <w:szCs w:val="24"/>
        </w:rPr>
        <w:t>plan sponsor, typically a state DOT.</w:t>
      </w:r>
    </w:p>
    <w:p w14:paraId="5B7838A0" w14:textId="77777777" w:rsidR="005B00C2" w:rsidRPr="00D310C8" w:rsidRDefault="005B00C2" w:rsidP="005B00C2">
      <w:pPr>
        <w:rPr>
          <w:rFonts w:cs="Calibri"/>
          <w:szCs w:val="24"/>
        </w:rPr>
      </w:pPr>
      <w:r w:rsidRPr="00AD6335">
        <w:rPr>
          <w:rFonts w:cs="Calibri"/>
          <w:szCs w:val="24"/>
          <w:highlight w:val="yellow"/>
        </w:rPr>
        <w:t xml:space="preserve">[If there are </w:t>
      </w:r>
      <w:r>
        <w:rPr>
          <w:rFonts w:cs="Calibri"/>
          <w:szCs w:val="24"/>
          <w:highlight w:val="yellow"/>
        </w:rPr>
        <w:t xml:space="preserve">Tier II </w:t>
      </w:r>
      <w:r w:rsidRPr="00AD6335">
        <w:rPr>
          <w:rFonts w:cs="Calibri"/>
          <w:szCs w:val="24"/>
          <w:highlight w:val="yellow"/>
        </w:rPr>
        <w:t xml:space="preserve">providers serving the MPO region that are participants in FDOT’s Group TAM Plan, include </w:t>
      </w:r>
      <w:r>
        <w:rPr>
          <w:rFonts w:cs="Calibri"/>
          <w:szCs w:val="24"/>
          <w:highlight w:val="yellow"/>
        </w:rPr>
        <w:t>Section 6.1.  If not, skip to Section 6.2</w:t>
      </w:r>
      <w:r w:rsidRPr="00AD6335">
        <w:rPr>
          <w:rFonts w:cs="Calibri"/>
          <w:szCs w:val="24"/>
          <w:highlight w:val="yellow"/>
        </w:rPr>
        <w:t>.]</w:t>
      </w:r>
    </w:p>
    <w:p w14:paraId="2E213E19" w14:textId="5E5DADF0" w:rsidR="005B00C2" w:rsidRPr="007E16DA" w:rsidRDefault="005B00C2" w:rsidP="005B00C2">
      <w:pPr>
        <w:pStyle w:val="Heading2"/>
        <w:keepNext w:val="0"/>
        <w:spacing w:before="0"/>
      </w:pPr>
      <w:bookmarkStart w:id="32" w:name="_Toc97743207"/>
      <w:bookmarkStart w:id="33" w:name="_Toc126264204"/>
      <w:r>
        <w:t>6.1 FDOT Group TAM Plan Participants</w:t>
      </w:r>
      <w:bookmarkEnd w:id="32"/>
      <w:bookmarkEnd w:id="33"/>
    </w:p>
    <w:p w14:paraId="4C58151B" w14:textId="645DC50C" w:rsidR="005B00C2" w:rsidRPr="00D310C8" w:rsidRDefault="005B00C2" w:rsidP="005B00C2">
      <w:pPr>
        <w:rPr>
          <w:rFonts w:cs="Calibri"/>
          <w:i/>
          <w:iCs/>
          <w:szCs w:val="24"/>
        </w:rPr>
      </w:pPr>
      <w:r w:rsidRPr="00D310C8">
        <w:rPr>
          <w:rFonts w:cs="Calibri"/>
          <w:szCs w:val="24"/>
        </w:rPr>
        <w:t>A total of 1</w:t>
      </w:r>
      <w:r w:rsidR="00A12497">
        <w:rPr>
          <w:rFonts w:cs="Calibri"/>
          <w:szCs w:val="24"/>
        </w:rPr>
        <w:t>8</w:t>
      </w:r>
      <w:r w:rsidRPr="00D310C8">
        <w:rPr>
          <w:rFonts w:cs="Calibri"/>
          <w:szCs w:val="24"/>
        </w:rPr>
        <w:t xml:space="preserve"> </w:t>
      </w:r>
      <w:r w:rsidR="00A12497">
        <w:rPr>
          <w:rFonts w:cs="Calibri"/>
          <w:szCs w:val="24"/>
        </w:rPr>
        <w:t>public transportation</w:t>
      </w:r>
      <w:r w:rsidRPr="00D310C8">
        <w:rPr>
          <w:rFonts w:cs="Calibri"/>
          <w:szCs w:val="24"/>
        </w:rPr>
        <w:t xml:space="preserve"> providers participated in the FDOT Group TAM Plan and continue to coordinate with FDOT on establishing and reporting group targets to FTA through the National Transit Database (NTD) (Table 6.2). These are FDOT’s Section 5311 Rural Program subrecipients</w:t>
      </w:r>
      <w:r w:rsidR="002A29E3" w:rsidRPr="00D310C8">
        <w:rPr>
          <w:rFonts w:cs="Calibri"/>
          <w:szCs w:val="24"/>
        </w:rPr>
        <w:t xml:space="preserve">. </w:t>
      </w:r>
      <w:r w:rsidRPr="00D310C8">
        <w:rPr>
          <w:rFonts w:cs="Calibri"/>
          <w:szCs w:val="24"/>
        </w:rPr>
        <w:t xml:space="preserve">The Group TAM Plan was adopted in </w:t>
      </w:r>
      <w:r w:rsidR="001544DD">
        <w:rPr>
          <w:rFonts w:cs="Calibri"/>
          <w:szCs w:val="24"/>
        </w:rPr>
        <w:t>September</w:t>
      </w:r>
      <w:r w:rsidRPr="00D310C8">
        <w:rPr>
          <w:rFonts w:cs="Calibri"/>
          <w:szCs w:val="24"/>
        </w:rPr>
        <w:t xml:space="preserve"> 20</w:t>
      </w:r>
      <w:r w:rsidR="001544DD">
        <w:rPr>
          <w:rFonts w:cs="Calibri"/>
          <w:szCs w:val="24"/>
        </w:rPr>
        <w:t>22</w:t>
      </w:r>
      <w:r w:rsidRPr="00D310C8">
        <w:rPr>
          <w:rFonts w:cs="Calibri"/>
          <w:szCs w:val="24"/>
        </w:rPr>
        <w:t xml:space="preserve"> and covers fiscal years </w:t>
      </w:r>
      <w:r w:rsidRPr="005329BA">
        <w:rPr>
          <w:rFonts w:cs="Calibri"/>
          <w:szCs w:val="24"/>
        </w:rPr>
        <w:t>20</w:t>
      </w:r>
      <w:r w:rsidR="009B4FD3" w:rsidRPr="0000371F">
        <w:rPr>
          <w:rFonts w:cs="Calibri"/>
          <w:szCs w:val="24"/>
        </w:rPr>
        <w:t>22</w:t>
      </w:r>
      <w:r w:rsidRPr="005329BA">
        <w:rPr>
          <w:rFonts w:cs="Calibri"/>
          <w:szCs w:val="24"/>
        </w:rPr>
        <w:t>-20</w:t>
      </w:r>
      <w:r w:rsidR="009B4FD3" w:rsidRPr="0000371F">
        <w:rPr>
          <w:rFonts w:cs="Calibri"/>
          <w:szCs w:val="24"/>
        </w:rPr>
        <w:t>23</w:t>
      </w:r>
      <w:r w:rsidRPr="005329BA">
        <w:rPr>
          <w:rFonts w:cs="Calibri"/>
          <w:szCs w:val="24"/>
        </w:rPr>
        <w:t xml:space="preserve"> through 202</w:t>
      </w:r>
      <w:r w:rsidR="009B4FD3" w:rsidRPr="0000371F">
        <w:rPr>
          <w:rFonts w:cs="Calibri"/>
          <w:szCs w:val="24"/>
        </w:rPr>
        <w:t>5</w:t>
      </w:r>
      <w:r w:rsidRPr="005329BA">
        <w:rPr>
          <w:rFonts w:cs="Calibri"/>
          <w:szCs w:val="24"/>
        </w:rPr>
        <w:t>-</w:t>
      </w:r>
      <w:r w:rsidRPr="00792C14">
        <w:rPr>
          <w:rFonts w:cs="Calibri"/>
          <w:szCs w:val="24"/>
        </w:rPr>
        <w:t>202</w:t>
      </w:r>
      <w:r w:rsidR="009B4FD3" w:rsidRPr="0000371F">
        <w:rPr>
          <w:rFonts w:cs="Calibri"/>
          <w:szCs w:val="24"/>
        </w:rPr>
        <w:t>6</w:t>
      </w:r>
      <w:r w:rsidR="00C35C98" w:rsidRPr="00792C14">
        <w:rPr>
          <w:rFonts w:cs="Calibri"/>
          <w:szCs w:val="24"/>
        </w:rPr>
        <w:t>.</w:t>
      </w:r>
      <w:r w:rsidR="00C35C98" w:rsidRPr="00D310C8">
        <w:rPr>
          <w:rFonts w:cs="Calibri"/>
          <w:szCs w:val="24"/>
        </w:rPr>
        <w:t xml:space="preserve"> </w:t>
      </w:r>
      <w:r>
        <w:rPr>
          <w:rFonts w:cs="Calibri"/>
          <w:szCs w:val="24"/>
        </w:rPr>
        <w:t xml:space="preserve">Group TAM Plan </w:t>
      </w:r>
      <w:r w:rsidRPr="00D310C8">
        <w:rPr>
          <w:rFonts w:cs="Calibri"/>
          <w:szCs w:val="24"/>
        </w:rPr>
        <w:t xml:space="preserve">targets </w:t>
      </w:r>
      <w:r w:rsidR="00BC5E8B">
        <w:rPr>
          <w:rFonts w:cs="Calibri"/>
          <w:szCs w:val="24"/>
        </w:rPr>
        <w:t xml:space="preserve">for </w:t>
      </w:r>
      <w:r w:rsidR="00C11EB8">
        <w:rPr>
          <w:rFonts w:cs="Calibri"/>
          <w:szCs w:val="24"/>
        </w:rPr>
        <w:t xml:space="preserve">fiscal </w:t>
      </w:r>
      <w:r w:rsidR="00BC5E8B">
        <w:rPr>
          <w:rFonts w:cs="Calibri"/>
          <w:szCs w:val="24"/>
        </w:rPr>
        <w:t>year 202</w:t>
      </w:r>
      <w:r w:rsidR="00384544">
        <w:rPr>
          <w:rFonts w:cs="Calibri"/>
          <w:szCs w:val="24"/>
        </w:rPr>
        <w:t>2</w:t>
      </w:r>
      <w:r w:rsidR="00BC5E8B">
        <w:rPr>
          <w:rFonts w:cs="Calibri"/>
          <w:szCs w:val="24"/>
        </w:rPr>
        <w:t xml:space="preserve"> </w:t>
      </w:r>
      <w:r w:rsidRPr="00D310C8">
        <w:rPr>
          <w:rFonts w:cs="Calibri"/>
          <w:szCs w:val="24"/>
        </w:rPr>
        <w:t xml:space="preserve">were submitted to NTD in </w:t>
      </w:r>
      <w:r w:rsidR="00A8408E">
        <w:rPr>
          <w:rFonts w:cs="Calibri"/>
          <w:szCs w:val="24"/>
        </w:rPr>
        <w:t>July</w:t>
      </w:r>
      <w:r w:rsidRPr="00D310C8">
        <w:rPr>
          <w:rFonts w:cs="Calibri"/>
          <w:szCs w:val="24"/>
        </w:rPr>
        <w:t xml:space="preserve"> 202</w:t>
      </w:r>
      <w:r w:rsidR="00A8408E">
        <w:rPr>
          <w:rFonts w:cs="Calibri"/>
          <w:szCs w:val="24"/>
        </w:rPr>
        <w:t>2</w:t>
      </w:r>
      <w:r w:rsidR="0000078C">
        <w:rPr>
          <w:rFonts w:cs="Calibri"/>
          <w:szCs w:val="24"/>
        </w:rPr>
        <w:t xml:space="preserve">. </w:t>
      </w:r>
      <w:r w:rsidRPr="00D310C8">
        <w:rPr>
          <w:rFonts w:cs="Calibri"/>
          <w:i/>
          <w:iCs/>
          <w:szCs w:val="24"/>
        </w:rPr>
        <w:t>MPO has the option of including the full table below for context, or just identifying those Tier II providers in the MPO planning area that participated in the Group TAM Plan, if any</w:t>
      </w:r>
      <w:r w:rsidR="002A29E3" w:rsidRPr="00D310C8">
        <w:rPr>
          <w:rFonts w:cs="Calibri"/>
          <w:i/>
          <w:iCs/>
          <w:szCs w:val="24"/>
        </w:rPr>
        <w:t>.</w:t>
      </w:r>
      <w:r w:rsidR="002A29E3">
        <w:rPr>
          <w:rFonts w:cs="Calibri"/>
          <w:i/>
          <w:iCs/>
          <w:szCs w:val="24"/>
        </w:rPr>
        <w:t xml:space="preserve"> </w:t>
      </w:r>
      <w:r w:rsidR="00BC5E8B">
        <w:rPr>
          <w:rFonts w:cs="Calibri"/>
          <w:i/>
          <w:iCs/>
          <w:szCs w:val="24"/>
        </w:rPr>
        <w:t>If the MPO area includes any providers participating in the Group TAM Plan, the MPO should check with FDOT before submitting the TIP to confirm the final 2022 targets.</w:t>
      </w:r>
    </w:p>
    <w:p w14:paraId="6A2E8658" w14:textId="3731BE49" w:rsidR="005B00C2" w:rsidRPr="00D310C8" w:rsidRDefault="005B00C2" w:rsidP="005B00C2">
      <w:pPr>
        <w:spacing w:after="120" w:line="288" w:lineRule="auto"/>
        <w:ind w:left="1440" w:hanging="1440"/>
        <w:jc w:val="left"/>
        <w:rPr>
          <w:rFonts w:cs="Arial"/>
          <w:b/>
          <w:szCs w:val="24"/>
          <w:vertAlign w:val="superscript"/>
        </w:rPr>
      </w:pPr>
      <w:r w:rsidRPr="00D310C8">
        <w:rPr>
          <w:rFonts w:cs="Arial"/>
          <w:b/>
          <w:szCs w:val="24"/>
        </w:rPr>
        <w:t>Table 6.2. Florida Group TAM Plan Participants</w:t>
      </w:r>
    </w:p>
    <w:tbl>
      <w:tblPr>
        <w:tblStyle w:val="ListTable6Colorful"/>
        <w:tblW w:w="10080" w:type="dxa"/>
        <w:tblLook w:val="04A0" w:firstRow="1" w:lastRow="0" w:firstColumn="1" w:lastColumn="0" w:noHBand="0" w:noVBand="1"/>
      </w:tblPr>
      <w:tblGrid>
        <w:gridCol w:w="1075"/>
        <w:gridCol w:w="9005"/>
      </w:tblGrid>
      <w:tr w:rsidR="005B00C2" w:rsidRPr="00D310C8" w14:paraId="77E84C07" w14:textId="77777777" w:rsidTr="000037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15E4E07F" w14:textId="77777777" w:rsidR="005B00C2" w:rsidRPr="00D310C8" w:rsidRDefault="005B00C2" w:rsidP="0000371F">
            <w:pPr>
              <w:pStyle w:val="TableHeadText"/>
            </w:pPr>
            <w:r w:rsidRPr="00D310C8">
              <w:t>District</w:t>
            </w:r>
          </w:p>
        </w:tc>
        <w:tc>
          <w:tcPr>
            <w:tcW w:w="0" w:type="dxa"/>
          </w:tcPr>
          <w:p w14:paraId="08852BA7" w14:textId="77777777" w:rsidR="005B00C2" w:rsidRPr="00D310C8" w:rsidRDefault="005B00C2" w:rsidP="0000371F">
            <w:pPr>
              <w:pStyle w:val="TableHeadText"/>
              <w:cnfStyle w:val="100000000000" w:firstRow="1" w:lastRow="0" w:firstColumn="0" w:lastColumn="0" w:oddVBand="0" w:evenVBand="0" w:oddHBand="0" w:evenHBand="0" w:firstRowFirstColumn="0" w:firstRowLastColumn="0" w:lastRowFirstColumn="0" w:lastRowLastColumn="0"/>
            </w:pPr>
            <w:r w:rsidRPr="00D310C8">
              <w:t>Participating Transit Providers</w:t>
            </w:r>
          </w:p>
        </w:tc>
      </w:tr>
      <w:tr w:rsidR="005B00C2" w:rsidRPr="00D310C8" w14:paraId="27B2EDB6" w14:textId="77777777" w:rsidTr="000C0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5B9A8BF" w14:textId="77777777" w:rsidR="005B00C2" w:rsidRPr="00D310C8" w:rsidRDefault="005B00C2" w:rsidP="0000371F">
            <w:pPr>
              <w:pStyle w:val="TableBodyText"/>
            </w:pPr>
            <w:r w:rsidRPr="00D310C8">
              <w:t>1</w:t>
            </w:r>
          </w:p>
        </w:tc>
        <w:tc>
          <w:tcPr>
            <w:tcW w:w="9005" w:type="dxa"/>
          </w:tcPr>
          <w:p w14:paraId="5E8B7922" w14:textId="59A24B9C" w:rsidR="00C94987" w:rsidRPr="00D310C8" w:rsidRDefault="005B00C2" w:rsidP="0000371F">
            <w:pPr>
              <w:pStyle w:val="TableBodyText"/>
              <w:cnfStyle w:val="000000100000" w:firstRow="0" w:lastRow="0" w:firstColumn="0" w:lastColumn="0" w:oddVBand="0" w:evenVBand="0" w:oddHBand="1" w:evenHBand="0" w:firstRowFirstColumn="0" w:firstRowLastColumn="0" w:lastRowFirstColumn="0" w:lastRowLastColumn="0"/>
              <w:rPr>
                <w:vertAlign w:val="superscript"/>
              </w:rPr>
            </w:pPr>
            <w:r w:rsidRPr="00D310C8">
              <w:rPr>
                <w:rFonts w:cs="Calibri"/>
              </w:rPr>
              <w:t>Central Florida Regional Planning Council</w:t>
            </w:r>
          </w:p>
        </w:tc>
      </w:tr>
      <w:tr w:rsidR="005B00C2" w:rsidRPr="00D310C8" w14:paraId="292E133F" w14:textId="77777777" w:rsidTr="000C0E09">
        <w:tc>
          <w:tcPr>
            <w:cnfStyle w:val="001000000000" w:firstRow="0" w:lastRow="0" w:firstColumn="1" w:lastColumn="0" w:oddVBand="0" w:evenVBand="0" w:oddHBand="0" w:evenHBand="0" w:firstRowFirstColumn="0" w:firstRowLastColumn="0" w:lastRowFirstColumn="0" w:lastRowLastColumn="0"/>
            <w:tcW w:w="1075" w:type="dxa"/>
          </w:tcPr>
          <w:p w14:paraId="16562939" w14:textId="77777777" w:rsidR="005B00C2" w:rsidRPr="00D310C8" w:rsidRDefault="005B00C2" w:rsidP="0000371F">
            <w:pPr>
              <w:pStyle w:val="TableBodyText"/>
            </w:pPr>
            <w:r w:rsidRPr="00D310C8">
              <w:t>2</w:t>
            </w:r>
          </w:p>
        </w:tc>
        <w:tc>
          <w:tcPr>
            <w:tcW w:w="9005" w:type="dxa"/>
          </w:tcPr>
          <w:p w14:paraId="02783BD7" w14:textId="423B8D24" w:rsidR="005B00C2" w:rsidRPr="00D310C8" w:rsidRDefault="005B00C2" w:rsidP="0000371F">
            <w:pPr>
              <w:pStyle w:val="TableBodyText"/>
              <w:cnfStyle w:val="000000000000" w:firstRow="0" w:lastRow="0" w:firstColumn="0" w:lastColumn="0" w:oddVBand="0" w:evenVBand="0" w:oddHBand="0" w:evenHBand="0" w:firstRowFirstColumn="0" w:firstRowLastColumn="0" w:lastRowFirstColumn="0" w:lastRowLastColumn="0"/>
              <w:rPr>
                <w:rFonts w:cs="Calibri"/>
              </w:rPr>
            </w:pPr>
            <w:r w:rsidRPr="00D310C8">
              <w:rPr>
                <w:rFonts w:cs="Calibri"/>
              </w:rPr>
              <w:t xml:space="preserve">Baker County </w:t>
            </w:r>
            <w:r w:rsidR="00AD0428">
              <w:rPr>
                <w:rFonts w:cs="Calibri"/>
              </w:rPr>
              <w:t>Council on Aging</w:t>
            </w:r>
            <w:r w:rsidRPr="00D310C8">
              <w:rPr>
                <w:rFonts w:cs="Calibri"/>
              </w:rPr>
              <w:t xml:space="preserve"> </w:t>
            </w:r>
          </w:p>
          <w:p w14:paraId="599C4932" w14:textId="6863365C" w:rsidR="005B00C2" w:rsidRPr="00D310C8" w:rsidRDefault="005B00C2" w:rsidP="0000371F">
            <w:pPr>
              <w:pStyle w:val="TableBodyText"/>
              <w:cnfStyle w:val="000000000000" w:firstRow="0" w:lastRow="0" w:firstColumn="0" w:lastColumn="0" w:oddVBand="0" w:evenVBand="0" w:oddHBand="0" w:evenHBand="0" w:firstRowFirstColumn="0" w:firstRowLastColumn="0" w:lastRowFirstColumn="0" w:lastRowLastColumn="0"/>
              <w:rPr>
                <w:rFonts w:cs="Calibri"/>
              </w:rPr>
            </w:pPr>
            <w:r w:rsidRPr="00D310C8">
              <w:rPr>
                <w:rFonts w:cs="Calibri"/>
              </w:rPr>
              <w:t>Big Bend Transit</w:t>
            </w:r>
            <w:r w:rsidR="00C94987" w:rsidRPr="00C94987">
              <w:rPr>
                <w:rFonts w:cs="Calibri"/>
                <w:vertAlign w:val="superscript"/>
              </w:rPr>
              <w:t>*</w:t>
            </w:r>
            <w:r w:rsidRPr="00D310C8">
              <w:rPr>
                <w:rFonts w:cs="Calibri"/>
              </w:rPr>
              <w:t xml:space="preserve">  </w:t>
            </w:r>
          </w:p>
          <w:p w14:paraId="5BB0F5CE" w14:textId="77777777" w:rsidR="005B00C2" w:rsidRPr="00D310C8" w:rsidRDefault="005B00C2" w:rsidP="0000371F">
            <w:pPr>
              <w:pStyle w:val="TableBodyText"/>
              <w:cnfStyle w:val="000000000000" w:firstRow="0" w:lastRow="0" w:firstColumn="0" w:lastColumn="0" w:oddVBand="0" w:evenVBand="0" w:oddHBand="0" w:evenHBand="0" w:firstRowFirstColumn="0" w:firstRowLastColumn="0" w:lastRowFirstColumn="0" w:lastRowLastColumn="0"/>
              <w:rPr>
                <w:rFonts w:cs="Calibri"/>
              </w:rPr>
            </w:pPr>
            <w:r w:rsidRPr="00D310C8">
              <w:rPr>
                <w:rFonts w:cs="Calibri"/>
              </w:rPr>
              <w:t>Levy County Transit</w:t>
            </w:r>
          </w:p>
          <w:p w14:paraId="2ED2CD3C" w14:textId="01A28662" w:rsidR="005B00C2" w:rsidRPr="00D310C8" w:rsidRDefault="005B00C2" w:rsidP="0000371F">
            <w:pPr>
              <w:pStyle w:val="TableBodyText"/>
              <w:cnfStyle w:val="000000000000" w:firstRow="0" w:lastRow="0" w:firstColumn="0" w:lastColumn="0" w:oddVBand="0" w:evenVBand="0" w:oddHBand="0" w:evenHBand="0" w:firstRowFirstColumn="0" w:firstRowLastColumn="0" w:lastRowFirstColumn="0" w:lastRowLastColumn="0"/>
              <w:rPr>
                <w:rFonts w:cs="Calibri"/>
              </w:rPr>
            </w:pPr>
            <w:r w:rsidRPr="00D310C8">
              <w:rPr>
                <w:rFonts w:cs="Calibri"/>
              </w:rPr>
              <w:t xml:space="preserve">Nassau County </w:t>
            </w:r>
            <w:r w:rsidR="00C61172">
              <w:rPr>
                <w:rFonts w:cs="Calibri"/>
              </w:rPr>
              <w:t xml:space="preserve">Council </w:t>
            </w:r>
            <w:r w:rsidR="006B2D65">
              <w:rPr>
                <w:rFonts w:cs="Calibri"/>
              </w:rPr>
              <w:t xml:space="preserve">on Aging/Nassau </w:t>
            </w:r>
            <w:r w:rsidRPr="00D310C8">
              <w:rPr>
                <w:rFonts w:cs="Calibri"/>
              </w:rPr>
              <w:t>T</w:t>
            </w:r>
            <w:r w:rsidR="006B2D65">
              <w:rPr>
                <w:rFonts w:cs="Calibri"/>
              </w:rPr>
              <w:t>RANSIT</w:t>
            </w:r>
            <w:r w:rsidRPr="00D310C8">
              <w:rPr>
                <w:rFonts w:cs="Calibri"/>
              </w:rPr>
              <w:t xml:space="preserve"> </w:t>
            </w:r>
          </w:p>
          <w:p w14:paraId="681831C3" w14:textId="175290F3" w:rsidR="005B00C2" w:rsidRPr="00D310C8" w:rsidRDefault="005B00C2" w:rsidP="0000371F">
            <w:pPr>
              <w:pStyle w:val="TableBodyText"/>
              <w:cnfStyle w:val="000000000000" w:firstRow="0" w:lastRow="0" w:firstColumn="0" w:lastColumn="0" w:oddVBand="0" w:evenVBand="0" w:oddHBand="0" w:evenHBand="0" w:firstRowFirstColumn="0" w:firstRowLastColumn="0" w:lastRowFirstColumn="0" w:lastRowLastColumn="0"/>
              <w:rPr>
                <w:rFonts w:cs="Calibri"/>
              </w:rPr>
            </w:pPr>
            <w:r w:rsidRPr="00D310C8">
              <w:rPr>
                <w:rFonts w:cs="Calibri"/>
              </w:rPr>
              <w:t xml:space="preserve">Ride Solution </w:t>
            </w:r>
            <w:r w:rsidR="00D3050E">
              <w:rPr>
                <w:rFonts w:cs="Calibri"/>
              </w:rPr>
              <w:t>(Putnam County)</w:t>
            </w:r>
          </w:p>
          <w:p w14:paraId="033A042C" w14:textId="77777777" w:rsidR="005B00C2" w:rsidRPr="00D310C8" w:rsidRDefault="005B00C2" w:rsidP="0000371F">
            <w:pPr>
              <w:pStyle w:val="TableBodyText"/>
              <w:cnfStyle w:val="000000000000" w:firstRow="0" w:lastRow="0" w:firstColumn="0" w:lastColumn="0" w:oddVBand="0" w:evenVBand="0" w:oddHBand="0" w:evenHBand="0" w:firstRowFirstColumn="0" w:firstRowLastColumn="0" w:lastRowFirstColumn="0" w:lastRowLastColumn="0"/>
              <w:rPr>
                <w:rFonts w:cs="Calibri"/>
              </w:rPr>
            </w:pPr>
            <w:r w:rsidRPr="00D310C8">
              <w:rPr>
                <w:rFonts w:cs="Calibri"/>
              </w:rPr>
              <w:t xml:space="preserve">Suwannee River Economic Council  </w:t>
            </w:r>
          </w:p>
          <w:p w14:paraId="63BEC8E6" w14:textId="77777777" w:rsidR="005B00C2" w:rsidRPr="00D310C8" w:rsidRDefault="005B00C2" w:rsidP="0000371F">
            <w:pPr>
              <w:pStyle w:val="TableBodyText"/>
              <w:cnfStyle w:val="000000000000" w:firstRow="0" w:lastRow="0" w:firstColumn="0" w:lastColumn="0" w:oddVBand="0" w:evenVBand="0" w:oddHBand="0" w:evenHBand="0" w:firstRowFirstColumn="0" w:firstRowLastColumn="0" w:lastRowFirstColumn="0" w:lastRowLastColumn="0"/>
            </w:pPr>
            <w:r w:rsidRPr="00D310C8">
              <w:rPr>
                <w:rFonts w:cs="Calibri"/>
              </w:rPr>
              <w:t>Suwannee Valley Transit Authority</w:t>
            </w:r>
          </w:p>
        </w:tc>
      </w:tr>
      <w:tr w:rsidR="005B00C2" w:rsidRPr="00D310C8" w14:paraId="5539413D" w14:textId="77777777" w:rsidTr="000C0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7A533BF" w14:textId="77777777" w:rsidR="005B00C2" w:rsidRPr="00D310C8" w:rsidRDefault="005B00C2" w:rsidP="0000371F">
            <w:pPr>
              <w:pStyle w:val="TableBodyText"/>
            </w:pPr>
            <w:r w:rsidRPr="00D310C8">
              <w:t>3</w:t>
            </w:r>
          </w:p>
        </w:tc>
        <w:tc>
          <w:tcPr>
            <w:tcW w:w="9005" w:type="dxa"/>
          </w:tcPr>
          <w:p w14:paraId="47BF1AC0" w14:textId="0F752D6F" w:rsidR="005B00C2" w:rsidRPr="00C94987" w:rsidRDefault="005B00C2" w:rsidP="0000371F">
            <w:pPr>
              <w:pStyle w:val="TableBodyText"/>
              <w:cnfStyle w:val="000000100000" w:firstRow="0" w:lastRow="0" w:firstColumn="0" w:lastColumn="0" w:oddVBand="0" w:evenVBand="0" w:oddHBand="1" w:evenHBand="0" w:firstRowFirstColumn="0" w:firstRowLastColumn="0" w:lastRowFirstColumn="0" w:lastRowLastColumn="0"/>
              <w:rPr>
                <w:rFonts w:cs="Calibri"/>
                <w:vertAlign w:val="superscript"/>
              </w:rPr>
            </w:pPr>
            <w:r w:rsidRPr="00D310C8">
              <w:rPr>
                <w:rFonts w:cs="Calibri"/>
              </w:rPr>
              <w:t>Big Bend Transit</w:t>
            </w:r>
            <w:r w:rsidR="00C94987" w:rsidRPr="00C94987">
              <w:rPr>
                <w:rFonts w:cs="Calibri"/>
                <w:vertAlign w:val="superscript"/>
              </w:rPr>
              <w:t>*</w:t>
            </w:r>
          </w:p>
          <w:p w14:paraId="097214F7" w14:textId="530A0B15" w:rsidR="005B00C2" w:rsidRPr="00D310C8" w:rsidRDefault="005B00C2" w:rsidP="0000371F">
            <w:pPr>
              <w:pStyle w:val="TableBodyText"/>
              <w:cnfStyle w:val="000000100000" w:firstRow="0" w:lastRow="0" w:firstColumn="0" w:lastColumn="0" w:oddVBand="0" w:evenVBand="0" w:oddHBand="1" w:evenHBand="0" w:firstRowFirstColumn="0" w:firstRowLastColumn="0" w:lastRowFirstColumn="0" w:lastRowLastColumn="0"/>
              <w:rPr>
                <w:rFonts w:cs="Calibri"/>
              </w:rPr>
            </w:pPr>
            <w:r w:rsidRPr="00D310C8">
              <w:rPr>
                <w:rFonts w:cs="Calibri"/>
              </w:rPr>
              <w:t xml:space="preserve">Calhoun </w:t>
            </w:r>
            <w:r w:rsidR="0094006B">
              <w:rPr>
                <w:rFonts w:cs="Calibri"/>
              </w:rPr>
              <w:t xml:space="preserve">County Senior Citizens </w:t>
            </w:r>
            <w:r w:rsidR="00846B2B">
              <w:rPr>
                <w:rFonts w:cs="Calibri"/>
              </w:rPr>
              <w:t>Association</w:t>
            </w:r>
            <w:r w:rsidRPr="00D310C8">
              <w:rPr>
                <w:rFonts w:cs="Calibri"/>
              </w:rPr>
              <w:t xml:space="preserve">  </w:t>
            </w:r>
          </w:p>
          <w:p w14:paraId="789AF9B4" w14:textId="77777777" w:rsidR="005B00C2" w:rsidRPr="00D310C8" w:rsidRDefault="005B00C2" w:rsidP="0000371F">
            <w:pPr>
              <w:pStyle w:val="TableBodyText"/>
              <w:cnfStyle w:val="000000100000" w:firstRow="0" w:lastRow="0" w:firstColumn="0" w:lastColumn="0" w:oddVBand="0" w:evenVBand="0" w:oddHBand="1" w:evenHBand="0" w:firstRowFirstColumn="0" w:firstRowLastColumn="0" w:lastRowFirstColumn="0" w:lastRowLastColumn="0"/>
              <w:rPr>
                <w:rFonts w:cs="Calibri"/>
              </w:rPr>
            </w:pPr>
            <w:r w:rsidRPr="00D310C8">
              <w:rPr>
                <w:rFonts w:cs="Calibri"/>
              </w:rPr>
              <w:t xml:space="preserve">Gulf County ARC </w:t>
            </w:r>
          </w:p>
          <w:p w14:paraId="6C6A7483" w14:textId="77777777" w:rsidR="005B00C2" w:rsidRPr="00D310C8" w:rsidRDefault="005B00C2" w:rsidP="0000371F">
            <w:pPr>
              <w:pStyle w:val="TableBodyText"/>
              <w:cnfStyle w:val="000000100000" w:firstRow="0" w:lastRow="0" w:firstColumn="0" w:lastColumn="0" w:oddVBand="0" w:evenVBand="0" w:oddHBand="1" w:evenHBand="0" w:firstRowFirstColumn="0" w:firstRowLastColumn="0" w:lastRowFirstColumn="0" w:lastRowLastColumn="0"/>
              <w:rPr>
                <w:rFonts w:cs="Calibri"/>
              </w:rPr>
            </w:pPr>
            <w:r w:rsidRPr="00D310C8">
              <w:rPr>
                <w:rFonts w:cs="Calibri"/>
              </w:rPr>
              <w:t>JTRANS</w:t>
            </w:r>
          </w:p>
          <w:p w14:paraId="4B04A4D3" w14:textId="77777777" w:rsidR="005B00C2" w:rsidRPr="00D310C8" w:rsidRDefault="005B00C2" w:rsidP="0000371F">
            <w:pPr>
              <w:pStyle w:val="TableBodyText"/>
              <w:cnfStyle w:val="000000100000" w:firstRow="0" w:lastRow="0" w:firstColumn="0" w:lastColumn="0" w:oddVBand="0" w:evenVBand="0" w:oddHBand="1" w:evenHBand="0" w:firstRowFirstColumn="0" w:firstRowLastColumn="0" w:lastRowFirstColumn="0" w:lastRowLastColumn="0"/>
              <w:rPr>
                <w:rFonts w:cs="Calibri"/>
              </w:rPr>
            </w:pPr>
            <w:r w:rsidRPr="00D310C8">
              <w:rPr>
                <w:rFonts w:cs="Calibri"/>
              </w:rPr>
              <w:t xml:space="preserve">Liberty County Transit </w:t>
            </w:r>
          </w:p>
          <w:p w14:paraId="0C340766" w14:textId="77777777" w:rsidR="005B00C2" w:rsidRPr="00D310C8" w:rsidRDefault="005B00C2" w:rsidP="0000371F">
            <w:pPr>
              <w:pStyle w:val="TableBodyText"/>
              <w:cnfStyle w:val="000000100000" w:firstRow="0" w:lastRow="0" w:firstColumn="0" w:lastColumn="0" w:oddVBand="0" w:evenVBand="0" w:oddHBand="1" w:evenHBand="0" w:firstRowFirstColumn="0" w:firstRowLastColumn="0" w:lastRowFirstColumn="0" w:lastRowLastColumn="0"/>
              <w:rPr>
                <w:rFonts w:cs="Calibri"/>
              </w:rPr>
            </w:pPr>
            <w:r w:rsidRPr="00D310C8">
              <w:rPr>
                <w:rFonts w:cs="Calibri"/>
              </w:rPr>
              <w:t xml:space="preserve">Tri-County Community Council </w:t>
            </w:r>
          </w:p>
          <w:p w14:paraId="430C983D" w14:textId="43580849" w:rsidR="005B00C2" w:rsidRPr="00D310C8" w:rsidRDefault="005B00C2" w:rsidP="0000371F">
            <w:pPr>
              <w:pStyle w:val="TableBodyText"/>
              <w:cnfStyle w:val="000000100000" w:firstRow="0" w:lastRow="0" w:firstColumn="0" w:lastColumn="0" w:oddVBand="0" w:evenVBand="0" w:oddHBand="1" w:evenHBand="0" w:firstRowFirstColumn="0" w:firstRowLastColumn="0" w:lastRowFirstColumn="0" w:lastRowLastColumn="0"/>
            </w:pPr>
            <w:r w:rsidRPr="00D310C8">
              <w:rPr>
                <w:rFonts w:cs="Calibri"/>
              </w:rPr>
              <w:t>Wakulla Trans</w:t>
            </w:r>
            <w:r w:rsidR="00661339">
              <w:rPr>
                <w:rFonts w:cs="Calibri"/>
              </w:rPr>
              <w:t>portation</w:t>
            </w:r>
          </w:p>
        </w:tc>
      </w:tr>
      <w:tr w:rsidR="005B00C2" w:rsidRPr="00D310C8" w14:paraId="23324804" w14:textId="77777777" w:rsidTr="000C0E09">
        <w:tc>
          <w:tcPr>
            <w:cnfStyle w:val="001000000000" w:firstRow="0" w:lastRow="0" w:firstColumn="1" w:lastColumn="0" w:oddVBand="0" w:evenVBand="0" w:oddHBand="0" w:evenHBand="0" w:firstRowFirstColumn="0" w:firstRowLastColumn="0" w:lastRowFirstColumn="0" w:lastRowLastColumn="0"/>
            <w:tcW w:w="1075" w:type="dxa"/>
          </w:tcPr>
          <w:p w14:paraId="10889C47" w14:textId="77777777" w:rsidR="005B00C2" w:rsidRPr="00D310C8" w:rsidRDefault="005B00C2" w:rsidP="0000371F">
            <w:pPr>
              <w:pStyle w:val="TableBodyText"/>
            </w:pPr>
            <w:r w:rsidRPr="00D310C8">
              <w:t>4</w:t>
            </w:r>
          </w:p>
        </w:tc>
        <w:tc>
          <w:tcPr>
            <w:tcW w:w="9005" w:type="dxa"/>
          </w:tcPr>
          <w:p w14:paraId="63DFFE79" w14:textId="77777777" w:rsidR="005B00C2" w:rsidRPr="00D310C8" w:rsidRDefault="005B00C2" w:rsidP="0000371F">
            <w:pPr>
              <w:pStyle w:val="TableBodyText"/>
              <w:cnfStyle w:val="000000000000" w:firstRow="0" w:lastRow="0" w:firstColumn="0" w:lastColumn="0" w:oddVBand="0" w:evenVBand="0" w:oddHBand="0" w:evenHBand="0" w:firstRowFirstColumn="0" w:firstRowLastColumn="0" w:lastRowFirstColumn="0" w:lastRowLastColumn="0"/>
              <w:rPr>
                <w:i/>
              </w:rPr>
            </w:pPr>
            <w:r w:rsidRPr="00D310C8">
              <w:rPr>
                <w:i/>
              </w:rPr>
              <w:t>No participating providers</w:t>
            </w:r>
          </w:p>
        </w:tc>
      </w:tr>
      <w:tr w:rsidR="005B00C2" w:rsidRPr="00D310C8" w14:paraId="7A7AEDDE" w14:textId="77777777" w:rsidTr="000C0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B01960C" w14:textId="77777777" w:rsidR="005B00C2" w:rsidRPr="00D310C8" w:rsidRDefault="005B00C2" w:rsidP="0000371F">
            <w:pPr>
              <w:pStyle w:val="TableBodyText"/>
            </w:pPr>
            <w:r w:rsidRPr="00D310C8">
              <w:t>5</w:t>
            </w:r>
          </w:p>
        </w:tc>
        <w:tc>
          <w:tcPr>
            <w:tcW w:w="9005" w:type="dxa"/>
          </w:tcPr>
          <w:p w14:paraId="0578CA35" w14:textId="084200A1" w:rsidR="00C94987" w:rsidRDefault="00C94987" w:rsidP="0000371F">
            <w:pPr>
              <w:pStyle w:val="TableBodyText"/>
              <w:cnfStyle w:val="000000100000" w:firstRow="0" w:lastRow="0" w:firstColumn="0" w:lastColumn="0" w:oddVBand="0" w:evenVBand="0" w:oddHBand="1" w:evenHBand="0" w:firstRowFirstColumn="0" w:firstRowLastColumn="0" w:lastRowFirstColumn="0" w:lastRowLastColumn="0"/>
              <w:rPr>
                <w:rFonts w:cs="Calibri"/>
              </w:rPr>
            </w:pPr>
            <w:r>
              <w:rPr>
                <w:rFonts w:cs="Calibri"/>
              </w:rPr>
              <w:t>Flagler County</w:t>
            </w:r>
            <w:r w:rsidR="003703BC">
              <w:rPr>
                <w:rFonts w:cs="Calibri"/>
              </w:rPr>
              <w:t xml:space="preserve"> Public Transportation</w:t>
            </w:r>
          </w:p>
          <w:p w14:paraId="66E626F8" w14:textId="01431492" w:rsidR="005B00C2" w:rsidRPr="00D310C8" w:rsidRDefault="005B00C2" w:rsidP="0000371F">
            <w:pPr>
              <w:pStyle w:val="TableBodyText"/>
              <w:cnfStyle w:val="000000100000" w:firstRow="0" w:lastRow="0" w:firstColumn="0" w:lastColumn="0" w:oddVBand="0" w:evenVBand="0" w:oddHBand="1" w:evenHBand="0" w:firstRowFirstColumn="0" w:firstRowLastColumn="0" w:lastRowFirstColumn="0" w:lastRowLastColumn="0"/>
              <w:rPr>
                <w:rFonts w:cs="Calibri"/>
              </w:rPr>
            </w:pPr>
            <w:r w:rsidRPr="00D310C8">
              <w:rPr>
                <w:rFonts w:cs="Calibri"/>
              </w:rPr>
              <w:t xml:space="preserve">Marion Transit </w:t>
            </w:r>
          </w:p>
          <w:p w14:paraId="2671E56A" w14:textId="5725AE4F" w:rsidR="005B00C2" w:rsidRPr="00D310C8" w:rsidRDefault="005B00C2" w:rsidP="0000371F">
            <w:pPr>
              <w:pStyle w:val="TableBodyText"/>
              <w:cnfStyle w:val="000000100000" w:firstRow="0" w:lastRow="0" w:firstColumn="0" w:lastColumn="0" w:oddVBand="0" w:evenVBand="0" w:oddHBand="1" w:evenHBand="0" w:firstRowFirstColumn="0" w:firstRowLastColumn="0" w:lastRowFirstColumn="0" w:lastRowLastColumn="0"/>
            </w:pPr>
            <w:r w:rsidRPr="00D310C8">
              <w:rPr>
                <w:rFonts w:cs="Calibri"/>
              </w:rPr>
              <w:t xml:space="preserve">Sumter </w:t>
            </w:r>
            <w:r w:rsidR="003703BC">
              <w:rPr>
                <w:rFonts w:cs="Calibri"/>
              </w:rPr>
              <w:t xml:space="preserve">County </w:t>
            </w:r>
            <w:r w:rsidRPr="00D310C8">
              <w:rPr>
                <w:rFonts w:cs="Calibri"/>
              </w:rPr>
              <w:t xml:space="preserve">Transit </w:t>
            </w:r>
          </w:p>
        </w:tc>
      </w:tr>
      <w:tr w:rsidR="005B00C2" w:rsidRPr="00D310C8" w14:paraId="277577A1" w14:textId="77777777" w:rsidTr="000C0E09">
        <w:tc>
          <w:tcPr>
            <w:cnfStyle w:val="001000000000" w:firstRow="0" w:lastRow="0" w:firstColumn="1" w:lastColumn="0" w:oddVBand="0" w:evenVBand="0" w:oddHBand="0" w:evenHBand="0" w:firstRowFirstColumn="0" w:firstRowLastColumn="0" w:lastRowFirstColumn="0" w:lastRowLastColumn="0"/>
            <w:tcW w:w="1075" w:type="dxa"/>
          </w:tcPr>
          <w:p w14:paraId="59046019" w14:textId="77777777" w:rsidR="005B00C2" w:rsidRPr="00D310C8" w:rsidRDefault="005B00C2" w:rsidP="0000371F">
            <w:pPr>
              <w:pStyle w:val="TableBodyText"/>
            </w:pPr>
            <w:r w:rsidRPr="00D310C8">
              <w:lastRenderedPageBreak/>
              <w:t>6</w:t>
            </w:r>
          </w:p>
        </w:tc>
        <w:tc>
          <w:tcPr>
            <w:tcW w:w="9005" w:type="dxa"/>
          </w:tcPr>
          <w:p w14:paraId="17E78211" w14:textId="77777777" w:rsidR="005B00C2" w:rsidRPr="00D310C8" w:rsidRDefault="005B00C2" w:rsidP="0000371F">
            <w:pPr>
              <w:pStyle w:val="TableBodyText"/>
              <w:cnfStyle w:val="000000000000" w:firstRow="0" w:lastRow="0" w:firstColumn="0" w:lastColumn="0" w:oddVBand="0" w:evenVBand="0" w:oddHBand="0" w:evenHBand="0" w:firstRowFirstColumn="0" w:firstRowLastColumn="0" w:lastRowFirstColumn="0" w:lastRowLastColumn="0"/>
            </w:pPr>
            <w:r w:rsidRPr="00D310C8">
              <w:t>Key West Transit</w:t>
            </w:r>
          </w:p>
        </w:tc>
      </w:tr>
      <w:tr w:rsidR="005B00C2" w:rsidRPr="00D310C8" w14:paraId="221B9E64" w14:textId="77777777" w:rsidTr="000C0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07B30D4" w14:textId="77777777" w:rsidR="005B00C2" w:rsidRPr="00D310C8" w:rsidRDefault="005B00C2" w:rsidP="0000371F">
            <w:pPr>
              <w:pStyle w:val="TableBodyText"/>
            </w:pPr>
            <w:r w:rsidRPr="00D310C8">
              <w:t>7</w:t>
            </w:r>
          </w:p>
        </w:tc>
        <w:tc>
          <w:tcPr>
            <w:tcW w:w="9005" w:type="dxa"/>
          </w:tcPr>
          <w:p w14:paraId="710D30F2" w14:textId="77777777" w:rsidR="005B00C2" w:rsidRPr="00D310C8" w:rsidRDefault="005B00C2" w:rsidP="0000371F">
            <w:pPr>
              <w:pStyle w:val="TableBodyText"/>
              <w:cnfStyle w:val="000000100000" w:firstRow="0" w:lastRow="0" w:firstColumn="0" w:lastColumn="0" w:oddVBand="0" w:evenVBand="0" w:oddHBand="1" w:evenHBand="0" w:firstRowFirstColumn="0" w:firstRowLastColumn="0" w:lastRowFirstColumn="0" w:lastRowLastColumn="0"/>
            </w:pPr>
            <w:r w:rsidRPr="00D310C8">
              <w:rPr>
                <w:i/>
              </w:rPr>
              <w:t>No participating providers</w:t>
            </w:r>
          </w:p>
        </w:tc>
      </w:tr>
    </w:tbl>
    <w:p w14:paraId="1E300A02" w14:textId="08099BE1" w:rsidR="005B00C2" w:rsidRPr="00D310C8" w:rsidRDefault="00C94987" w:rsidP="005B00C2">
      <w:pPr>
        <w:spacing w:after="120" w:line="288" w:lineRule="auto"/>
        <w:ind w:left="1440" w:hanging="1440"/>
        <w:jc w:val="left"/>
        <w:rPr>
          <w:rFonts w:cs="Arial"/>
          <w:bCs/>
          <w:sz w:val="20"/>
          <w:szCs w:val="20"/>
        </w:rPr>
      </w:pPr>
      <w:r>
        <w:rPr>
          <w:rFonts w:cs="Arial"/>
          <w:b/>
          <w:szCs w:val="24"/>
          <w:vertAlign w:val="superscript"/>
        </w:rPr>
        <w:t>*</w:t>
      </w:r>
      <w:r w:rsidR="005B00C2" w:rsidRPr="00D310C8">
        <w:rPr>
          <w:rFonts w:cs="Arial"/>
          <w:b/>
          <w:szCs w:val="24"/>
          <w:vertAlign w:val="superscript"/>
        </w:rPr>
        <w:t xml:space="preserve"> </w:t>
      </w:r>
      <w:r w:rsidR="005B00C2" w:rsidRPr="00D310C8">
        <w:rPr>
          <w:rFonts w:cs="Arial"/>
          <w:bCs/>
          <w:sz w:val="20"/>
          <w:szCs w:val="20"/>
        </w:rPr>
        <w:t>Provider service area covers portions of Districts 2 and 3.</w:t>
      </w:r>
    </w:p>
    <w:p w14:paraId="33FCBF47" w14:textId="3420E4F6" w:rsidR="005B00C2" w:rsidRPr="007E16DA" w:rsidRDefault="005B00C2" w:rsidP="005B00C2">
      <w:pPr>
        <w:pStyle w:val="Heading2"/>
        <w:keepLines/>
        <w:spacing w:before="0"/>
      </w:pPr>
      <w:bookmarkStart w:id="34" w:name="_Toc97743208"/>
      <w:bookmarkStart w:id="35" w:name="_Toc126264205"/>
      <w:r>
        <w:t>6.2 Transit Asset Management Targets</w:t>
      </w:r>
      <w:bookmarkEnd w:id="34"/>
      <w:bookmarkEnd w:id="35"/>
    </w:p>
    <w:p w14:paraId="0242C463" w14:textId="77777777" w:rsidR="005B00C2" w:rsidRDefault="005B00C2" w:rsidP="005B00C2">
      <w:pPr>
        <w:keepNext/>
        <w:keepLines/>
        <w:rPr>
          <w:rFonts w:cs="Calibri"/>
          <w:kern w:val="28"/>
          <w:szCs w:val="24"/>
        </w:rPr>
      </w:pPr>
      <w:r w:rsidRPr="00D310C8">
        <w:rPr>
          <w:rFonts w:cs="Calibri"/>
          <w:kern w:val="28"/>
          <w:szCs w:val="24"/>
        </w:rPr>
        <w:t xml:space="preserve">The following </w:t>
      </w:r>
      <w:r>
        <w:rPr>
          <w:rFonts w:cs="Calibri"/>
          <w:kern w:val="28"/>
          <w:szCs w:val="24"/>
        </w:rPr>
        <w:t xml:space="preserve">providers operate in the MPO planning area: </w:t>
      </w:r>
      <w:r>
        <w:rPr>
          <w:rFonts w:cs="Calibri"/>
          <w:kern w:val="28"/>
          <w:szCs w:val="24"/>
          <w:highlight w:val="yellow"/>
        </w:rPr>
        <w:t>identify</w:t>
      </w:r>
      <w:r w:rsidRPr="009E57DF">
        <w:rPr>
          <w:rFonts w:cs="Calibri"/>
          <w:kern w:val="28"/>
          <w:szCs w:val="24"/>
          <w:highlight w:val="yellow"/>
        </w:rPr>
        <w:t xml:space="preserve"> providers</w:t>
      </w:r>
      <w:r>
        <w:rPr>
          <w:rFonts w:cs="Calibri"/>
          <w:kern w:val="28"/>
          <w:szCs w:val="24"/>
          <w:highlight w:val="yellow"/>
        </w:rPr>
        <w:t xml:space="preserve"> and indicate those that are </w:t>
      </w:r>
      <w:r w:rsidRPr="009E57DF">
        <w:rPr>
          <w:rFonts w:cs="Calibri"/>
          <w:kern w:val="28"/>
          <w:szCs w:val="24"/>
          <w:highlight w:val="yellow"/>
        </w:rPr>
        <w:t>Tier I providers and</w:t>
      </w:r>
      <w:r>
        <w:rPr>
          <w:rFonts w:cs="Calibri"/>
          <w:kern w:val="28"/>
          <w:szCs w:val="24"/>
          <w:highlight w:val="yellow"/>
        </w:rPr>
        <w:t>/or</w:t>
      </w:r>
      <w:r w:rsidRPr="009E57DF">
        <w:rPr>
          <w:rFonts w:cs="Calibri"/>
          <w:kern w:val="28"/>
          <w:szCs w:val="24"/>
          <w:highlight w:val="yellow"/>
        </w:rPr>
        <w:t xml:space="preserve"> Tier II providers</w:t>
      </w:r>
      <w:r>
        <w:rPr>
          <w:rFonts w:cs="Calibri"/>
          <w:kern w:val="28"/>
          <w:szCs w:val="24"/>
          <w:highlight w:val="yellow"/>
        </w:rPr>
        <w:t xml:space="preserve">. </w:t>
      </w:r>
      <w:r w:rsidRPr="009E57DF">
        <w:rPr>
          <w:rFonts w:cs="Calibri"/>
          <w:kern w:val="28"/>
          <w:szCs w:val="24"/>
          <w:highlight w:val="yellow"/>
        </w:rPr>
        <w:t>For Tier II providers, indicate those that are participa</w:t>
      </w:r>
      <w:r>
        <w:rPr>
          <w:rFonts w:cs="Calibri"/>
          <w:kern w:val="28"/>
          <w:szCs w:val="24"/>
          <w:highlight w:val="yellow"/>
        </w:rPr>
        <w:t xml:space="preserve">nts </w:t>
      </w:r>
      <w:r w:rsidRPr="009E57DF">
        <w:rPr>
          <w:rFonts w:cs="Calibri"/>
          <w:kern w:val="28"/>
          <w:szCs w:val="24"/>
          <w:highlight w:val="yellow"/>
        </w:rPr>
        <w:t xml:space="preserve">in FDOT’s </w:t>
      </w:r>
      <w:r>
        <w:rPr>
          <w:rFonts w:cs="Calibri"/>
          <w:kern w:val="28"/>
          <w:szCs w:val="24"/>
          <w:highlight w:val="yellow"/>
        </w:rPr>
        <w:t>G</w:t>
      </w:r>
      <w:r w:rsidRPr="009E57DF">
        <w:rPr>
          <w:rFonts w:cs="Calibri"/>
          <w:kern w:val="28"/>
          <w:szCs w:val="24"/>
          <w:highlight w:val="yellow"/>
        </w:rPr>
        <w:t xml:space="preserve">roup TAM </w:t>
      </w:r>
      <w:r>
        <w:rPr>
          <w:rFonts w:cs="Calibri"/>
          <w:kern w:val="28"/>
          <w:szCs w:val="24"/>
          <w:highlight w:val="yellow"/>
        </w:rPr>
        <w:t>P</w:t>
      </w:r>
      <w:r w:rsidRPr="009E57DF">
        <w:rPr>
          <w:rFonts w:cs="Calibri"/>
          <w:kern w:val="28"/>
          <w:szCs w:val="24"/>
          <w:highlight w:val="yellow"/>
        </w:rPr>
        <w:t>lan</w:t>
      </w:r>
      <w:r>
        <w:rPr>
          <w:rFonts w:cs="Calibri"/>
          <w:kern w:val="28"/>
          <w:szCs w:val="24"/>
        </w:rPr>
        <w:t>.</w:t>
      </w:r>
    </w:p>
    <w:p w14:paraId="5674C947" w14:textId="77777777" w:rsidR="005B00C2" w:rsidRDefault="005B00C2" w:rsidP="00FD2E06">
      <w:pPr>
        <w:pBdr>
          <w:top w:val="single" w:sz="4" w:space="1" w:color="auto"/>
          <w:left w:val="single" w:sz="4" w:space="4" w:color="auto"/>
          <w:bottom w:val="single" w:sz="4" w:space="1" w:color="auto"/>
          <w:right w:val="single" w:sz="4" w:space="4" w:color="auto"/>
        </w:pBdr>
        <w:rPr>
          <w:rFonts w:cs="Calibri"/>
          <w:kern w:val="28"/>
          <w:szCs w:val="24"/>
        </w:rPr>
      </w:pPr>
      <w:r w:rsidRPr="00FD2E06">
        <w:rPr>
          <w:rFonts w:cs="Calibri"/>
          <w:kern w:val="28"/>
          <w:szCs w:val="24"/>
        </w:rPr>
        <w:t>Example from River to Sea TPO TIP:</w:t>
      </w:r>
      <w:r w:rsidRPr="00FD2E06">
        <w:rPr>
          <w:rStyle w:val="FootnoteReference"/>
          <w:rFonts w:cs="Calibri"/>
          <w:kern w:val="28"/>
          <w:szCs w:val="24"/>
        </w:rPr>
        <w:footnoteReference w:id="12"/>
      </w:r>
    </w:p>
    <w:p w14:paraId="2D574F64" w14:textId="50848A66" w:rsidR="002F68B2" w:rsidRPr="00475027" w:rsidRDefault="00D659BC" w:rsidP="00FD2E06">
      <w:pPr>
        <w:pBdr>
          <w:top w:val="single" w:sz="4" w:space="1" w:color="auto"/>
          <w:left w:val="single" w:sz="4" w:space="4" w:color="auto"/>
          <w:bottom w:val="single" w:sz="4" w:space="1" w:color="auto"/>
          <w:right w:val="single" w:sz="4" w:space="4" w:color="auto"/>
        </w:pBdr>
        <w:rPr>
          <w:rFonts w:cs="Calibri"/>
          <w:i/>
          <w:iCs/>
          <w:kern w:val="28"/>
          <w:szCs w:val="24"/>
        </w:rPr>
      </w:pPr>
      <w:r w:rsidRPr="0000371F">
        <w:rPr>
          <w:i/>
          <w:iCs/>
          <w:szCs w:val="24"/>
        </w:rPr>
        <w:t>The River to Sea TPO planning area is served by three (3) transit service providers: Flagler County Public Transportation (FCPT), Votran, and SunRail. SunRail is considered a Tier I while Votran and FCPT are Tier II providers. The following tables represent the transit data reported by each transit agency for each of the applicable Asset Categories along with the targets set by those agencies and supported by the TPO.</w:t>
      </w:r>
    </w:p>
    <w:p w14:paraId="031E2954" w14:textId="77777777" w:rsidR="005B00C2" w:rsidRPr="00902A8B" w:rsidRDefault="005B00C2" w:rsidP="005B00C2">
      <w:pPr>
        <w:pStyle w:val="Heading3"/>
        <w:spacing w:before="0"/>
      </w:pPr>
      <w:bookmarkStart w:id="36" w:name="_Toc425276"/>
      <w:r>
        <w:t>6</w:t>
      </w:r>
      <w:r w:rsidRPr="00902A8B">
        <w:t>.</w:t>
      </w:r>
      <w:r>
        <w:t>2</w:t>
      </w:r>
      <w:r w:rsidRPr="00902A8B">
        <w:t xml:space="preserve">.1 </w:t>
      </w:r>
      <w:r>
        <w:t xml:space="preserve">Transit Provider </w:t>
      </w:r>
      <w:r w:rsidRPr="00902A8B">
        <w:t>Targets</w:t>
      </w:r>
    </w:p>
    <w:bookmarkEnd w:id="36"/>
    <w:p w14:paraId="023157B1" w14:textId="5711E01F" w:rsidR="005B00C2" w:rsidRDefault="005B00C2" w:rsidP="00C11EB8">
      <w:pPr>
        <w:keepNext/>
        <w:keepLines/>
        <w:rPr>
          <w:rFonts w:cs="Calibri"/>
          <w:kern w:val="28"/>
          <w:szCs w:val="24"/>
        </w:rPr>
      </w:pPr>
      <w:r>
        <w:rPr>
          <w:rFonts w:cs="Calibri"/>
          <w:kern w:val="28"/>
          <w:szCs w:val="24"/>
          <w:highlight w:val="yellow"/>
        </w:rPr>
        <w:t>Use this language</w:t>
      </w:r>
      <w:r w:rsidRPr="00FF19DD">
        <w:rPr>
          <w:rFonts w:cs="Calibri"/>
          <w:kern w:val="28"/>
          <w:szCs w:val="24"/>
          <w:highlight w:val="yellow"/>
        </w:rPr>
        <w:t xml:space="preserve"> </w:t>
      </w:r>
      <w:r>
        <w:rPr>
          <w:rFonts w:cs="Calibri"/>
          <w:kern w:val="28"/>
          <w:szCs w:val="24"/>
          <w:highlight w:val="yellow"/>
        </w:rPr>
        <w:t>to discuss targets established by T</w:t>
      </w:r>
      <w:r w:rsidRPr="00FF19DD">
        <w:rPr>
          <w:rFonts w:cs="Calibri"/>
          <w:kern w:val="28"/>
          <w:szCs w:val="24"/>
          <w:highlight w:val="yellow"/>
        </w:rPr>
        <w:t>ier I provider</w:t>
      </w:r>
      <w:r>
        <w:rPr>
          <w:rFonts w:cs="Calibri"/>
          <w:kern w:val="28"/>
          <w:szCs w:val="24"/>
          <w:highlight w:val="yellow"/>
        </w:rPr>
        <w:t>(s)</w:t>
      </w:r>
      <w:r w:rsidRPr="00FF19DD">
        <w:rPr>
          <w:rFonts w:cs="Calibri"/>
          <w:kern w:val="28"/>
          <w:szCs w:val="24"/>
          <w:highlight w:val="yellow"/>
        </w:rPr>
        <w:t xml:space="preserve"> </w:t>
      </w:r>
      <w:r>
        <w:rPr>
          <w:rFonts w:cs="Calibri"/>
          <w:kern w:val="28"/>
          <w:szCs w:val="24"/>
          <w:highlight w:val="yellow"/>
        </w:rPr>
        <w:t>and Tier II providers that are not part of the Group TAM Plan, if applicable</w:t>
      </w:r>
      <w:r w:rsidRPr="00FF19DD">
        <w:rPr>
          <w:rFonts w:cs="Calibri"/>
          <w:kern w:val="28"/>
          <w:szCs w:val="24"/>
          <w:highlight w:val="yellow"/>
        </w:rPr>
        <w:t>:</w:t>
      </w:r>
      <w:r>
        <w:rPr>
          <w:rFonts w:cs="Calibri"/>
          <w:kern w:val="28"/>
          <w:szCs w:val="24"/>
        </w:rPr>
        <w:t xml:space="preserve"> </w:t>
      </w:r>
      <w:r w:rsidRPr="008A2DFD">
        <w:rPr>
          <w:rFonts w:cs="Calibri"/>
          <w:kern w:val="28"/>
          <w:szCs w:val="24"/>
        </w:rPr>
        <w:t>The [</w:t>
      </w:r>
      <w:r w:rsidRPr="008A2DFD">
        <w:rPr>
          <w:rFonts w:cs="Calibri"/>
          <w:kern w:val="28"/>
          <w:szCs w:val="24"/>
          <w:highlight w:val="yellow"/>
        </w:rPr>
        <w:t>insert transit agency</w:t>
      </w:r>
      <w:r w:rsidRPr="008A2DFD">
        <w:rPr>
          <w:rFonts w:cs="Calibri"/>
          <w:kern w:val="28"/>
          <w:szCs w:val="24"/>
        </w:rPr>
        <w:t xml:space="preserve">] </w:t>
      </w:r>
      <w:r>
        <w:rPr>
          <w:rFonts w:cs="Calibri"/>
          <w:kern w:val="28"/>
          <w:szCs w:val="24"/>
        </w:rPr>
        <w:t>established</w:t>
      </w:r>
      <w:r w:rsidRPr="008A2DFD">
        <w:rPr>
          <w:rFonts w:cs="Calibri"/>
          <w:kern w:val="28"/>
          <w:szCs w:val="24"/>
        </w:rPr>
        <w:t xml:space="preserve"> </w:t>
      </w:r>
      <w:r>
        <w:rPr>
          <w:rFonts w:cs="Calibri"/>
          <w:kern w:val="28"/>
          <w:szCs w:val="24"/>
        </w:rPr>
        <w:t>TAM</w:t>
      </w:r>
      <w:r w:rsidRPr="008A2DFD">
        <w:rPr>
          <w:rFonts w:cs="Calibri"/>
          <w:kern w:val="28"/>
          <w:szCs w:val="24"/>
        </w:rPr>
        <w:t xml:space="preserve"> targets </w:t>
      </w:r>
      <w:r>
        <w:t xml:space="preserve">for each of the applicable asset categories </w:t>
      </w:r>
      <w:r w:rsidRPr="008A2DFD">
        <w:rPr>
          <w:rFonts w:cs="Calibri"/>
          <w:kern w:val="28"/>
          <w:szCs w:val="24"/>
        </w:rPr>
        <w:t>on [</w:t>
      </w:r>
      <w:r w:rsidRPr="008A2DFD">
        <w:rPr>
          <w:rFonts w:cs="Calibri"/>
          <w:kern w:val="28"/>
          <w:szCs w:val="24"/>
          <w:highlight w:val="yellow"/>
        </w:rPr>
        <w:t>insert date</w:t>
      </w:r>
      <w:r w:rsidRPr="008A2DFD">
        <w:rPr>
          <w:rFonts w:cs="Calibri"/>
          <w:kern w:val="28"/>
          <w:szCs w:val="24"/>
        </w:rPr>
        <w:t>]</w:t>
      </w:r>
      <w:r>
        <w:rPr>
          <w:rFonts w:cs="Calibri"/>
          <w:kern w:val="28"/>
          <w:szCs w:val="24"/>
        </w:rPr>
        <w:t>. Table 6.3 presents the targets.</w:t>
      </w:r>
      <w:r w:rsidR="000B2135">
        <w:rPr>
          <w:rFonts w:cs="Calibri"/>
          <w:kern w:val="28"/>
          <w:szCs w:val="24"/>
        </w:rPr>
        <w:t xml:space="preserve"> </w:t>
      </w:r>
      <w:r w:rsidRPr="00C3728B">
        <w:rPr>
          <w:rFonts w:cs="Calibri"/>
          <w:kern w:val="28"/>
          <w:szCs w:val="24"/>
          <w:highlight w:val="yellow"/>
        </w:rPr>
        <w:t xml:space="preserve">Include </w:t>
      </w:r>
      <w:r>
        <w:rPr>
          <w:rFonts w:cs="Calibri"/>
          <w:kern w:val="28"/>
          <w:szCs w:val="24"/>
          <w:highlight w:val="yellow"/>
        </w:rPr>
        <w:t>T</w:t>
      </w:r>
      <w:r w:rsidRPr="00C3728B">
        <w:rPr>
          <w:rFonts w:cs="Calibri"/>
          <w:kern w:val="28"/>
          <w:szCs w:val="24"/>
          <w:highlight w:val="yellow"/>
        </w:rPr>
        <w:t xml:space="preserve">able </w:t>
      </w:r>
      <w:r>
        <w:rPr>
          <w:rFonts w:cs="Calibri"/>
          <w:kern w:val="28"/>
          <w:szCs w:val="24"/>
          <w:highlight w:val="yellow"/>
        </w:rPr>
        <w:t>6.3</w:t>
      </w:r>
      <w:r w:rsidRPr="00C3728B">
        <w:rPr>
          <w:rFonts w:cs="Calibri"/>
          <w:kern w:val="28"/>
          <w:szCs w:val="24"/>
          <w:highlight w:val="yellow"/>
        </w:rPr>
        <w:t xml:space="preserve"> below </w:t>
      </w:r>
      <w:r w:rsidRPr="00695A84">
        <w:rPr>
          <w:rFonts w:cs="Calibri"/>
          <w:kern w:val="28"/>
          <w:szCs w:val="24"/>
          <w:highlight w:val="yellow"/>
        </w:rPr>
        <w:t xml:space="preserve">to </w:t>
      </w:r>
      <w:r>
        <w:rPr>
          <w:rFonts w:cs="Calibri"/>
          <w:kern w:val="28"/>
          <w:szCs w:val="24"/>
          <w:highlight w:val="yellow"/>
        </w:rPr>
        <w:t>list TAM</w:t>
      </w:r>
      <w:r w:rsidRPr="00A13086">
        <w:rPr>
          <w:rFonts w:cs="Calibri"/>
          <w:kern w:val="28"/>
          <w:szCs w:val="24"/>
          <w:highlight w:val="yellow"/>
        </w:rPr>
        <w:t xml:space="preserve"> </w:t>
      </w:r>
      <w:r w:rsidRPr="00053163">
        <w:rPr>
          <w:rFonts w:cs="Calibri"/>
          <w:kern w:val="28"/>
          <w:szCs w:val="24"/>
          <w:highlight w:val="yellow"/>
        </w:rPr>
        <w:t>targets</w:t>
      </w:r>
      <w:r w:rsidR="00C11EB8" w:rsidRPr="00053163">
        <w:rPr>
          <w:rFonts w:cs="Calibri"/>
          <w:kern w:val="28"/>
          <w:szCs w:val="24"/>
          <w:highlight w:val="yellow"/>
        </w:rPr>
        <w:t xml:space="preserve"> for Tier 1 provider(s) and Tier II providers that are not part of the Group TAM Plan, if applicable</w:t>
      </w:r>
      <w:r>
        <w:rPr>
          <w:rFonts w:cs="Calibri"/>
          <w:kern w:val="28"/>
          <w:szCs w:val="24"/>
          <w:highlight w:val="yellow"/>
        </w:rPr>
        <w:t>. Repeat the table for each transit provider</w:t>
      </w:r>
      <w:r w:rsidR="002A29E3">
        <w:rPr>
          <w:rFonts w:cs="Calibri"/>
          <w:kern w:val="28"/>
          <w:szCs w:val="24"/>
          <w:highlight w:val="yellow"/>
        </w:rPr>
        <w:t xml:space="preserve">. </w:t>
      </w:r>
      <w:r>
        <w:rPr>
          <w:rFonts w:cs="Calibri"/>
          <w:kern w:val="28"/>
          <w:szCs w:val="24"/>
          <w:highlight w:val="yellow"/>
        </w:rPr>
        <w:t xml:space="preserve">Note that transit providers establish targets only for the </w:t>
      </w:r>
      <w:r w:rsidRPr="00C3728B">
        <w:rPr>
          <w:rFonts w:cs="Calibri"/>
          <w:kern w:val="28"/>
          <w:szCs w:val="24"/>
          <w:highlight w:val="yellow"/>
        </w:rPr>
        <w:t>asset class</w:t>
      </w:r>
      <w:r>
        <w:rPr>
          <w:rFonts w:cs="Calibri"/>
          <w:kern w:val="28"/>
          <w:szCs w:val="24"/>
          <w:highlight w:val="yellow"/>
        </w:rPr>
        <w:t>es operated by the agency;</w:t>
      </w:r>
      <w:r w:rsidRPr="00C3728B">
        <w:rPr>
          <w:rFonts w:cs="Calibri"/>
          <w:kern w:val="28"/>
          <w:szCs w:val="24"/>
          <w:highlight w:val="yellow"/>
        </w:rPr>
        <w:t xml:space="preserve"> therefore, </w:t>
      </w:r>
      <w:r>
        <w:rPr>
          <w:rFonts w:cs="Calibri"/>
          <w:kern w:val="28"/>
          <w:szCs w:val="24"/>
          <w:highlight w:val="yellow"/>
        </w:rPr>
        <w:t>different asset classes than those shown in the example tables may apply</w:t>
      </w:r>
      <w:r w:rsidRPr="00C3728B">
        <w:rPr>
          <w:rFonts w:cs="Calibri"/>
          <w:kern w:val="28"/>
          <w:szCs w:val="24"/>
          <w:highlight w:val="yellow"/>
        </w:rPr>
        <w:t>.</w:t>
      </w:r>
      <w:r>
        <w:rPr>
          <w:rFonts w:cs="Calibri"/>
          <w:kern w:val="28"/>
          <w:szCs w:val="24"/>
        </w:rPr>
        <w:t xml:space="preserve"> </w:t>
      </w:r>
    </w:p>
    <w:p w14:paraId="39FDE317" w14:textId="7D147093" w:rsidR="005B00C2" w:rsidRPr="00CC2E98" w:rsidRDefault="005B00C2" w:rsidP="005B00C2">
      <w:pPr>
        <w:keepNext/>
        <w:keepLines/>
        <w:rPr>
          <w:rFonts w:cs="Calibri"/>
          <w:i/>
          <w:iCs/>
          <w:kern w:val="28"/>
          <w:szCs w:val="24"/>
        </w:rPr>
      </w:pPr>
      <w:r>
        <w:rPr>
          <w:rFonts w:cs="Calibri"/>
          <w:kern w:val="28"/>
          <w:szCs w:val="24"/>
          <w:highlight w:val="yellow"/>
        </w:rPr>
        <w:t>Use this language</w:t>
      </w:r>
      <w:r w:rsidRPr="00FF19DD">
        <w:rPr>
          <w:rFonts w:cs="Calibri"/>
          <w:kern w:val="28"/>
          <w:szCs w:val="24"/>
          <w:highlight w:val="yellow"/>
        </w:rPr>
        <w:t xml:space="preserve"> </w:t>
      </w:r>
      <w:r>
        <w:rPr>
          <w:rFonts w:cs="Calibri"/>
          <w:kern w:val="28"/>
          <w:szCs w:val="24"/>
          <w:highlight w:val="yellow"/>
        </w:rPr>
        <w:t>to identify targets established by T</w:t>
      </w:r>
      <w:r w:rsidRPr="00FF19DD">
        <w:rPr>
          <w:rFonts w:cs="Calibri"/>
          <w:kern w:val="28"/>
          <w:szCs w:val="24"/>
          <w:highlight w:val="yellow"/>
        </w:rPr>
        <w:t>ier II provider</w:t>
      </w:r>
      <w:r>
        <w:rPr>
          <w:rFonts w:cs="Calibri"/>
          <w:kern w:val="28"/>
          <w:szCs w:val="24"/>
          <w:highlight w:val="yellow"/>
        </w:rPr>
        <w:t>(s)</w:t>
      </w:r>
      <w:r w:rsidRPr="00FF19DD">
        <w:rPr>
          <w:rFonts w:cs="Calibri"/>
          <w:kern w:val="28"/>
          <w:szCs w:val="24"/>
          <w:highlight w:val="yellow"/>
        </w:rPr>
        <w:t xml:space="preserve"> that </w:t>
      </w:r>
      <w:r>
        <w:rPr>
          <w:rFonts w:cs="Calibri"/>
          <w:kern w:val="28"/>
          <w:szCs w:val="24"/>
          <w:highlight w:val="yellow"/>
        </w:rPr>
        <w:t>are</w:t>
      </w:r>
      <w:r w:rsidRPr="00FF19DD">
        <w:rPr>
          <w:rFonts w:cs="Calibri"/>
          <w:kern w:val="28"/>
          <w:szCs w:val="24"/>
          <w:highlight w:val="yellow"/>
        </w:rPr>
        <w:t xml:space="preserve"> part of the FDOT Group TAM Plan:</w:t>
      </w:r>
      <w:r>
        <w:rPr>
          <w:rFonts w:cs="Calibri"/>
          <w:kern w:val="28"/>
          <w:szCs w:val="24"/>
        </w:rPr>
        <w:t xml:space="preserve"> </w:t>
      </w:r>
      <w:r w:rsidRPr="001831C8">
        <w:rPr>
          <w:rFonts w:cs="Calibri"/>
          <w:kern w:val="28"/>
          <w:szCs w:val="24"/>
        </w:rPr>
        <w:t>[</w:t>
      </w:r>
      <w:r w:rsidRPr="00776B4C">
        <w:rPr>
          <w:rFonts w:cs="Calibri"/>
          <w:kern w:val="28"/>
          <w:szCs w:val="24"/>
          <w:highlight w:val="yellow"/>
        </w:rPr>
        <w:t>Transit provider</w:t>
      </w:r>
      <w:r w:rsidRPr="001831C8">
        <w:rPr>
          <w:rFonts w:cs="Calibri"/>
          <w:kern w:val="28"/>
          <w:szCs w:val="24"/>
        </w:rPr>
        <w:t>] is part of the Group TAM Plan for Fiscal Years 2018/2019-2021/2022 developed by FDOT for Tier II providers in Florida</w:t>
      </w:r>
      <w:r>
        <w:rPr>
          <w:rFonts w:cs="Calibri"/>
          <w:kern w:val="28"/>
          <w:szCs w:val="24"/>
        </w:rPr>
        <w:t>.</w:t>
      </w:r>
      <w:r w:rsidRPr="001831C8">
        <w:rPr>
          <w:rFonts w:cs="Calibri"/>
          <w:kern w:val="28"/>
          <w:szCs w:val="24"/>
        </w:rPr>
        <w:t xml:space="preserve"> The FY 20</w:t>
      </w:r>
      <w:r w:rsidR="00CC2E98">
        <w:rPr>
          <w:rFonts w:cs="Calibri"/>
          <w:kern w:val="28"/>
          <w:szCs w:val="24"/>
        </w:rPr>
        <w:t xml:space="preserve">20 </w:t>
      </w:r>
      <w:r w:rsidRPr="001831C8">
        <w:rPr>
          <w:rFonts w:cs="Calibri"/>
          <w:kern w:val="28"/>
          <w:szCs w:val="24"/>
        </w:rPr>
        <w:t xml:space="preserve">asset conditions and </w:t>
      </w:r>
      <w:r w:rsidR="00CC2E98">
        <w:rPr>
          <w:rFonts w:cs="Calibri"/>
          <w:kern w:val="28"/>
          <w:szCs w:val="24"/>
        </w:rPr>
        <w:t xml:space="preserve">FY </w:t>
      </w:r>
      <w:r w:rsidRPr="001831C8">
        <w:rPr>
          <w:rFonts w:cs="Calibri"/>
          <w:kern w:val="28"/>
          <w:szCs w:val="24"/>
        </w:rPr>
        <w:t>20</w:t>
      </w:r>
      <w:r w:rsidR="00CC2E98">
        <w:rPr>
          <w:rFonts w:cs="Calibri"/>
          <w:kern w:val="28"/>
          <w:szCs w:val="24"/>
        </w:rPr>
        <w:t>21</w:t>
      </w:r>
      <w:r w:rsidRPr="001831C8">
        <w:rPr>
          <w:rFonts w:cs="Calibri"/>
          <w:kern w:val="28"/>
          <w:szCs w:val="24"/>
        </w:rPr>
        <w:t xml:space="preserve"> targets for the Tier II providers are shown in Table 6.4.</w:t>
      </w:r>
      <w:r w:rsidRPr="008F1F63">
        <w:rPr>
          <w:rFonts w:cs="Calibri"/>
          <w:kern w:val="28"/>
          <w:szCs w:val="24"/>
        </w:rPr>
        <w:t xml:space="preserve"> </w:t>
      </w:r>
      <w:r w:rsidR="00CC2E98">
        <w:rPr>
          <w:rFonts w:cs="Calibri"/>
          <w:i/>
          <w:iCs/>
          <w:kern w:val="28"/>
          <w:szCs w:val="24"/>
        </w:rPr>
        <w:t xml:space="preserve">Note:  FDOT will provide </w:t>
      </w:r>
      <w:r w:rsidR="007129F1">
        <w:rPr>
          <w:rFonts w:cs="Calibri"/>
          <w:i/>
          <w:iCs/>
          <w:kern w:val="28"/>
          <w:szCs w:val="24"/>
        </w:rPr>
        <w:t xml:space="preserve">an </w:t>
      </w:r>
      <w:r w:rsidR="00CC2E98">
        <w:rPr>
          <w:rFonts w:cs="Calibri"/>
          <w:i/>
          <w:iCs/>
          <w:kern w:val="28"/>
          <w:szCs w:val="24"/>
        </w:rPr>
        <w:t xml:space="preserve">update once FY 2021 conditions and FY 2022 targets are available. </w:t>
      </w:r>
    </w:p>
    <w:p w14:paraId="5BFDAF44" w14:textId="39751132" w:rsidR="005B00C2" w:rsidRDefault="005B00C2" w:rsidP="005B00C2">
      <w:pPr>
        <w:tabs>
          <w:tab w:val="left" w:pos="2250"/>
        </w:tabs>
        <w:rPr>
          <w:rFonts w:cs="Calibri"/>
          <w:bCs/>
          <w:color w:val="000000"/>
          <w:kern w:val="36"/>
          <w:szCs w:val="24"/>
        </w:rPr>
      </w:pPr>
      <w:r w:rsidRPr="008B5C0F">
        <w:rPr>
          <w:rFonts w:cs="Calibri"/>
          <w:bCs/>
          <w:color w:val="000000"/>
          <w:kern w:val="36"/>
          <w:szCs w:val="24"/>
        </w:rPr>
        <w:t xml:space="preserve">The </w:t>
      </w:r>
      <w:r>
        <w:rPr>
          <w:rFonts w:cs="Calibri"/>
          <w:bCs/>
          <w:color w:val="000000"/>
          <w:kern w:val="36"/>
          <w:szCs w:val="24"/>
        </w:rPr>
        <w:t xml:space="preserve">transit provider’s TAM </w:t>
      </w:r>
      <w:r w:rsidRPr="008B5C0F">
        <w:rPr>
          <w:rFonts w:cs="Calibri"/>
          <w:bCs/>
          <w:color w:val="000000"/>
          <w:kern w:val="36"/>
          <w:szCs w:val="24"/>
        </w:rPr>
        <w:t xml:space="preserve">targets are based on </w:t>
      </w:r>
      <w:r>
        <w:rPr>
          <w:rFonts w:cs="Calibri"/>
          <w:bCs/>
          <w:color w:val="000000"/>
          <w:kern w:val="36"/>
          <w:szCs w:val="24"/>
        </w:rPr>
        <w:t xml:space="preserve">the </w:t>
      </w:r>
      <w:r w:rsidRPr="008B5C0F">
        <w:rPr>
          <w:rFonts w:cs="Calibri"/>
          <w:bCs/>
          <w:color w:val="000000"/>
          <w:kern w:val="36"/>
          <w:szCs w:val="24"/>
        </w:rPr>
        <w:t xml:space="preserve">condition of </w:t>
      </w:r>
      <w:r>
        <w:rPr>
          <w:rFonts w:cs="Calibri"/>
          <w:bCs/>
          <w:color w:val="000000"/>
          <w:kern w:val="36"/>
          <w:szCs w:val="24"/>
        </w:rPr>
        <w:t xml:space="preserve">existing </w:t>
      </w:r>
      <w:r w:rsidRPr="008B5C0F">
        <w:rPr>
          <w:rFonts w:cs="Calibri"/>
          <w:bCs/>
          <w:color w:val="000000"/>
          <w:kern w:val="36"/>
          <w:szCs w:val="24"/>
        </w:rPr>
        <w:t>transit assets and planned investments in equipment, rolling stock, infrastructure, and facilities</w:t>
      </w:r>
      <w:r w:rsidR="002A29E3">
        <w:rPr>
          <w:rFonts w:cs="Calibri"/>
          <w:bCs/>
          <w:color w:val="000000"/>
          <w:kern w:val="36"/>
          <w:szCs w:val="24"/>
        </w:rPr>
        <w:t xml:space="preserve">. </w:t>
      </w:r>
      <w:r w:rsidRPr="008B5C0F">
        <w:rPr>
          <w:rFonts w:cs="Calibri"/>
          <w:bCs/>
          <w:color w:val="000000"/>
          <w:kern w:val="36"/>
          <w:szCs w:val="24"/>
        </w:rPr>
        <w:t>The targets reflect the most recent data</w:t>
      </w:r>
      <w:r>
        <w:rPr>
          <w:rFonts w:cs="Calibri"/>
          <w:bCs/>
          <w:color w:val="000000"/>
          <w:kern w:val="36"/>
          <w:szCs w:val="24"/>
        </w:rPr>
        <w:t xml:space="preserve"> </w:t>
      </w:r>
      <w:r w:rsidRPr="008B5C0F">
        <w:rPr>
          <w:rFonts w:cs="Calibri"/>
          <w:bCs/>
          <w:color w:val="000000"/>
          <w:kern w:val="36"/>
          <w:szCs w:val="24"/>
        </w:rPr>
        <w:t>available on the number, age, and condition of transit assets</w:t>
      </w:r>
      <w:r>
        <w:rPr>
          <w:rFonts w:cs="Calibri"/>
          <w:bCs/>
          <w:color w:val="000000"/>
          <w:kern w:val="36"/>
          <w:szCs w:val="24"/>
        </w:rPr>
        <w:t>,</w:t>
      </w:r>
      <w:r w:rsidRPr="008B5C0F">
        <w:rPr>
          <w:rFonts w:cs="Calibri"/>
          <w:bCs/>
          <w:color w:val="000000"/>
          <w:kern w:val="36"/>
          <w:szCs w:val="24"/>
        </w:rPr>
        <w:t xml:space="preserve"> and capital investment plans for improving these assets</w:t>
      </w:r>
      <w:r w:rsidR="002A29E3">
        <w:rPr>
          <w:rFonts w:cs="Calibri"/>
          <w:bCs/>
          <w:color w:val="000000"/>
          <w:kern w:val="36"/>
          <w:szCs w:val="24"/>
        </w:rPr>
        <w:t xml:space="preserve">. </w:t>
      </w:r>
      <w:r>
        <w:rPr>
          <w:rFonts w:cs="Calibri"/>
          <w:bCs/>
          <w:color w:val="000000"/>
          <w:kern w:val="36"/>
          <w:szCs w:val="24"/>
        </w:rPr>
        <w:t>The table summarizes both existing conditions for the most recent year available, and the current targets</w:t>
      </w:r>
      <w:r w:rsidRPr="008B5C0F">
        <w:rPr>
          <w:rFonts w:cs="Calibri"/>
          <w:bCs/>
          <w:color w:val="000000"/>
          <w:kern w:val="36"/>
          <w:szCs w:val="24"/>
        </w:rPr>
        <w:t xml:space="preserve"> </w:t>
      </w:r>
      <w:r w:rsidRPr="00A217C0">
        <w:rPr>
          <w:rFonts w:cs="Calibri"/>
          <w:bCs/>
          <w:color w:val="000000"/>
          <w:kern w:val="36"/>
          <w:szCs w:val="24"/>
          <w:highlight w:val="yellow"/>
        </w:rPr>
        <w:t>[augment text as needed</w:t>
      </w:r>
      <w:r>
        <w:rPr>
          <w:rFonts w:cs="Calibri"/>
          <w:bCs/>
          <w:color w:val="000000"/>
          <w:kern w:val="36"/>
          <w:szCs w:val="24"/>
        </w:rPr>
        <w:t>].</w:t>
      </w:r>
    </w:p>
    <w:p w14:paraId="2E39A03E" w14:textId="77777777" w:rsidR="005B00C2" w:rsidRDefault="005B00C2" w:rsidP="005B00C2">
      <w:pPr>
        <w:tabs>
          <w:tab w:val="left" w:pos="2250"/>
        </w:tabs>
        <w:rPr>
          <w:rFonts w:cs="Calibri"/>
          <w:bCs/>
          <w:color w:val="000000"/>
          <w:kern w:val="36"/>
          <w:szCs w:val="24"/>
        </w:rPr>
      </w:pPr>
    </w:p>
    <w:p w14:paraId="73C52A82" w14:textId="77777777" w:rsidR="005B00C2" w:rsidRDefault="005B00C2" w:rsidP="005B00C2">
      <w:pPr>
        <w:spacing w:after="200" w:line="276" w:lineRule="auto"/>
        <w:jc w:val="left"/>
        <w:rPr>
          <w:rFonts w:cs="Arial"/>
          <w:b/>
          <w:szCs w:val="24"/>
        </w:rPr>
      </w:pPr>
      <w:r>
        <w:rPr>
          <w:rFonts w:cs="Arial"/>
          <w:b/>
          <w:szCs w:val="24"/>
        </w:rPr>
        <w:br w:type="page"/>
      </w:r>
    </w:p>
    <w:p w14:paraId="6DFCC212" w14:textId="77777777" w:rsidR="005B00C2" w:rsidRPr="00342667" w:rsidRDefault="005B00C2" w:rsidP="005B00C2">
      <w:pPr>
        <w:spacing w:after="120"/>
        <w:rPr>
          <w:rFonts w:cs="Arial"/>
          <w:bCs/>
          <w:kern w:val="36"/>
          <w:szCs w:val="24"/>
        </w:rPr>
      </w:pPr>
      <w:r w:rsidRPr="00342667">
        <w:rPr>
          <w:rFonts w:cs="Arial"/>
          <w:b/>
          <w:szCs w:val="24"/>
        </w:rPr>
        <w:lastRenderedPageBreak/>
        <w:t>Table </w:t>
      </w:r>
      <w:r>
        <w:rPr>
          <w:rFonts w:cs="Arial"/>
          <w:b/>
          <w:szCs w:val="24"/>
        </w:rPr>
        <w:t>6.3</w:t>
      </w:r>
      <w:r w:rsidRPr="00342667">
        <w:rPr>
          <w:rFonts w:cs="Arial"/>
          <w:b/>
          <w:szCs w:val="24"/>
        </w:rPr>
        <w:t xml:space="preserve">. </w:t>
      </w:r>
      <w:r>
        <w:rPr>
          <w:rFonts w:cs="Arial"/>
          <w:b/>
          <w:szCs w:val="24"/>
        </w:rPr>
        <w:t xml:space="preserve">Transit Asset Management </w:t>
      </w:r>
      <w:r w:rsidRPr="00342667">
        <w:rPr>
          <w:rFonts w:cs="Arial"/>
          <w:b/>
          <w:szCs w:val="24"/>
        </w:rPr>
        <w:t>Targets</w:t>
      </w:r>
      <w:r>
        <w:rPr>
          <w:rFonts w:cs="Arial"/>
          <w:b/>
          <w:szCs w:val="24"/>
        </w:rPr>
        <w:t xml:space="preserve"> </w:t>
      </w:r>
      <w:r w:rsidRPr="00CA64FA">
        <w:rPr>
          <w:rFonts w:cs="Arial"/>
          <w:b/>
          <w:szCs w:val="24"/>
        </w:rPr>
        <w:t>for</w:t>
      </w:r>
      <w:r w:rsidRPr="001968B7">
        <w:rPr>
          <w:rFonts w:cs="Arial"/>
          <w:b/>
          <w:szCs w:val="24"/>
        </w:rPr>
        <w:t xml:space="preserve"> </w:t>
      </w:r>
      <w:r w:rsidRPr="00CA64FA">
        <w:rPr>
          <w:rFonts w:cs="Arial"/>
          <w:b/>
          <w:szCs w:val="24"/>
          <w:highlight w:val="yellow"/>
        </w:rPr>
        <w:t>[insert transit provider name]</w:t>
      </w:r>
    </w:p>
    <w:tbl>
      <w:tblPr>
        <w:tblW w:w="9648"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72" w:type="dxa"/>
          <w:left w:w="72" w:type="dxa"/>
          <w:bottom w:w="72" w:type="dxa"/>
          <w:right w:w="72" w:type="dxa"/>
        </w:tblCellMar>
        <w:tblLook w:val="01E0" w:firstRow="1" w:lastRow="1" w:firstColumn="1" w:lastColumn="1" w:noHBand="0" w:noVBand="0"/>
      </w:tblPr>
      <w:tblGrid>
        <w:gridCol w:w="4320"/>
        <w:gridCol w:w="2354"/>
        <w:gridCol w:w="1606"/>
        <w:gridCol w:w="1368"/>
      </w:tblGrid>
      <w:tr w:rsidR="005B00C2" w:rsidRPr="00384C07" w14:paraId="0CE977B1" w14:textId="77777777" w:rsidTr="0000371F">
        <w:trPr>
          <w:tblHeader/>
        </w:trPr>
        <w:tc>
          <w:tcPr>
            <w:tcW w:w="4320" w:type="dxa"/>
            <w:shd w:val="clear" w:color="auto" w:fill="auto"/>
          </w:tcPr>
          <w:p w14:paraId="14AE2EB1" w14:textId="77777777" w:rsidR="005B00C2" w:rsidRPr="00384C07" w:rsidRDefault="005B00C2" w:rsidP="0000371F">
            <w:pPr>
              <w:pStyle w:val="TableHeadText"/>
            </w:pPr>
            <w:r w:rsidRPr="00384C07">
              <w:t>Asset Category - Performance Measure</w:t>
            </w:r>
          </w:p>
        </w:tc>
        <w:tc>
          <w:tcPr>
            <w:tcW w:w="2354" w:type="dxa"/>
            <w:shd w:val="clear" w:color="auto" w:fill="auto"/>
          </w:tcPr>
          <w:p w14:paraId="79420368" w14:textId="77777777" w:rsidR="005B00C2" w:rsidRPr="00384C07" w:rsidRDefault="005B00C2" w:rsidP="0000371F">
            <w:pPr>
              <w:pStyle w:val="TableHeadText"/>
            </w:pPr>
            <w:r w:rsidRPr="00384C07">
              <w:t>Asset Class</w:t>
            </w:r>
          </w:p>
        </w:tc>
        <w:tc>
          <w:tcPr>
            <w:tcW w:w="1606" w:type="dxa"/>
            <w:shd w:val="clear" w:color="auto" w:fill="auto"/>
            <w:vAlign w:val="bottom"/>
          </w:tcPr>
          <w:p w14:paraId="74899514" w14:textId="77777777" w:rsidR="005B00C2" w:rsidRPr="00384C07" w:rsidRDefault="005B00C2" w:rsidP="0000371F">
            <w:pPr>
              <w:pStyle w:val="TableHeadText"/>
            </w:pPr>
            <w:r w:rsidRPr="00384C07">
              <w:t xml:space="preserve">FY </w:t>
            </w:r>
            <w:r w:rsidRPr="00384C07">
              <w:rPr>
                <w:highlight w:val="yellow"/>
              </w:rPr>
              <w:t>20xx</w:t>
            </w:r>
            <w:r w:rsidRPr="00384C07">
              <w:t xml:space="preserve"> Asset Condition</w:t>
            </w:r>
          </w:p>
        </w:tc>
        <w:tc>
          <w:tcPr>
            <w:tcW w:w="1368" w:type="dxa"/>
            <w:shd w:val="clear" w:color="auto" w:fill="auto"/>
            <w:vAlign w:val="center"/>
          </w:tcPr>
          <w:p w14:paraId="5D291A79" w14:textId="77777777" w:rsidR="005B00C2" w:rsidRPr="00384C07" w:rsidRDefault="005B00C2" w:rsidP="0000371F">
            <w:pPr>
              <w:pStyle w:val="TableHeadText"/>
            </w:pPr>
            <w:r w:rsidRPr="00384C07">
              <w:t xml:space="preserve">FY </w:t>
            </w:r>
            <w:r w:rsidRPr="00384C07">
              <w:rPr>
                <w:highlight w:val="yellow"/>
              </w:rPr>
              <w:t>20xx</w:t>
            </w:r>
            <w:r w:rsidRPr="00384C07">
              <w:t xml:space="preserve"> Target</w:t>
            </w:r>
          </w:p>
        </w:tc>
      </w:tr>
      <w:tr w:rsidR="005B00C2" w:rsidRPr="00384C07" w14:paraId="12ADF79E" w14:textId="77777777" w:rsidTr="000C0E09">
        <w:tc>
          <w:tcPr>
            <w:tcW w:w="9648" w:type="dxa"/>
            <w:gridSpan w:val="4"/>
            <w:shd w:val="clear" w:color="auto" w:fill="auto"/>
            <w:vAlign w:val="center"/>
          </w:tcPr>
          <w:p w14:paraId="73A16BB5" w14:textId="77777777" w:rsidR="005B00C2" w:rsidRPr="0000371F" w:rsidRDefault="005B00C2" w:rsidP="0000371F">
            <w:pPr>
              <w:pStyle w:val="TableBodyText"/>
              <w:rPr>
                <w:b/>
                <w:bCs/>
              </w:rPr>
            </w:pPr>
            <w:r w:rsidRPr="0000371F">
              <w:rPr>
                <w:b/>
                <w:bCs/>
              </w:rPr>
              <w:t>Rolling Stock</w:t>
            </w:r>
          </w:p>
        </w:tc>
      </w:tr>
      <w:tr w:rsidR="005B00C2" w:rsidRPr="00384C07" w14:paraId="3EAE2482" w14:textId="77777777" w:rsidTr="000C0E09">
        <w:tc>
          <w:tcPr>
            <w:tcW w:w="4320" w:type="dxa"/>
            <w:vMerge w:val="restart"/>
            <w:shd w:val="clear" w:color="auto" w:fill="auto"/>
            <w:vAlign w:val="center"/>
          </w:tcPr>
          <w:p w14:paraId="37011B6D" w14:textId="77777777" w:rsidR="005B00C2" w:rsidRPr="00384C07" w:rsidRDefault="005B00C2" w:rsidP="0000371F">
            <w:pPr>
              <w:pStyle w:val="TableBodyText"/>
              <w:rPr>
                <w:rFonts w:cs="Calibri"/>
                <w:bCs/>
                <w:color w:val="000000"/>
                <w:kern w:val="36"/>
              </w:rPr>
            </w:pPr>
            <w:r w:rsidRPr="00384C07">
              <w:rPr>
                <w:rFonts w:cs="Calibri"/>
                <w:bCs/>
                <w:color w:val="000000"/>
                <w:kern w:val="36"/>
              </w:rPr>
              <w:t>Age - % of revenue vehicles within a particular asset class that have met or exceeded their ULB</w:t>
            </w:r>
          </w:p>
        </w:tc>
        <w:tc>
          <w:tcPr>
            <w:tcW w:w="2354" w:type="dxa"/>
            <w:shd w:val="clear" w:color="auto" w:fill="auto"/>
          </w:tcPr>
          <w:p w14:paraId="4085F2D3" w14:textId="77777777" w:rsidR="005B00C2" w:rsidRPr="00384C07" w:rsidRDefault="005B00C2" w:rsidP="0000371F">
            <w:pPr>
              <w:pStyle w:val="TableBodyText"/>
              <w:rPr>
                <w:rFonts w:cs="Calibri"/>
                <w:bCs/>
                <w:color w:val="000000"/>
                <w:kern w:val="36"/>
              </w:rPr>
            </w:pPr>
            <w:r w:rsidRPr="00384C07">
              <w:rPr>
                <w:rFonts w:cs="Calibri"/>
                <w:bCs/>
                <w:color w:val="000000"/>
                <w:kern w:val="36"/>
              </w:rPr>
              <w:t>Articulated Bus</w:t>
            </w:r>
          </w:p>
        </w:tc>
        <w:tc>
          <w:tcPr>
            <w:tcW w:w="1606" w:type="dxa"/>
            <w:shd w:val="clear" w:color="auto" w:fill="auto"/>
            <w:vAlign w:val="center"/>
          </w:tcPr>
          <w:p w14:paraId="6DC15467"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X</w:t>
            </w:r>
          </w:p>
        </w:tc>
        <w:tc>
          <w:tcPr>
            <w:tcW w:w="1368" w:type="dxa"/>
            <w:shd w:val="clear" w:color="auto" w:fill="auto"/>
            <w:vAlign w:val="center"/>
          </w:tcPr>
          <w:p w14:paraId="2CCFE5C3"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w:t>
            </w:r>
          </w:p>
        </w:tc>
      </w:tr>
      <w:tr w:rsidR="005B00C2" w:rsidRPr="00384C07" w14:paraId="667BAC02" w14:textId="77777777" w:rsidTr="000C0E09">
        <w:trPr>
          <w:tblHeader/>
        </w:trPr>
        <w:tc>
          <w:tcPr>
            <w:tcW w:w="4320" w:type="dxa"/>
            <w:vMerge/>
            <w:shd w:val="clear" w:color="auto" w:fill="auto"/>
            <w:vAlign w:val="center"/>
          </w:tcPr>
          <w:p w14:paraId="39BB71AF" w14:textId="77777777" w:rsidR="005B00C2" w:rsidRPr="00384C07" w:rsidRDefault="005B00C2" w:rsidP="0000371F">
            <w:pPr>
              <w:pStyle w:val="TableBodyText"/>
              <w:rPr>
                <w:rFonts w:cs="Calibri"/>
                <w:bCs/>
                <w:color w:val="000000"/>
                <w:kern w:val="36"/>
              </w:rPr>
            </w:pPr>
          </w:p>
        </w:tc>
        <w:tc>
          <w:tcPr>
            <w:tcW w:w="2354" w:type="dxa"/>
            <w:shd w:val="clear" w:color="auto" w:fill="auto"/>
          </w:tcPr>
          <w:p w14:paraId="670513F9" w14:textId="77777777" w:rsidR="005B00C2" w:rsidRPr="00384C07" w:rsidRDefault="005B00C2" w:rsidP="0000371F">
            <w:pPr>
              <w:pStyle w:val="TableBodyText"/>
              <w:rPr>
                <w:rFonts w:cs="Calibri"/>
                <w:bCs/>
                <w:color w:val="000000"/>
                <w:kern w:val="36"/>
              </w:rPr>
            </w:pPr>
            <w:r w:rsidRPr="00384C07">
              <w:rPr>
                <w:rFonts w:cs="Calibri"/>
                <w:bCs/>
                <w:color w:val="000000"/>
                <w:kern w:val="36"/>
              </w:rPr>
              <w:t>Bus</w:t>
            </w:r>
          </w:p>
        </w:tc>
        <w:tc>
          <w:tcPr>
            <w:tcW w:w="1606" w:type="dxa"/>
            <w:shd w:val="clear" w:color="auto" w:fill="auto"/>
            <w:vAlign w:val="bottom"/>
          </w:tcPr>
          <w:p w14:paraId="48DC29A6"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X</w:t>
            </w:r>
          </w:p>
        </w:tc>
        <w:tc>
          <w:tcPr>
            <w:tcW w:w="1368" w:type="dxa"/>
            <w:shd w:val="clear" w:color="auto" w:fill="auto"/>
            <w:vAlign w:val="center"/>
          </w:tcPr>
          <w:p w14:paraId="41369840"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w:t>
            </w:r>
          </w:p>
        </w:tc>
      </w:tr>
      <w:tr w:rsidR="005B00C2" w:rsidRPr="00384C07" w14:paraId="5A3AA01D" w14:textId="77777777" w:rsidTr="000C0E09">
        <w:tc>
          <w:tcPr>
            <w:tcW w:w="4320" w:type="dxa"/>
            <w:vMerge/>
            <w:shd w:val="clear" w:color="auto" w:fill="auto"/>
            <w:vAlign w:val="center"/>
          </w:tcPr>
          <w:p w14:paraId="3182C3FC" w14:textId="77777777" w:rsidR="005B00C2" w:rsidRPr="00384C07" w:rsidRDefault="005B00C2" w:rsidP="0000371F">
            <w:pPr>
              <w:pStyle w:val="TableBodyText"/>
              <w:rPr>
                <w:rFonts w:cs="Calibri"/>
                <w:bCs/>
                <w:color w:val="000000"/>
                <w:kern w:val="36"/>
              </w:rPr>
            </w:pPr>
          </w:p>
        </w:tc>
        <w:tc>
          <w:tcPr>
            <w:tcW w:w="2354" w:type="dxa"/>
            <w:shd w:val="clear" w:color="auto" w:fill="auto"/>
          </w:tcPr>
          <w:p w14:paraId="00A56CAC" w14:textId="77777777" w:rsidR="005B00C2" w:rsidRPr="00384C07" w:rsidRDefault="005B00C2" w:rsidP="0000371F">
            <w:pPr>
              <w:pStyle w:val="TableBodyText"/>
              <w:rPr>
                <w:rFonts w:cs="Calibri"/>
                <w:bCs/>
                <w:color w:val="000000"/>
                <w:kern w:val="36"/>
              </w:rPr>
            </w:pPr>
            <w:r w:rsidRPr="00384C07">
              <w:rPr>
                <w:rFonts w:cs="Calibri"/>
                <w:bCs/>
                <w:color w:val="000000"/>
                <w:kern w:val="36"/>
              </w:rPr>
              <w:t>Mini-Bus</w:t>
            </w:r>
          </w:p>
        </w:tc>
        <w:tc>
          <w:tcPr>
            <w:tcW w:w="1606" w:type="dxa"/>
            <w:shd w:val="clear" w:color="auto" w:fill="auto"/>
            <w:vAlign w:val="center"/>
          </w:tcPr>
          <w:p w14:paraId="6546B8F5"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X</w:t>
            </w:r>
          </w:p>
        </w:tc>
        <w:tc>
          <w:tcPr>
            <w:tcW w:w="1368" w:type="dxa"/>
            <w:shd w:val="clear" w:color="auto" w:fill="auto"/>
            <w:vAlign w:val="center"/>
          </w:tcPr>
          <w:p w14:paraId="65326ADD"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w:t>
            </w:r>
          </w:p>
        </w:tc>
      </w:tr>
      <w:tr w:rsidR="005B00C2" w:rsidRPr="00384C07" w14:paraId="5B77E624" w14:textId="77777777" w:rsidTr="000C0E09">
        <w:tc>
          <w:tcPr>
            <w:tcW w:w="4320" w:type="dxa"/>
            <w:vMerge/>
            <w:shd w:val="clear" w:color="auto" w:fill="auto"/>
            <w:vAlign w:val="center"/>
          </w:tcPr>
          <w:p w14:paraId="161D4DBB" w14:textId="77777777" w:rsidR="005B00C2" w:rsidRPr="00384C07" w:rsidRDefault="005B00C2" w:rsidP="0000371F">
            <w:pPr>
              <w:pStyle w:val="TableBodyText"/>
              <w:rPr>
                <w:rFonts w:cs="Calibri"/>
                <w:bCs/>
                <w:color w:val="000000"/>
                <w:kern w:val="36"/>
              </w:rPr>
            </w:pPr>
          </w:p>
        </w:tc>
        <w:tc>
          <w:tcPr>
            <w:tcW w:w="2354" w:type="dxa"/>
            <w:shd w:val="clear" w:color="auto" w:fill="auto"/>
          </w:tcPr>
          <w:p w14:paraId="7D3BC690" w14:textId="77777777" w:rsidR="005B00C2" w:rsidRPr="00384C07" w:rsidRDefault="005B00C2" w:rsidP="0000371F">
            <w:pPr>
              <w:pStyle w:val="TableBodyText"/>
              <w:rPr>
                <w:rFonts w:cs="Calibri"/>
                <w:bCs/>
                <w:color w:val="000000"/>
                <w:kern w:val="36"/>
              </w:rPr>
            </w:pPr>
            <w:r w:rsidRPr="00384C07">
              <w:rPr>
                <w:rFonts w:cs="Calibri"/>
                <w:bCs/>
                <w:color w:val="000000"/>
                <w:kern w:val="36"/>
              </w:rPr>
              <w:t>Van</w:t>
            </w:r>
          </w:p>
        </w:tc>
        <w:tc>
          <w:tcPr>
            <w:tcW w:w="1606" w:type="dxa"/>
            <w:shd w:val="clear" w:color="auto" w:fill="auto"/>
            <w:vAlign w:val="center"/>
          </w:tcPr>
          <w:p w14:paraId="793D7506"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X</w:t>
            </w:r>
          </w:p>
        </w:tc>
        <w:tc>
          <w:tcPr>
            <w:tcW w:w="1368" w:type="dxa"/>
            <w:shd w:val="clear" w:color="auto" w:fill="auto"/>
            <w:vAlign w:val="center"/>
          </w:tcPr>
          <w:p w14:paraId="45BF6AFB"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w:t>
            </w:r>
          </w:p>
        </w:tc>
      </w:tr>
      <w:tr w:rsidR="005B00C2" w:rsidRPr="00384C07" w14:paraId="29B80B23" w14:textId="77777777" w:rsidTr="000C0E09">
        <w:tc>
          <w:tcPr>
            <w:tcW w:w="4320" w:type="dxa"/>
            <w:vMerge/>
            <w:shd w:val="clear" w:color="auto" w:fill="auto"/>
            <w:vAlign w:val="center"/>
          </w:tcPr>
          <w:p w14:paraId="21C4CD72" w14:textId="77777777" w:rsidR="005B00C2" w:rsidRPr="00384C07" w:rsidRDefault="005B00C2" w:rsidP="0000371F">
            <w:pPr>
              <w:pStyle w:val="TableBodyText"/>
              <w:rPr>
                <w:rFonts w:cs="Calibri"/>
                <w:bCs/>
                <w:color w:val="000000"/>
                <w:kern w:val="36"/>
              </w:rPr>
            </w:pPr>
          </w:p>
        </w:tc>
        <w:tc>
          <w:tcPr>
            <w:tcW w:w="2354" w:type="dxa"/>
            <w:shd w:val="clear" w:color="auto" w:fill="auto"/>
          </w:tcPr>
          <w:p w14:paraId="160A4424" w14:textId="77777777" w:rsidR="005B00C2" w:rsidRPr="00384C07" w:rsidRDefault="005B00C2" w:rsidP="0000371F">
            <w:pPr>
              <w:pStyle w:val="TableBodyText"/>
              <w:rPr>
                <w:rFonts w:cs="Calibri"/>
                <w:bCs/>
                <w:color w:val="000000"/>
                <w:kern w:val="36"/>
              </w:rPr>
            </w:pPr>
            <w:r w:rsidRPr="00384C07">
              <w:rPr>
                <w:rFonts w:cs="Calibri"/>
                <w:bCs/>
                <w:color w:val="000000"/>
                <w:kern w:val="36"/>
              </w:rPr>
              <w:t>Etc.</w:t>
            </w:r>
          </w:p>
        </w:tc>
        <w:tc>
          <w:tcPr>
            <w:tcW w:w="1606" w:type="dxa"/>
            <w:shd w:val="clear" w:color="auto" w:fill="auto"/>
            <w:vAlign w:val="center"/>
          </w:tcPr>
          <w:p w14:paraId="22E4D59F"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X</w:t>
            </w:r>
          </w:p>
        </w:tc>
        <w:tc>
          <w:tcPr>
            <w:tcW w:w="1368" w:type="dxa"/>
            <w:shd w:val="clear" w:color="auto" w:fill="auto"/>
            <w:vAlign w:val="center"/>
          </w:tcPr>
          <w:p w14:paraId="3FE4059C"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w:t>
            </w:r>
          </w:p>
        </w:tc>
      </w:tr>
      <w:tr w:rsidR="005B00C2" w:rsidRPr="00384C07" w14:paraId="76323C46" w14:textId="77777777" w:rsidTr="000C0E09">
        <w:tc>
          <w:tcPr>
            <w:tcW w:w="9648" w:type="dxa"/>
            <w:gridSpan w:val="4"/>
            <w:shd w:val="clear" w:color="auto" w:fill="auto"/>
            <w:vAlign w:val="center"/>
          </w:tcPr>
          <w:p w14:paraId="149012E9" w14:textId="77777777" w:rsidR="005B00C2" w:rsidRPr="0000371F" w:rsidRDefault="005B00C2" w:rsidP="0000371F">
            <w:pPr>
              <w:pStyle w:val="TableBodyText"/>
              <w:rPr>
                <w:rFonts w:cs="Calibri"/>
                <w:b/>
                <w:color w:val="000000"/>
                <w:kern w:val="36"/>
              </w:rPr>
            </w:pPr>
            <w:r w:rsidRPr="0000371F">
              <w:rPr>
                <w:rFonts w:cs="Calibri"/>
                <w:b/>
                <w:color w:val="000000"/>
                <w:kern w:val="36"/>
              </w:rPr>
              <w:t>Equipment</w:t>
            </w:r>
          </w:p>
        </w:tc>
      </w:tr>
      <w:tr w:rsidR="005B00C2" w:rsidRPr="00384C07" w14:paraId="5C3BAAF5" w14:textId="77777777" w:rsidTr="000C0E09">
        <w:tc>
          <w:tcPr>
            <w:tcW w:w="4320" w:type="dxa"/>
            <w:vMerge w:val="restart"/>
            <w:shd w:val="clear" w:color="auto" w:fill="auto"/>
            <w:vAlign w:val="center"/>
          </w:tcPr>
          <w:p w14:paraId="003F3C26" w14:textId="77777777" w:rsidR="005B00C2" w:rsidRPr="00384C07" w:rsidRDefault="005B00C2" w:rsidP="0000371F">
            <w:pPr>
              <w:pStyle w:val="TableBodyText"/>
              <w:rPr>
                <w:rFonts w:cs="Calibri"/>
                <w:bCs/>
                <w:color w:val="000000"/>
                <w:kern w:val="36"/>
              </w:rPr>
            </w:pPr>
            <w:r w:rsidRPr="00384C07">
              <w:rPr>
                <w:rFonts w:cs="Calibri"/>
                <w:bCs/>
                <w:color w:val="000000"/>
                <w:kern w:val="36"/>
              </w:rPr>
              <w:t>Age - % of non-revenue vehicles within a particular asset class that have met or exceeded their ULB</w:t>
            </w:r>
          </w:p>
        </w:tc>
        <w:tc>
          <w:tcPr>
            <w:tcW w:w="2354" w:type="dxa"/>
            <w:shd w:val="clear" w:color="auto" w:fill="auto"/>
          </w:tcPr>
          <w:p w14:paraId="14F334E1" w14:textId="7E75CFB0" w:rsidR="005B00C2" w:rsidRPr="00384C07" w:rsidRDefault="00653195" w:rsidP="0000371F">
            <w:pPr>
              <w:pStyle w:val="TableBodyText"/>
              <w:rPr>
                <w:rFonts w:cs="Calibri"/>
                <w:bCs/>
                <w:color w:val="000000"/>
                <w:kern w:val="36"/>
              </w:rPr>
            </w:pPr>
            <w:r w:rsidRPr="00384C07">
              <w:rPr>
                <w:rFonts w:cs="Calibri"/>
                <w:bCs/>
                <w:color w:val="000000"/>
                <w:kern w:val="36"/>
              </w:rPr>
              <w:t>Non-Revenue</w:t>
            </w:r>
            <w:r w:rsidR="005B00C2" w:rsidRPr="00384C07">
              <w:rPr>
                <w:rFonts w:cs="Calibri"/>
                <w:bCs/>
                <w:color w:val="000000"/>
                <w:kern w:val="36"/>
              </w:rPr>
              <w:t>/Service Automobile</w:t>
            </w:r>
          </w:p>
        </w:tc>
        <w:tc>
          <w:tcPr>
            <w:tcW w:w="1606" w:type="dxa"/>
            <w:shd w:val="clear" w:color="auto" w:fill="auto"/>
            <w:vAlign w:val="center"/>
          </w:tcPr>
          <w:p w14:paraId="5140629F"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X</w:t>
            </w:r>
          </w:p>
        </w:tc>
        <w:tc>
          <w:tcPr>
            <w:tcW w:w="1368" w:type="dxa"/>
            <w:shd w:val="clear" w:color="auto" w:fill="auto"/>
            <w:vAlign w:val="center"/>
          </w:tcPr>
          <w:p w14:paraId="2E144F87"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w:t>
            </w:r>
          </w:p>
        </w:tc>
      </w:tr>
      <w:tr w:rsidR="005B00C2" w:rsidRPr="00384C07" w14:paraId="292F813D" w14:textId="77777777" w:rsidTr="000C0E09">
        <w:tc>
          <w:tcPr>
            <w:tcW w:w="4320" w:type="dxa"/>
            <w:vMerge/>
            <w:shd w:val="clear" w:color="auto" w:fill="auto"/>
            <w:vAlign w:val="center"/>
          </w:tcPr>
          <w:p w14:paraId="781A6CB1" w14:textId="77777777" w:rsidR="005B00C2" w:rsidRPr="00384C07" w:rsidRDefault="005B00C2" w:rsidP="0000371F">
            <w:pPr>
              <w:pStyle w:val="TableBodyText"/>
              <w:rPr>
                <w:rFonts w:cs="Calibri"/>
                <w:bCs/>
                <w:color w:val="000000"/>
                <w:kern w:val="36"/>
              </w:rPr>
            </w:pPr>
          </w:p>
        </w:tc>
        <w:tc>
          <w:tcPr>
            <w:tcW w:w="2354" w:type="dxa"/>
            <w:shd w:val="clear" w:color="auto" w:fill="auto"/>
          </w:tcPr>
          <w:p w14:paraId="28C8AD86" w14:textId="77777777" w:rsidR="005B00C2" w:rsidRPr="00384C07" w:rsidRDefault="005B00C2" w:rsidP="0000371F">
            <w:pPr>
              <w:pStyle w:val="TableBodyText"/>
              <w:rPr>
                <w:rFonts w:cs="Calibri"/>
                <w:bCs/>
                <w:color w:val="000000"/>
                <w:kern w:val="36"/>
              </w:rPr>
            </w:pPr>
            <w:r w:rsidRPr="00384C07">
              <w:rPr>
                <w:rFonts w:cs="Calibri"/>
                <w:bCs/>
                <w:color w:val="000000"/>
                <w:kern w:val="36"/>
              </w:rPr>
              <w:t>Trucks and other Rubber Tire Vehicles</w:t>
            </w:r>
          </w:p>
        </w:tc>
        <w:tc>
          <w:tcPr>
            <w:tcW w:w="1606" w:type="dxa"/>
            <w:shd w:val="clear" w:color="auto" w:fill="auto"/>
            <w:vAlign w:val="center"/>
          </w:tcPr>
          <w:p w14:paraId="35B5C4D2"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X</w:t>
            </w:r>
          </w:p>
        </w:tc>
        <w:tc>
          <w:tcPr>
            <w:tcW w:w="1368" w:type="dxa"/>
            <w:shd w:val="clear" w:color="auto" w:fill="auto"/>
            <w:vAlign w:val="center"/>
          </w:tcPr>
          <w:p w14:paraId="194C8FA6"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w:t>
            </w:r>
          </w:p>
        </w:tc>
      </w:tr>
      <w:tr w:rsidR="005B00C2" w:rsidRPr="00384C07" w14:paraId="5BB74515" w14:textId="77777777" w:rsidTr="000C0E09">
        <w:tc>
          <w:tcPr>
            <w:tcW w:w="4320" w:type="dxa"/>
            <w:vMerge/>
            <w:shd w:val="clear" w:color="auto" w:fill="auto"/>
            <w:vAlign w:val="center"/>
          </w:tcPr>
          <w:p w14:paraId="1E7DC1E7" w14:textId="77777777" w:rsidR="005B00C2" w:rsidRPr="00384C07" w:rsidRDefault="005B00C2" w:rsidP="0000371F">
            <w:pPr>
              <w:pStyle w:val="TableBodyText"/>
              <w:rPr>
                <w:rFonts w:cs="Calibri"/>
                <w:bCs/>
                <w:color w:val="000000"/>
                <w:kern w:val="36"/>
              </w:rPr>
            </w:pPr>
          </w:p>
        </w:tc>
        <w:tc>
          <w:tcPr>
            <w:tcW w:w="2354" w:type="dxa"/>
            <w:shd w:val="clear" w:color="auto" w:fill="auto"/>
          </w:tcPr>
          <w:p w14:paraId="59846BFF" w14:textId="77777777" w:rsidR="005B00C2" w:rsidRPr="00384C07" w:rsidRDefault="005B00C2" w:rsidP="0000371F">
            <w:pPr>
              <w:pStyle w:val="TableBodyText"/>
              <w:rPr>
                <w:rFonts w:cs="Calibri"/>
                <w:bCs/>
                <w:color w:val="000000"/>
                <w:kern w:val="36"/>
              </w:rPr>
            </w:pPr>
            <w:r w:rsidRPr="00384C07">
              <w:rPr>
                <w:rFonts w:cs="Calibri"/>
                <w:bCs/>
                <w:color w:val="000000"/>
                <w:kern w:val="36"/>
              </w:rPr>
              <w:t>Maintenance Equipment</w:t>
            </w:r>
          </w:p>
        </w:tc>
        <w:tc>
          <w:tcPr>
            <w:tcW w:w="1606" w:type="dxa"/>
            <w:shd w:val="clear" w:color="auto" w:fill="auto"/>
            <w:vAlign w:val="center"/>
          </w:tcPr>
          <w:p w14:paraId="482FEE80"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X</w:t>
            </w:r>
          </w:p>
        </w:tc>
        <w:tc>
          <w:tcPr>
            <w:tcW w:w="1368" w:type="dxa"/>
            <w:shd w:val="clear" w:color="auto" w:fill="auto"/>
            <w:vAlign w:val="center"/>
          </w:tcPr>
          <w:p w14:paraId="71DD8EAC"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w:t>
            </w:r>
          </w:p>
        </w:tc>
      </w:tr>
      <w:tr w:rsidR="005B00C2" w:rsidRPr="00384C07" w14:paraId="07F9B06B" w14:textId="77777777" w:rsidTr="000C0E09">
        <w:tc>
          <w:tcPr>
            <w:tcW w:w="4320" w:type="dxa"/>
            <w:vMerge/>
            <w:shd w:val="clear" w:color="auto" w:fill="auto"/>
            <w:vAlign w:val="center"/>
          </w:tcPr>
          <w:p w14:paraId="20E22659" w14:textId="77777777" w:rsidR="005B00C2" w:rsidRPr="00384C07" w:rsidRDefault="005B00C2" w:rsidP="0000371F">
            <w:pPr>
              <w:pStyle w:val="TableBodyText"/>
              <w:rPr>
                <w:rFonts w:cs="Calibri"/>
                <w:bCs/>
                <w:color w:val="000000"/>
                <w:kern w:val="36"/>
              </w:rPr>
            </w:pPr>
          </w:p>
        </w:tc>
        <w:tc>
          <w:tcPr>
            <w:tcW w:w="2354" w:type="dxa"/>
            <w:shd w:val="clear" w:color="auto" w:fill="auto"/>
          </w:tcPr>
          <w:p w14:paraId="1EE5F781" w14:textId="77777777" w:rsidR="005B00C2" w:rsidRPr="00384C07" w:rsidRDefault="005B00C2" w:rsidP="0000371F">
            <w:pPr>
              <w:pStyle w:val="TableBodyText"/>
              <w:rPr>
                <w:rFonts w:cs="Calibri"/>
                <w:bCs/>
                <w:color w:val="000000"/>
                <w:kern w:val="36"/>
              </w:rPr>
            </w:pPr>
            <w:r w:rsidRPr="00384C07">
              <w:rPr>
                <w:rFonts w:cs="Calibri"/>
                <w:bCs/>
                <w:color w:val="000000"/>
                <w:kern w:val="36"/>
              </w:rPr>
              <w:t>Etc.</w:t>
            </w:r>
          </w:p>
        </w:tc>
        <w:tc>
          <w:tcPr>
            <w:tcW w:w="1606" w:type="dxa"/>
            <w:shd w:val="clear" w:color="auto" w:fill="auto"/>
            <w:vAlign w:val="center"/>
          </w:tcPr>
          <w:p w14:paraId="7754DB2A"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X</w:t>
            </w:r>
          </w:p>
        </w:tc>
        <w:tc>
          <w:tcPr>
            <w:tcW w:w="1368" w:type="dxa"/>
            <w:shd w:val="clear" w:color="auto" w:fill="auto"/>
            <w:vAlign w:val="center"/>
          </w:tcPr>
          <w:p w14:paraId="0D68C928"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w:t>
            </w:r>
          </w:p>
        </w:tc>
      </w:tr>
      <w:tr w:rsidR="005B00C2" w:rsidRPr="00384C07" w14:paraId="214B5111" w14:textId="77777777" w:rsidTr="000C0E09">
        <w:tc>
          <w:tcPr>
            <w:tcW w:w="9648" w:type="dxa"/>
            <w:gridSpan w:val="4"/>
            <w:shd w:val="clear" w:color="auto" w:fill="auto"/>
            <w:vAlign w:val="center"/>
          </w:tcPr>
          <w:p w14:paraId="10F1A4C8" w14:textId="77777777" w:rsidR="005B00C2" w:rsidRPr="0000371F" w:rsidRDefault="005B00C2" w:rsidP="0000371F">
            <w:pPr>
              <w:pStyle w:val="TableBodyText"/>
              <w:rPr>
                <w:rFonts w:cs="Calibri"/>
                <w:b/>
                <w:color w:val="000000"/>
                <w:kern w:val="36"/>
              </w:rPr>
            </w:pPr>
            <w:r w:rsidRPr="0000371F">
              <w:rPr>
                <w:rFonts w:cs="Calibri"/>
                <w:b/>
                <w:color w:val="000000"/>
                <w:kern w:val="36"/>
              </w:rPr>
              <w:t xml:space="preserve">Infrastructure </w:t>
            </w:r>
            <w:r w:rsidRPr="0000371F">
              <w:rPr>
                <w:rFonts w:cs="Calibri"/>
                <w:b/>
                <w:color w:val="000000"/>
                <w:kern w:val="36"/>
                <w:highlight w:val="yellow"/>
              </w:rPr>
              <w:t>(this category is only applicable to Tier I providers with rail service)</w:t>
            </w:r>
          </w:p>
        </w:tc>
      </w:tr>
      <w:tr w:rsidR="005B00C2" w:rsidRPr="00384C07" w14:paraId="16825D57" w14:textId="77777777" w:rsidTr="000C0E09">
        <w:trPr>
          <w:trHeight w:val="248"/>
        </w:trPr>
        <w:tc>
          <w:tcPr>
            <w:tcW w:w="4320" w:type="dxa"/>
            <w:vMerge w:val="restart"/>
            <w:shd w:val="clear" w:color="auto" w:fill="auto"/>
            <w:vAlign w:val="center"/>
          </w:tcPr>
          <w:p w14:paraId="6171CCCB" w14:textId="77777777" w:rsidR="005B00C2" w:rsidRPr="00384C07" w:rsidRDefault="005B00C2" w:rsidP="0000371F">
            <w:pPr>
              <w:pStyle w:val="TableBodyText"/>
              <w:rPr>
                <w:rFonts w:cs="Calibri"/>
                <w:bCs/>
                <w:color w:val="000000"/>
                <w:kern w:val="36"/>
              </w:rPr>
            </w:pPr>
            <w:r w:rsidRPr="00384C07">
              <w:rPr>
                <w:rFonts w:cs="Calibri"/>
                <w:bCs/>
                <w:color w:val="000000"/>
                <w:kern w:val="36"/>
              </w:rPr>
              <w:t>% of track segments with performance restrictions</w:t>
            </w:r>
          </w:p>
        </w:tc>
        <w:tc>
          <w:tcPr>
            <w:tcW w:w="2354" w:type="dxa"/>
            <w:shd w:val="clear" w:color="auto" w:fill="auto"/>
          </w:tcPr>
          <w:p w14:paraId="65CA7CDB" w14:textId="77777777" w:rsidR="005B00C2" w:rsidRPr="00384C07" w:rsidRDefault="005B00C2" w:rsidP="0000371F">
            <w:pPr>
              <w:pStyle w:val="TableBodyText"/>
              <w:rPr>
                <w:rFonts w:cs="Calibri"/>
                <w:bCs/>
                <w:color w:val="000000"/>
                <w:kern w:val="36"/>
              </w:rPr>
            </w:pPr>
            <w:r w:rsidRPr="00384C07">
              <w:rPr>
                <w:rFonts w:cs="Calibri"/>
                <w:bCs/>
                <w:color w:val="000000"/>
                <w:kern w:val="36"/>
              </w:rPr>
              <w:t>Guideway Elements</w:t>
            </w:r>
          </w:p>
        </w:tc>
        <w:tc>
          <w:tcPr>
            <w:tcW w:w="1606" w:type="dxa"/>
            <w:shd w:val="clear" w:color="auto" w:fill="auto"/>
            <w:vAlign w:val="center"/>
          </w:tcPr>
          <w:p w14:paraId="2424DA17" w14:textId="77777777" w:rsidR="005B00C2" w:rsidRPr="00B56E4A" w:rsidRDefault="005B00C2" w:rsidP="0000371F">
            <w:pPr>
              <w:pStyle w:val="TableBodyText"/>
              <w:jc w:val="center"/>
              <w:rPr>
                <w:rFonts w:cs="Calibri"/>
                <w:bCs/>
                <w:color w:val="000000"/>
                <w:kern w:val="36"/>
              </w:rPr>
            </w:pPr>
            <w:r w:rsidRPr="00B56E4A">
              <w:rPr>
                <w:rFonts w:cs="Calibri"/>
                <w:bCs/>
                <w:color w:val="000000"/>
                <w:kern w:val="36"/>
              </w:rPr>
              <w:t>X</w:t>
            </w:r>
          </w:p>
        </w:tc>
        <w:tc>
          <w:tcPr>
            <w:tcW w:w="1368" w:type="dxa"/>
            <w:shd w:val="clear" w:color="auto" w:fill="auto"/>
            <w:vAlign w:val="center"/>
          </w:tcPr>
          <w:p w14:paraId="34CF79DA" w14:textId="77777777" w:rsidR="005B00C2" w:rsidRPr="00B56E4A" w:rsidRDefault="005B00C2" w:rsidP="0000371F">
            <w:pPr>
              <w:pStyle w:val="TableBodyText"/>
              <w:jc w:val="center"/>
              <w:rPr>
                <w:rFonts w:cs="Calibri"/>
                <w:bCs/>
                <w:color w:val="000000"/>
                <w:kern w:val="36"/>
              </w:rPr>
            </w:pPr>
            <w:r w:rsidRPr="00B56E4A">
              <w:rPr>
                <w:rFonts w:cs="Calibri"/>
                <w:bCs/>
                <w:color w:val="000000"/>
                <w:kern w:val="36"/>
              </w:rPr>
              <w:t>%</w:t>
            </w:r>
          </w:p>
        </w:tc>
      </w:tr>
      <w:tr w:rsidR="005B00C2" w:rsidRPr="00384C07" w14:paraId="6FE5722B" w14:textId="77777777" w:rsidTr="000C0E09">
        <w:trPr>
          <w:trHeight w:val="247"/>
        </w:trPr>
        <w:tc>
          <w:tcPr>
            <w:tcW w:w="4320" w:type="dxa"/>
            <w:vMerge/>
            <w:shd w:val="clear" w:color="auto" w:fill="auto"/>
            <w:vAlign w:val="center"/>
          </w:tcPr>
          <w:p w14:paraId="22438E7A" w14:textId="77777777" w:rsidR="005B00C2" w:rsidRPr="00384C07" w:rsidRDefault="005B00C2" w:rsidP="0000371F">
            <w:pPr>
              <w:pStyle w:val="TableBodyText"/>
              <w:rPr>
                <w:rFonts w:cs="Calibri"/>
                <w:bCs/>
                <w:color w:val="000000"/>
                <w:kern w:val="36"/>
              </w:rPr>
            </w:pPr>
          </w:p>
        </w:tc>
        <w:tc>
          <w:tcPr>
            <w:tcW w:w="2354" w:type="dxa"/>
            <w:shd w:val="clear" w:color="auto" w:fill="auto"/>
          </w:tcPr>
          <w:p w14:paraId="14BD96D2" w14:textId="77777777" w:rsidR="005B00C2" w:rsidRPr="00384C07" w:rsidRDefault="005B00C2" w:rsidP="0000371F">
            <w:pPr>
              <w:pStyle w:val="TableBodyText"/>
              <w:rPr>
                <w:rFonts w:cs="Calibri"/>
                <w:bCs/>
                <w:color w:val="000000"/>
                <w:kern w:val="36"/>
              </w:rPr>
            </w:pPr>
            <w:r w:rsidRPr="00384C07">
              <w:rPr>
                <w:rFonts w:cs="Calibri"/>
                <w:bCs/>
                <w:color w:val="000000"/>
                <w:kern w:val="36"/>
              </w:rPr>
              <w:t>Power &amp; Signal Elements</w:t>
            </w:r>
          </w:p>
        </w:tc>
        <w:tc>
          <w:tcPr>
            <w:tcW w:w="1606" w:type="dxa"/>
            <w:shd w:val="clear" w:color="auto" w:fill="auto"/>
          </w:tcPr>
          <w:p w14:paraId="484FA81E" w14:textId="77777777" w:rsidR="005B00C2" w:rsidRPr="00B56E4A" w:rsidRDefault="005B00C2" w:rsidP="0000371F">
            <w:pPr>
              <w:pStyle w:val="TableBodyText"/>
              <w:jc w:val="center"/>
              <w:rPr>
                <w:rFonts w:cs="Calibri"/>
                <w:bCs/>
                <w:color w:val="000000"/>
                <w:kern w:val="36"/>
              </w:rPr>
            </w:pPr>
            <w:r w:rsidRPr="00B56E4A">
              <w:rPr>
                <w:rFonts w:cs="Calibri"/>
                <w:bCs/>
                <w:color w:val="000000"/>
                <w:kern w:val="36"/>
              </w:rPr>
              <w:t>X</w:t>
            </w:r>
          </w:p>
        </w:tc>
        <w:tc>
          <w:tcPr>
            <w:tcW w:w="1368" w:type="dxa"/>
            <w:shd w:val="clear" w:color="auto" w:fill="auto"/>
            <w:vAlign w:val="center"/>
          </w:tcPr>
          <w:p w14:paraId="32F158B9" w14:textId="77777777" w:rsidR="005B00C2" w:rsidRPr="00B56E4A" w:rsidRDefault="005B00C2" w:rsidP="0000371F">
            <w:pPr>
              <w:pStyle w:val="TableBodyText"/>
              <w:jc w:val="center"/>
              <w:rPr>
                <w:rFonts w:cs="Calibri"/>
                <w:bCs/>
                <w:color w:val="000000"/>
                <w:kern w:val="36"/>
              </w:rPr>
            </w:pPr>
            <w:r w:rsidRPr="00B56E4A">
              <w:rPr>
                <w:rFonts w:cs="Calibri"/>
                <w:bCs/>
                <w:color w:val="000000"/>
                <w:kern w:val="36"/>
              </w:rPr>
              <w:t>%</w:t>
            </w:r>
          </w:p>
        </w:tc>
      </w:tr>
      <w:tr w:rsidR="005B00C2" w:rsidRPr="00384C07" w14:paraId="371C5A95" w14:textId="77777777" w:rsidTr="000C0E09">
        <w:trPr>
          <w:trHeight w:val="247"/>
        </w:trPr>
        <w:tc>
          <w:tcPr>
            <w:tcW w:w="4320" w:type="dxa"/>
            <w:vMerge/>
            <w:shd w:val="clear" w:color="auto" w:fill="auto"/>
            <w:vAlign w:val="center"/>
          </w:tcPr>
          <w:p w14:paraId="5059C7F7" w14:textId="77777777" w:rsidR="005B00C2" w:rsidRPr="00384C07" w:rsidRDefault="005B00C2" w:rsidP="0000371F">
            <w:pPr>
              <w:pStyle w:val="TableBodyText"/>
              <w:rPr>
                <w:rFonts w:cs="Calibri"/>
                <w:bCs/>
                <w:color w:val="000000"/>
                <w:kern w:val="36"/>
              </w:rPr>
            </w:pPr>
          </w:p>
        </w:tc>
        <w:tc>
          <w:tcPr>
            <w:tcW w:w="2354" w:type="dxa"/>
            <w:shd w:val="clear" w:color="auto" w:fill="auto"/>
          </w:tcPr>
          <w:p w14:paraId="1F5941BF" w14:textId="77777777" w:rsidR="005B00C2" w:rsidRPr="00384C07" w:rsidRDefault="005B00C2" w:rsidP="0000371F">
            <w:pPr>
              <w:pStyle w:val="TableBodyText"/>
              <w:rPr>
                <w:rFonts w:cs="Calibri"/>
                <w:bCs/>
                <w:color w:val="000000"/>
                <w:kern w:val="36"/>
              </w:rPr>
            </w:pPr>
            <w:r w:rsidRPr="00384C07">
              <w:rPr>
                <w:rFonts w:cs="Calibri"/>
                <w:bCs/>
                <w:color w:val="000000"/>
                <w:kern w:val="36"/>
              </w:rPr>
              <w:t>Track Elements</w:t>
            </w:r>
          </w:p>
        </w:tc>
        <w:tc>
          <w:tcPr>
            <w:tcW w:w="1606" w:type="dxa"/>
            <w:shd w:val="clear" w:color="auto" w:fill="auto"/>
          </w:tcPr>
          <w:p w14:paraId="3E3C0F42" w14:textId="77777777" w:rsidR="005B00C2" w:rsidRPr="00B56E4A" w:rsidRDefault="005B00C2" w:rsidP="0000371F">
            <w:pPr>
              <w:pStyle w:val="TableBodyText"/>
              <w:jc w:val="center"/>
              <w:rPr>
                <w:rFonts w:cs="Calibri"/>
                <w:bCs/>
                <w:color w:val="000000"/>
                <w:kern w:val="36"/>
              </w:rPr>
            </w:pPr>
            <w:r w:rsidRPr="00B56E4A">
              <w:rPr>
                <w:rFonts w:cs="Calibri"/>
                <w:bCs/>
                <w:color w:val="000000"/>
                <w:kern w:val="36"/>
              </w:rPr>
              <w:t>X</w:t>
            </w:r>
          </w:p>
        </w:tc>
        <w:tc>
          <w:tcPr>
            <w:tcW w:w="1368" w:type="dxa"/>
            <w:shd w:val="clear" w:color="auto" w:fill="auto"/>
            <w:vAlign w:val="center"/>
          </w:tcPr>
          <w:p w14:paraId="21222CC6" w14:textId="77777777" w:rsidR="005B00C2" w:rsidRPr="00B56E4A" w:rsidRDefault="005B00C2" w:rsidP="0000371F">
            <w:pPr>
              <w:pStyle w:val="TableBodyText"/>
              <w:jc w:val="center"/>
              <w:rPr>
                <w:rFonts w:cs="Calibri"/>
                <w:bCs/>
                <w:color w:val="000000"/>
                <w:kern w:val="36"/>
              </w:rPr>
            </w:pPr>
            <w:r w:rsidRPr="00B56E4A">
              <w:rPr>
                <w:rFonts w:cs="Calibri"/>
                <w:bCs/>
                <w:color w:val="000000"/>
                <w:kern w:val="36"/>
              </w:rPr>
              <w:t>%</w:t>
            </w:r>
          </w:p>
        </w:tc>
      </w:tr>
      <w:tr w:rsidR="005B00C2" w:rsidRPr="00384C07" w14:paraId="08258CBD" w14:textId="77777777" w:rsidTr="000C0E09">
        <w:tc>
          <w:tcPr>
            <w:tcW w:w="9648" w:type="dxa"/>
            <w:gridSpan w:val="4"/>
            <w:shd w:val="clear" w:color="auto" w:fill="auto"/>
            <w:vAlign w:val="center"/>
          </w:tcPr>
          <w:p w14:paraId="55CBD7E0" w14:textId="77777777" w:rsidR="005B00C2" w:rsidRPr="0000371F" w:rsidRDefault="005B00C2" w:rsidP="0000371F">
            <w:pPr>
              <w:pStyle w:val="TableBodyText"/>
              <w:keepNext/>
              <w:rPr>
                <w:rFonts w:cs="Calibri"/>
                <w:b/>
                <w:color w:val="000000"/>
                <w:kern w:val="36"/>
              </w:rPr>
            </w:pPr>
            <w:r w:rsidRPr="0000371F">
              <w:rPr>
                <w:rFonts w:cs="Calibri"/>
                <w:b/>
                <w:color w:val="000000"/>
                <w:kern w:val="36"/>
              </w:rPr>
              <w:lastRenderedPageBreak/>
              <w:t>Facilities</w:t>
            </w:r>
          </w:p>
        </w:tc>
      </w:tr>
      <w:tr w:rsidR="005B00C2" w:rsidRPr="00384C07" w14:paraId="41CC56C8" w14:textId="77777777" w:rsidTr="000C0E09">
        <w:tc>
          <w:tcPr>
            <w:tcW w:w="4320" w:type="dxa"/>
            <w:vMerge w:val="restart"/>
            <w:shd w:val="clear" w:color="auto" w:fill="auto"/>
            <w:vAlign w:val="center"/>
          </w:tcPr>
          <w:p w14:paraId="2394D267" w14:textId="77777777" w:rsidR="005B00C2" w:rsidRPr="00384C07" w:rsidRDefault="005B00C2" w:rsidP="0000371F">
            <w:pPr>
              <w:pStyle w:val="TableBodyText"/>
              <w:keepNext/>
              <w:rPr>
                <w:rFonts w:cs="Calibri"/>
                <w:bCs/>
                <w:color w:val="000000"/>
                <w:kern w:val="36"/>
              </w:rPr>
            </w:pPr>
            <w:r w:rsidRPr="00384C07">
              <w:rPr>
                <w:rFonts w:cs="Calibri"/>
                <w:bCs/>
                <w:color w:val="000000"/>
                <w:kern w:val="36"/>
              </w:rPr>
              <w:t>Condition - % of facilities with a condition rating below 3.0 on the FTA Transit Economic Requirements Model (TERM) Scale</w:t>
            </w:r>
          </w:p>
        </w:tc>
        <w:tc>
          <w:tcPr>
            <w:tcW w:w="2354" w:type="dxa"/>
            <w:shd w:val="clear" w:color="auto" w:fill="auto"/>
          </w:tcPr>
          <w:p w14:paraId="1F58858C" w14:textId="77777777" w:rsidR="005B00C2" w:rsidRPr="00384C07" w:rsidRDefault="005B00C2" w:rsidP="0000371F">
            <w:pPr>
              <w:pStyle w:val="TableBodyText"/>
              <w:keepNext/>
              <w:rPr>
                <w:rFonts w:cs="Calibri"/>
                <w:bCs/>
                <w:color w:val="000000"/>
                <w:kern w:val="36"/>
              </w:rPr>
            </w:pPr>
            <w:r w:rsidRPr="00384C07">
              <w:rPr>
                <w:rFonts w:cs="Calibri"/>
                <w:bCs/>
                <w:color w:val="000000"/>
                <w:kern w:val="36"/>
              </w:rPr>
              <w:t>Administration</w:t>
            </w:r>
          </w:p>
        </w:tc>
        <w:tc>
          <w:tcPr>
            <w:tcW w:w="1606" w:type="dxa"/>
            <w:shd w:val="clear" w:color="auto" w:fill="auto"/>
            <w:vAlign w:val="center"/>
          </w:tcPr>
          <w:p w14:paraId="22081451" w14:textId="77777777" w:rsidR="005B00C2" w:rsidRPr="00384C07" w:rsidRDefault="005B00C2" w:rsidP="0000371F">
            <w:pPr>
              <w:pStyle w:val="TableBodyText"/>
              <w:keepNext/>
              <w:jc w:val="center"/>
              <w:rPr>
                <w:rFonts w:cs="Calibri"/>
                <w:bCs/>
                <w:color w:val="000000"/>
                <w:kern w:val="36"/>
              </w:rPr>
            </w:pPr>
            <w:r w:rsidRPr="00384C07">
              <w:rPr>
                <w:rFonts w:cs="Calibri"/>
                <w:bCs/>
                <w:color w:val="000000"/>
                <w:kern w:val="36"/>
              </w:rPr>
              <w:t>X</w:t>
            </w:r>
          </w:p>
        </w:tc>
        <w:tc>
          <w:tcPr>
            <w:tcW w:w="1368" w:type="dxa"/>
            <w:shd w:val="clear" w:color="auto" w:fill="auto"/>
          </w:tcPr>
          <w:p w14:paraId="2B0033B4" w14:textId="77777777" w:rsidR="005B00C2" w:rsidRPr="00384C07" w:rsidRDefault="005B00C2" w:rsidP="0000371F">
            <w:pPr>
              <w:pStyle w:val="TableBodyText"/>
              <w:keepNext/>
              <w:jc w:val="center"/>
              <w:rPr>
                <w:rFonts w:cs="Calibri"/>
                <w:bCs/>
                <w:color w:val="000000"/>
                <w:kern w:val="36"/>
              </w:rPr>
            </w:pPr>
            <w:r w:rsidRPr="00384C07">
              <w:rPr>
                <w:rFonts w:cs="Calibri"/>
                <w:bCs/>
                <w:color w:val="000000"/>
                <w:kern w:val="36"/>
              </w:rPr>
              <w:t>%</w:t>
            </w:r>
          </w:p>
        </w:tc>
      </w:tr>
      <w:tr w:rsidR="005B00C2" w:rsidRPr="00384C07" w14:paraId="2688CBEE" w14:textId="77777777" w:rsidTr="000C0E09">
        <w:tc>
          <w:tcPr>
            <w:tcW w:w="4320" w:type="dxa"/>
            <w:vMerge/>
            <w:shd w:val="clear" w:color="auto" w:fill="auto"/>
            <w:vAlign w:val="center"/>
          </w:tcPr>
          <w:p w14:paraId="572A210E" w14:textId="77777777" w:rsidR="005B00C2" w:rsidRPr="00384C07" w:rsidRDefault="005B00C2" w:rsidP="0000371F">
            <w:pPr>
              <w:pStyle w:val="TableBodyText"/>
              <w:keepNext/>
              <w:rPr>
                <w:rFonts w:cs="Calibri"/>
                <w:bCs/>
                <w:color w:val="000000"/>
                <w:kern w:val="36"/>
              </w:rPr>
            </w:pPr>
          </w:p>
        </w:tc>
        <w:tc>
          <w:tcPr>
            <w:tcW w:w="2354" w:type="dxa"/>
            <w:shd w:val="clear" w:color="auto" w:fill="auto"/>
          </w:tcPr>
          <w:p w14:paraId="0642ED3B" w14:textId="77777777" w:rsidR="005B00C2" w:rsidRPr="00384C07" w:rsidRDefault="005B00C2" w:rsidP="0000371F">
            <w:pPr>
              <w:pStyle w:val="TableBodyText"/>
              <w:keepNext/>
              <w:rPr>
                <w:rFonts w:cs="Calibri"/>
                <w:bCs/>
                <w:color w:val="000000"/>
                <w:kern w:val="36"/>
              </w:rPr>
            </w:pPr>
            <w:r w:rsidRPr="00384C07">
              <w:rPr>
                <w:rFonts w:cs="Calibri"/>
                <w:bCs/>
                <w:color w:val="000000"/>
                <w:kern w:val="36"/>
              </w:rPr>
              <w:t>Maintenance</w:t>
            </w:r>
          </w:p>
        </w:tc>
        <w:tc>
          <w:tcPr>
            <w:tcW w:w="1606" w:type="dxa"/>
            <w:shd w:val="clear" w:color="auto" w:fill="auto"/>
          </w:tcPr>
          <w:p w14:paraId="5093AD6D" w14:textId="77777777" w:rsidR="005B00C2" w:rsidRPr="00384C07" w:rsidRDefault="005B00C2" w:rsidP="0000371F">
            <w:pPr>
              <w:pStyle w:val="TableBodyText"/>
              <w:keepNext/>
              <w:jc w:val="center"/>
              <w:rPr>
                <w:rFonts w:cs="Calibri"/>
                <w:bCs/>
                <w:color w:val="000000"/>
                <w:kern w:val="36"/>
              </w:rPr>
            </w:pPr>
            <w:r w:rsidRPr="00384C07">
              <w:rPr>
                <w:rFonts w:cs="Calibri"/>
                <w:bCs/>
                <w:color w:val="000000"/>
                <w:kern w:val="36"/>
              </w:rPr>
              <w:t>X</w:t>
            </w:r>
          </w:p>
        </w:tc>
        <w:tc>
          <w:tcPr>
            <w:tcW w:w="1368" w:type="dxa"/>
            <w:shd w:val="clear" w:color="auto" w:fill="auto"/>
          </w:tcPr>
          <w:p w14:paraId="4C7102E4" w14:textId="77777777" w:rsidR="005B00C2" w:rsidRPr="00384C07" w:rsidRDefault="005B00C2" w:rsidP="0000371F">
            <w:pPr>
              <w:pStyle w:val="TableBodyText"/>
              <w:keepNext/>
              <w:jc w:val="center"/>
              <w:rPr>
                <w:rFonts w:cs="Calibri"/>
                <w:bCs/>
                <w:color w:val="000000"/>
                <w:kern w:val="36"/>
              </w:rPr>
            </w:pPr>
            <w:r w:rsidRPr="00384C07">
              <w:rPr>
                <w:rFonts w:cs="Calibri"/>
                <w:bCs/>
                <w:color w:val="000000"/>
                <w:kern w:val="36"/>
              </w:rPr>
              <w:t>%</w:t>
            </w:r>
          </w:p>
        </w:tc>
      </w:tr>
      <w:tr w:rsidR="005B00C2" w:rsidRPr="00384C07" w14:paraId="07E84FC2" w14:textId="77777777" w:rsidTr="000C0E09">
        <w:tc>
          <w:tcPr>
            <w:tcW w:w="4320" w:type="dxa"/>
            <w:vMerge/>
            <w:shd w:val="clear" w:color="auto" w:fill="auto"/>
            <w:vAlign w:val="center"/>
          </w:tcPr>
          <w:p w14:paraId="690440E6" w14:textId="77777777" w:rsidR="005B00C2" w:rsidRPr="00384C07" w:rsidRDefault="005B00C2" w:rsidP="0000371F">
            <w:pPr>
              <w:pStyle w:val="TableBodyText"/>
              <w:keepNext/>
              <w:rPr>
                <w:rFonts w:cs="Calibri"/>
                <w:bCs/>
                <w:color w:val="000000"/>
                <w:kern w:val="36"/>
              </w:rPr>
            </w:pPr>
          </w:p>
        </w:tc>
        <w:tc>
          <w:tcPr>
            <w:tcW w:w="2354" w:type="dxa"/>
            <w:shd w:val="clear" w:color="auto" w:fill="auto"/>
          </w:tcPr>
          <w:p w14:paraId="633AB6C8" w14:textId="77777777" w:rsidR="005B00C2" w:rsidRPr="00384C07" w:rsidRDefault="005B00C2" w:rsidP="0000371F">
            <w:pPr>
              <w:pStyle w:val="TableBodyText"/>
              <w:keepNext/>
              <w:rPr>
                <w:rFonts w:cs="Calibri"/>
                <w:bCs/>
                <w:color w:val="000000"/>
                <w:kern w:val="36"/>
              </w:rPr>
            </w:pPr>
            <w:r w:rsidRPr="00384C07">
              <w:rPr>
                <w:rFonts w:cs="Calibri"/>
                <w:bCs/>
                <w:color w:val="000000"/>
                <w:kern w:val="36"/>
              </w:rPr>
              <w:t>Parking Structures</w:t>
            </w:r>
          </w:p>
        </w:tc>
        <w:tc>
          <w:tcPr>
            <w:tcW w:w="1606" w:type="dxa"/>
            <w:shd w:val="clear" w:color="auto" w:fill="auto"/>
          </w:tcPr>
          <w:p w14:paraId="5E8300D4" w14:textId="77777777" w:rsidR="005B00C2" w:rsidRPr="00384C07" w:rsidRDefault="005B00C2" w:rsidP="0000371F">
            <w:pPr>
              <w:pStyle w:val="TableBodyText"/>
              <w:keepNext/>
              <w:jc w:val="center"/>
              <w:rPr>
                <w:rFonts w:cs="Calibri"/>
                <w:bCs/>
                <w:color w:val="000000"/>
                <w:kern w:val="36"/>
              </w:rPr>
            </w:pPr>
            <w:r w:rsidRPr="00384C07">
              <w:rPr>
                <w:rFonts w:cs="Calibri"/>
                <w:bCs/>
                <w:color w:val="000000"/>
                <w:kern w:val="36"/>
              </w:rPr>
              <w:t>X</w:t>
            </w:r>
          </w:p>
        </w:tc>
        <w:tc>
          <w:tcPr>
            <w:tcW w:w="1368" w:type="dxa"/>
            <w:shd w:val="clear" w:color="auto" w:fill="auto"/>
          </w:tcPr>
          <w:p w14:paraId="62C3AD9D" w14:textId="77777777" w:rsidR="005B00C2" w:rsidRPr="00384C07" w:rsidRDefault="005B00C2" w:rsidP="0000371F">
            <w:pPr>
              <w:pStyle w:val="TableBodyText"/>
              <w:keepNext/>
              <w:jc w:val="center"/>
              <w:rPr>
                <w:rFonts w:cs="Calibri"/>
                <w:bCs/>
                <w:color w:val="000000"/>
                <w:kern w:val="36"/>
              </w:rPr>
            </w:pPr>
            <w:r w:rsidRPr="00384C07">
              <w:rPr>
                <w:rFonts w:cs="Calibri"/>
                <w:bCs/>
                <w:color w:val="000000"/>
                <w:kern w:val="36"/>
              </w:rPr>
              <w:t>%</w:t>
            </w:r>
          </w:p>
        </w:tc>
      </w:tr>
      <w:tr w:rsidR="005B00C2" w:rsidRPr="00384C07" w14:paraId="7304C3F3" w14:textId="77777777" w:rsidTr="000C0E09">
        <w:tc>
          <w:tcPr>
            <w:tcW w:w="4320" w:type="dxa"/>
            <w:vMerge/>
            <w:shd w:val="clear" w:color="auto" w:fill="auto"/>
            <w:vAlign w:val="center"/>
          </w:tcPr>
          <w:p w14:paraId="76487248" w14:textId="77777777" w:rsidR="005B00C2" w:rsidRPr="00384C07" w:rsidRDefault="005B00C2" w:rsidP="0000371F">
            <w:pPr>
              <w:pStyle w:val="TableBodyText"/>
              <w:rPr>
                <w:rFonts w:cs="Calibri"/>
                <w:bCs/>
                <w:color w:val="000000"/>
                <w:kern w:val="36"/>
              </w:rPr>
            </w:pPr>
          </w:p>
        </w:tc>
        <w:tc>
          <w:tcPr>
            <w:tcW w:w="2354" w:type="dxa"/>
            <w:shd w:val="clear" w:color="auto" w:fill="auto"/>
          </w:tcPr>
          <w:p w14:paraId="545525D2" w14:textId="77777777" w:rsidR="005B00C2" w:rsidRPr="00384C07" w:rsidRDefault="005B00C2" w:rsidP="0000371F">
            <w:pPr>
              <w:pStyle w:val="TableBodyText"/>
              <w:rPr>
                <w:rFonts w:cs="Calibri"/>
                <w:bCs/>
                <w:color w:val="000000"/>
                <w:kern w:val="36"/>
              </w:rPr>
            </w:pPr>
            <w:r w:rsidRPr="00384C07">
              <w:rPr>
                <w:rFonts w:cs="Calibri"/>
                <w:bCs/>
                <w:color w:val="000000"/>
                <w:kern w:val="36"/>
              </w:rPr>
              <w:t>Passenger Facilities</w:t>
            </w:r>
          </w:p>
        </w:tc>
        <w:tc>
          <w:tcPr>
            <w:tcW w:w="1606" w:type="dxa"/>
            <w:shd w:val="clear" w:color="auto" w:fill="auto"/>
          </w:tcPr>
          <w:p w14:paraId="6198D842"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X</w:t>
            </w:r>
          </w:p>
        </w:tc>
        <w:tc>
          <w:tcPr>
            <w:tcW w:w="1368" w:type="dxa"/>
            <w:shd w:val="clear" w:color="auto" w:fill="auto"/>
          </w:tcPr>
          <w:p w14:paraId="3FAD3631"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w:t>
            </w:r>
          </w:p>
        </w:tc>
      </w:tr>
      <w:tr w:rsidR="005B00C2" w:rsidRPr="00384C07" w14:paraId="0F0C7AD6" w14:textId="77777777" w:rsidTr="000C0E09">
        <w:tc>
          <w:tcPr>
            <w:tcW w:w="4320" w:type="dxa"/>
            <w:vMerge/>
            <w:shd w:val="clear" w:color="auto" w:fill="auto"/>
            <w:vAlign w:val="center"/>
          </w:tcPr>
          <w:p w14:paraId="18DE2C6D" w14:textId="77777777" w:rsidR="005B00C2" w:rsidRPr="00384C07" w:rsidRDefault="005B00C2" w:rsidP="0000371F">
            <w:pPr>
              <w:pStyle w:val="TableBodyText"/>
              <w:rPr>
                <w:rFonts w:cs="Calibri"/>
                <w:bCs/>
                <w:color w:val="000000"/>
                <w:kern w:val="36"/>
              </w:rPr>
            </w:pPr>
          </w:p>
        </w:tc>
        <w:tc>
          <w:tcPr>
            <w:tcW w:w="2354" w:type="dxa"/>
            <w:shd w:val="clear" w:color="auto" w:fill="auto"/>
          </w:tcPr>
          <w:p w14:paraId="1E5B21D9" w14:textId="77777777" w:rsidR="005B00C2" w:rsidRPr="00384C07" w:rsidRDefault="005B00C2" w:rsidP="0000371F">
            <w:pPr>
              <w:pStyle w:val="TableBodyText"/>
              <w:rPr>
                <w:rFonts w:cs="Calibri"/>
                <w:bCs/>
                <w:color w:val="000000"/>
                <w:kern w:val="36"/>
              </w:rPr>
            </w:pPr>
            <w:r w:rsidRPr="00384C07">
              <w:rPr>
                <w:rFonts w:cs="Calibri"/>
                <w:bCs/>
                <w:color w:val="000000"/>
                <w:kern w:val="36"/>
              </w:rPr>
              <w:t>Shelter</w:t>
            </w:r>
          </w:p>
        </w:tc>
        <w:tc>
          <w:tcPr>
            <w:tcW w:w="1606" w:type="dxa"/>
            <w:shd w:val="clear" w:color="auto" w:fill="auto"/>
          </w:tcPr>
          <w:p w14:paraId="292E49EA"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X</w:t>
            </w:r>
          </w:p>
        </w:tc>
        <w:tc>
          <w:tcPr>
            <w:tcW w:w="1368" w:type="dxa"/>
            <w:shd w:val="clear" w:color="auto" w:fill="auto"/>
          </w:tcPr>
          <w:p w14:paraId="6FD665CE"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w:t>
            </w:r>
          </w:p>
        </w:tc>
      </w:tr>
      <w:tr w:rsidR="005B00C2" w:rsidRPr="00384C07" w14:paraId="4A1183AC" w14:textId="77777777" w:rsidTr="000C0E09">
        <w:tc>
          <w:tcPr>
            <w:tcW w:w="4320" w:type="dxa"/>
            <w:vMerge/>
            <w:shd w:val="clear" w:color="auto" w:fill="auto"/>
            <w:vAlign w:val="center"/>
          </w:tcPr>
          <w:p w14:paraId="6CD125E7" w14:textId="77777777" w:rsidR="005B00C2" w:rsidRPr="00384C07" w:rsidRDefault="005B00C2" w:rsidP="0000371F">
            <w:pPr>
              <w:pStyle w:val="TableBodyText"/>
              <w:rPr>
                <w:rFonts w:cs="Calibri"/>
                <w:bCs/>
                <w:color w:val="000000"/>
                <w:kern w:val="36"/>
              </w:rPr>
            </w:pPr>
          </w:p>
        </w:tc>
        <w:tc>
          <w:tcPr>
            <w:tcW w:w="2354" w:type="dxa"/>
            <w:shd w:val="clear" w:color="auto" w:fill="auto"/>
          </w:tcPr>
          <w:p w14:paraId="2EA7F7AB" w14:textId="77777777" w:rsidR="005B00C2" w:rsidRPr="00384C07" w:rsidRDefault="005B00C2" w:rsidP="0000371F">
            <w:pPr>
              <w:pStyle w:val="TableBodyText"/>
              <w:rPr>
                <w:rFonts w:cs="Calibri"/>
                <w:bCs/>
                <w:color w:val="000000"/>
                <w:kern w:val="36"/>
              </w:rPr>
            </w:pPr>
            <w:r w:rsidRPr="00384C07">
              <w:rPr>
                <w:rFonts w:cs="Calibri"/>
                <w:bCs/>
                <w:color w:val="000000"/>
                <w:kern w:val="36"/>
              </w:rPr>
              <w:t>Storage</w:t>
            </w:r>
          </w:p>
        </w:tc>
        <w:tc>
          <w:tcPr>
            <w:tcW w:w="1606" w:type="dxa"/>
            <w:shd w:val="clear" w:color="auto" w:fill="auto"/>
          </w:tcPr>
          <w:p w14:paraId="7CD5328F"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X</w:t>
            </w:r>
          </w:p>
        </w:tc>
        <w:tc>
          <w:tcPr>
            <w:tcW w:w="1368" w:type="dxa"/>
            <w:shd w:val="clear" w:color="auto" w:fill="auto"/>
          </w:tcPr>
          <w:p w14:paraId="1A01972E"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w:t>
            </w:r>
          </w:p>
        </w:tc>
      </w:tr>
      <w:tr w:rsidR="005B00C2" w:rsidRPr="00384C07" w14:paraId="729C57EE" w14:textId="77777777" w:rsidTr="000C0E09">
        <w:tc>
          <w:tcPr>
            <w:tcW w:w="4320" w:type="dxa"/>
            <w:vMerge/>
            <w:shd w:val="clear" w:color="auto" w:fill="auto"/>
            <w:vAlign w:val="center"/>
          </w:tcPr>
          <w:p w14:paraId="1CF52DA9" w14:textId="77777777" w:rsidR="005B00C2" w:rsidRPr="00384C07" w:rsidRDefault="005B00C2" w:rsidP="0000371F">
            <w:pPr>
              <w:pStyle w:val="TableBodyText"/>
              <w:rPr>
                <w:rFonts w:cs="Calibri"/>
                <w:bCs/>
                <w:color w:val="000000"/>
                <w:kern w:val="36"/>
              </w:rPr>
            </w:pPr>
          </w:p>
        </w:tc>
        <w:tc>
          <w:tcPr>
            <w:tcW w:w="2354" w:type="dxa"/>
            <w:shd w:val="clear" w:color="auto" w:fill="auto"/>
          </w:tcPr>
          <w:p w14:paraId="04E56D83" w14:textId="77777777" w:rsidR="005B00C2" w:rsidRPr="00384C07" w:rsidRDefault="005B00C2" w:rsidP="0000371F">
            <w:pPr>
              <w:pStyle w:val="TableBodyText"/>
              <w:rPr>
                <w:rFonts w:cs="Calibri"/>
                <w:bCs/>
                <w:color w:val="000000"/>
                <w:kern w:val="36"/>
              </w:rPr>
            </w:pPr>
            <w:r w:rsidRPr="00384C07">
              <w:rPr>
                <w:rFonts w:cs="Calibri"/>
                <w:bCs/>
                <w:color w:val="000000"/>
                <w:kern w:val="36"/>
              </w:rPr>
              <w:t>Etc.</w:t>
            </w:r>
          </w:p>
        </w:tc>
        <w:tc>
          <w:tcPr>
            <w:tcW w:w="1606" w:type="dxa"/>
            <w:shd w:val="clear" w:color="auto" w:fill="auto"/>
          </w:tcPr>
          <w:p w14:paraId="70A6E825"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X</w:t>
            </w:r>
          </w:p>
        </w:tc>
        <w:tc>
          <w:tcPr>
            <w:tcW w:w="1368" w:type="dxa"/>
            <w:shd w:val="clear" w:color="auto" w:fill="auto"/>
            <w:vAlign w:val="center"/>
          </w:tcPr>
          <w:p w14:paraId="4E24BE10" w14:textId="77777777" w:rsidR="005B00C2" w:rsidRPr="00384C07" w:rsidRDefault="005B00C2" w:rsidP="0000371F">
            <w:pPr>
              <w:pStyle w:val="TableBodyText"/>
              <w:jc w:val="center"/>
              <w:rPr>
                <w:rFonts w:cs="Calibri"/>
                <w:bCs/>
                <w:color w:val="000000"/>
                <w:kern w:val="36"/>
              </w:rPr>
            </w:pPr>
            <w:r w:rsidRPr="00384C07">
              <w:rPr>
                <w:rFonts w:cs="Calibri"/>
                <w:bCs/>
                <w:color w:val="000000"/>
                <w:kern w:val="36"/>
              </w:rPr>
              <w:t>%</w:t>
            </w:r>
          </w:p>
        </w:tc>
      </w:tr>
    </w:tbl>
    <w:p w14:paraId="72E649C8" w14:textId="77777777" w:rsidR="005B00C2" w:rsidRDefault="005B00C2" w:rsidP="005B00C2">
      <w:pPr>
        <w:rPr>
          <w:rFonts w:cs="Calibri"/>
          <w:kern w:val="28"/>
          <w:szCs w:val="24"/>
          <w:highlight w:val="yellow"/>
        </w:rPr>
      </w:pPr>
    </w:p>
    <w:p w14:paraId="07A97578" w14:textId="77777777" w:rsidR="005B00C2" w:rsidRDefault="005B00C2" w:rsidP="005B00C2">
      <w:pPr>
        <w:spacing w:after="200" w:line="276" w:lineRule="auto"/>
        <w:jc w:val="left"/>
        <w:rPr>
          <w:rFonts w:cs="Arial"/>
          <w:b/>
          <w:szCs w:val="24"/>
        </w:rPr>
      </w:pPr>
      <w:r>
        <w:rPr>
          <w:rFonts w:cs="Arial"/>
          <w:b/>
          <w:szCs w:val="24"/>
        </w:rPr>
        <w:br w:type="page"/>
      </w:r>
    </w:p>
    <w:p w14:paraId="0B0C4128" w14:textId="77777777" w:rsidR="005B00C2" w:rsidRPr="00572F71" w:rsidRDefault="005B00C2" w:rsidP="005B00C2">
      <w:pPr>
        <w:spacing w:after="120"/>
        <w:rPr>
          <w:rFonts w:cs="Arial"/>
          <w:bCs/>
          <w:kern w:val="36"/>
          <w:szCs w:val="24"/>
        </w:rPr>
      </w:pPr>
      <w:r w:rsidRPr="00572F71">
        <w:rPr>
          <w:rFonts w:cs="Arial"/>
          <w:b/>
          <w:szCs w:val="24"/>
        </w:rPr>
        <w:lastRenderedPageBreak/>
        <w:t>Table 6.4. FDOT Group Plan Transit Asset Management Targets for Tier II Providers</w:t>
      </w:r>
    </w:p>
    <w:tbl>
      <w:tblPr>
        <w:tblW w:w="9630"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72" w:type="dxa"/>
          <w:left w:w="72" w:type="dxa"/>
          <w:bottom w:w="72" w:type="dxa"/>
          <w:right w:w="72" w:type="dxa"/>
        </w:tblCellMar>
        <w:tblLook w:val="01E0" w:firstRow="1" w:lastRow="1" w:firstColumn="1" w:lastColumn="1" w:noHBand="0" w:noVBand="0"/>
      </w:tblPr>
      <w:tblGrid>
        <w:gridCol w:w="4320"/>
        <w:gridCol w:w="2340"/>
        <w:gridCol w:w="1440"/>
        <w:gridCol w:w="1530"/>
      </w:tblGrid>
      <w:tr w:rsidR="005B00C2" w:rsidRPr="00C779BE" w14:paraId="328A8E2D" w14:textId="77777777" w:rsidTr="0000371F">
        <w:trPr>
          <w:tblHeader/>
        </w:trPr>
        <w:tc>
          <w:tcPr>
            <w:tcW w:w="4320" w:type="dxa"/>
            <w:shd w:val="clear" w:color="auto" w:fill="auto"/>
            <w:vAlign w:val="center"/>
          </w:tcPr>
          <w:p w14:paraId="702C56B9" w14:textId="77777777" w:rsidR="005B00C2" w:rsidRPr="00C779BE" w:rsidRDefault="005B00C2" w:rsidP="0000371F">
            <w:pPr>
              <w:pStyle w:val="TableHeadText"/>
            </w:pPr>
            <w:r w:rsidRPr="00C779BE">
              <w:t>Asset Category - Performance Measure</w:t>
            </w:r>
          </w:p>
        </w:tc>
        <w:tc>
          <w:tcPr>
            <w:tcW w:w="2340" w:type="dxa"/>
            <w:shd w:val="clear" w:color="auto" w:fill="auto"/>
          </w:tcPr>
          <w:p w14:paraId="7007E413" w14:textId="77777777" w:rsidR="005B00C2" w:rsidRPr="00C779BE" w:rsidRDefault="005B00C2" w:rsidP="0000371F">
            <w:pPr>
              <w:pStyle w:val="TableHeadText"/>
              <w:jc w:val="center"/>
            </w:pPr>
            <w:r w:rsidRPr="00C779BE">
              <w:t>Asset Class</w:t>
            </w:r>
          </w:p>
        </w:tc>
        <w:tc>
          <w:tcPr>
            <w:tcW w:w="1440" w:type="dxa"/>
            <w:shd w:val="clear" w:color="auto" w:fill="auto"/>
            <w:vAlign w:val="bottom"/>
          </w:tcPr>
          <w:p w14:paraId="79C5AA41" w14:textId="5B2174BE" w:rsidR="005B00C2" w:rsidRPr="00C779BE" w:rsidRDefault="005B00C2" w:rsidP="0000371F">
            <w:pPr>
              <w:pStyle w:val="TableHeadText"/>
              <w:jc w:val="center"/>
            </w:pPr>
            <w:r w:rsidRPr="00C779BE">
              <w:t xml:space="preserve">FY </w:t>
            </w:r>
            <w:r w:rsidRPr="00E41DB6">
              <w:t>202</w:t>
            </w:r>
            <w:r w:rsidR="00E41DB6">
              <w:t>1</w:t>
            </w:r>
            <w:r w:rsidRPr="00C779BE">
              <w:t xml:space="preserve"> Asset Conditions</w:t>
            </w:r>
          </w:p>
        </w:tc>
        <w:tc>
          <w:tcPr>
            <w:tcW w:w="1530" w:type="dxa"/>
            <w:shd w:val="clear" w:color="auto" w:fill="auto"/>
            <w:vAlign w:val="center"/>
          </w:tcPr>
          <w:p w14:paraId="2F217B79" w14:textId="2D88851A" w:rsidR="005B00C2" w:rsidRPr="00C779BE" w:rsidRDefault="005B00C2" w:rsidP="0000371F">
            <w:pPr>
              <w:pStyle w:val="TableHeadText"/>
              <w:jc w:val="center"/>
            </w:pPr>
            <w:r w:rsidRPr="00C779BE">
              <w:t xml:space="preserve">FY </w:t>
            </w:r>
            <w:r w:rsidRPr="00E41DB6">
              <w:t>202</w:t>
            </w:r>
            <w:r w:rsidR="00E41DB6">
              <w:t>2</w:t>
            </w:r>
            <w:r w:rsidRPr="00C779BE">
              <w:t xml:space="preserve"> Performance Target</w:t>
            </w:r>
          </w:p>
        </w:tc>
      </w:tr>
      <w:tr w:rsidR="005B00C2" w:rsidRPr="00C779BE" w14:paraId="41EF40D0" w14:textId="77777777" w:rsidTr="0000371F">
        <w:tc>
          <w:tcPr>
            <w:tcW w:w="9630" w:type="dxa"/>
            <w:gridSpan w:val="4"/>
            <w:shd w:val="clear" w:color="auto" w:fill="auto"/>
            <w:vAlign w:val="center"/>
          </w:tcPr>
          <w:p w14:paraId="087D1730" w14:textId="77777777" w:rsidR="005B00C2" w:rsidRPr="0000371F" w:rsidRDefault="005B00C2" w:rsidP="0000371F">
            <w:pPr>
              <w:pStyle w:val="TableBodyText"/>
              <w:rPr>
                <w:b/>
                <w:bCs/>
              </w:rPr>
            </w:pPr>
            <w:r w:rsidRPr="0000371F">
              <w:rPr>
                <w:b/>
                <w:bCs/>
              </w:rPr>
              <w:t>Revenue Vehicles</w:t>
            </w:r>
          </w:p>
        </w:tc>
      </w:tr>
      <w:tr w:rsidR="005B00C2" w:rsidRPr="00C779BE" w14:paraId="5AA11B83" w14:textId="77777777" w:rsidTr="0000371F">
        <w:tc>
          <w:tcPr>
            <w:tcW w:w="4320" w:type="dxa"/>
            <w:vMerge w:val="restart"/>
            <w:shd w:val="clear" w:color="auto" w:fill="auto"/>
            <w:vAlign w:val="center"/>
          </w:tcPr>
          <w:p w14:paraId="12964421" w14:textId="77777777" w:rsidR="005B00C2" w:rsidRPr="00C779BE" w:rsidRDefault="005B00C2" w:rsidP="0000371F">
            <w:pPr>
              <w:pStyle w:val="TableBodyText"/>
            </w:pPr>
            <w:r w:rsidRPr="00C779BE">
              <w:t>Age - % of revenue vehicles within a particular asset class that have met or exceeded their Useful Life Benchmark (ULB)</w:t>
            </w:r>
          </w:p>
        </w:tc>
        <w:tc>
          <w:tcPr>
            <w:tcW w:w="2340" w:type="dxa"/>
            <w:shd w:val="clear" w:color="auto" w:fill="auto"/>
          </w:tcPr>
          <w:p w14:paraId="29C0744A" w14:textId="77777777" w:rsidR="005B00C2" w:rsidRPr="00C779BE" w:rsidRDefault="005B00C2" w:rsidP="0000371F">
            <w:pPr>
              <w:pStyle w:val="TableBodyText"/>
            </w:pPr>
            <w:r w:rsidRPr="00C779BE">
              <w:t>Automobile</w:t>
            </w:r>
          </w:p>
        </w:tc>
        <w:tc>
          <w:tcPr>
            <w:tcW w:w="1440" w:type="dxa"/>
            <w:shd w:val="clear" w:color="auto" w:fill="auto"/>
            <w:vAlign w:val="center"/>
          </w:tcPr>
          <w:p w14:paraId="573A0D9A" w14:textId="6966F562" w:rsidR="005B00C2" w:rsidRPr="00C779BE" w:rsidRDefault="00587539" w:rsidP="0000371F">
            <w:pPr>
              <w:pStyle w:val="TableBodyText"/>
              <w:jc w:val="center"/>
            </w:pPr>
            <w:r>
              <w:t>0</w:t>
            </w:r>
            <w:r w:rsidR="005B00C2" w:rsidRPr="00C779BE">
              <w:t>%</w:t>
            </w:r>
          </w:p>
        </w:tc>
        <w:tc>
          <w:tcPr>
            <w:tcW w:w="1530" w:type="dxa"/>
            <w:shd w:val="clear" w:color="auto" w:fill="auto"/>
            <w:vAlign w:val="center"/>
          </w:tcPr>
          <w:p w14:paraId="6928BB2A" w14:textId="2DE0A09F" w:rsidR="005B00C2" w:rsidRPr="00C779BE" w:rsidRDefault="00022164" w:rsidP="0000371F">
            <w:pPr>
              <w:pStyle w:val="TableBodyText"/>
              <w:jc w:val="center"/>
            </w:pPr>
            <w:r>
              <w:t>0</w:t>
            </w:r>
            <w:r w:rsidR="005B00C2" w:rsidRPr="00C779BE">
              <w:t>%</w:t>
            </w:r>
          </w:p>
        </w:tc>
      </w:tr>
      <w:tr w:rsidR="005B00C2" w:rsidRPr="00C779BE" w14:paraId="10C7CC0A" w14:textId="77777777" w:rsidTr="0000371F">
        <w:trPr>
          <w:tblHeader/>
        </w:trPr>
        <w:tc>
          <w:tcPr>
            <w:tcW w:w="4320" w:type="dxa"/>
            <w:vMerge/>
            <w:shd w:val="clear" w:color="auto" w:fill="auto"/>
            <w:vAlign w:val="center"/>
          </w:tcPr>
          <w:p w14:paraId="71A967F3" w14:textId="77777777" w:rsidR="005B00C2" w:rsidRPr="00C779BE" w:rsidRDefault="005B00C2" w:rsidP="0000371F">
            <w:pPr>
              <w:pStyle w:val="TableBodyText"/>
            </w:pPr>
          </w:p>
        </w:tc>
        <w:tc>
          <w:tcPr>
            <w:tcW w:w="2340" w:type="dxa"/>
            <w:shd w:val="clear" w:color="auto" w:fill="auto"/>
          </w:tcPr>
          <w:p w14:paraId="0B05BCAF" w14:textId="77777777" w:rsidR="005B00C2" w:rsidRPr="00C779BE" w:rsidRDefault="005B00C2" w:rsidP="0000371F">
            <w:pPr>
              <w:pStyle w:val="TableBodyText"/>
            </w:pPr>
            <w:r w:rsidRPr="00C779BE">
              <w:t>Bus</w:t>
            </w:r>
          </w:p>
        </w:tc>
        <w:tc>
          <w:tcPr>
            <w:tcW w:w="1440" w:type="dxa"/>
            <w:shd w:val="clear" w:color="auto" w:fill="auto"/>
            <w:vAlign w:val="bottom"/>
          </w:tcPr>
          <w:p w14:paraId="76242C29" w14:textId="1D7EBC72" w:rsidR="005B00C2" w:rsidRPr="00C779BE" w:rsidRDefault="00022164" w:rsidP="0000371F">
            <w:pPr>
              <w:pStyle w:val="TableBodyText"/>
              <w:jc w:val="center"/>
            </w:pPr>
            <w:r>
              <w:t>21.54</w:t>
            </w:r>
            <w:r w:rsidR="005B00C2" w:rsidRPr="00C779BE">
              <w:t>%</w:t>
            </w:r>
          </w:p>
        </w:tc>
        <w:tc>
          <w:tcPr>
            <w:tcW w:w="1530" w:type="dxa"/>
            <w:shd w:val="clear" w:color="auto" w:fill="auto"/>
            <w:vAlign w:val="center"/>
          </w:tcPr>
          <w:p w14:paraId="64BF0FA3" w14:textId="22101C3C" w:rsidR="005B00C2" w:rsidRPr="00C779BE" w:rsidRDefault="00022164" w:rsidP="0000371F">
            <w:pPr>
              <w:pStyle w:val="TableBodyText"/>
              <w:jc w:val="center"/>
            </w:pPr>
            <w:r>
              <w:t>20.46</w:t>
            </w:r>
            <w:r w:rsidR="005B00C2" w:rsidRPr="00C779BE">
              <w:t>%</w:t>
            </w:r>
          </w:p>
        </w:tc>
      </w:tr>
      <w:tr w:rsidR="005B00C2" w:rsidRPr="00C779BE" w14:paraId="76483582" w14:textId="77777777" w:rsidTr="0000371F">
        <w:tc>
          <w:tcPr>
            <w:tcW w:w="4320" w:type="dxa"/>
            <w:vMerge/>
            <w:shd w:val="clear" w:color="auto" w:fill="auto"/>
            <w:vAlign w:val="center"/>
          </w:tcPr>
          <w:p w14:paraId="5BEB5DB8" w14:textId="77777777" w:rsidR="005B00C2" w:rsidRPr="00C779BE" w:rsidRDefault="005B00C2" w:rsidP="0000371F">
            <w:pPr>
              <w:pStyle w:val="TableBodyText"/>
            </w:pPr>
          </w:p>
        </w:tc>
        <w:tc>
          <w:tcPr>
            <w:tcW w:w="2340" w:type="dxa"/>
            <w:shd w:val="clear" w:color="auto" w:fill="auto"/>
          </w:tcPr>
          <w:p w14:paraId="6F773D9F" w14:textId="77777777" w:rsidR="005B00C2" w:rsidRPr="00C779BE" w:rsidRDefault="005B00C2" w:rsidP="0000371F">
            <w:pPr>
              <w:pStyle w:val="TableBodyText"/>
            </w:pPr>
            <w:r w:rsidRPr="00C779BE">
              <w:t>Cutaway Bus</w:t>
            </w:r>
          </w:p>
        </w:tc>
        <w:tc>
          <w:tcPr>
            <w:tcW w:w="1440" w:type="dxa"/>
            <w:shd w:val="clear" w:color="auto" w:fill="auto"/>
            <w:vAlign w:val="center"/>
          </w:tcPr>
          <w:p w14:paraId="4C83FE89" w14:textId="5F17F3D3" w:rsidR="005B00C2" w:rsidRPr="00C779BE" w:rsidRDefault="00F62CAE" w:rsidP="0000371F">
            <w:pPr>
              <w:pStyle w:val="TableBodyText"/>
              <w:jc w:val="center"/>
            </w:pPr>
            <w:r>
              <w:t>9.81</w:t>
            </w:r>
            <w:r w:rsidR="005B00C2" w:rsidRPr="00C779BE">
              <w:t>%</w:t>
            </w:r>
          </w:p>
        </w:tc>
        <w:tc>
          <w:tcPr>
            <w:tcW w:w="1530" w:type="dxa"/>
            <w:shd w:val="clear" w:color="auto" w:fill="auto"/>
            <w:vAlign w:val="center"/>
          </w:tcPr>
          <w:p w14:paraId="7EC8BEAF" w14:textId="34F1D12D" w:rsidR="005B00C2" w:rsidRPr="00C779BE" w:rsidRDefault="00F62CAE" w:rsidP="0000371F">
            <w:pPr>
              <w:pStyle w:val="TableBodyText"/>
              <w:jc w:val="center"/>
            </w:pPr>
            <w:r>
              <w:t>9.32</w:t>
            </w:r>
            <w:r w:rsidR="005B00C2" w:rsidRPr="00C779BE">
              <w:t>%</w:t>
            </w:r>
          </w:p>
        </w:tc>
      </w:tr>
      <w:tr w:rsidR="005B00C2" w:rsidRPr="00C779BE" w14:paraId="1F2B607F" w14:textId="77777777" w:rsidTr="0000371F">
        <w:trPr>
          <w:trHeight w:val="499"/>
        </w:trPr>
        <w:tc>
          <w:tcPr>
            <w:tcW w:w="4320" w:type="dxa"/>
            <w:vMerge/>
            <w:shd w:val="clear" w:color="auto" w:fill="auto"/>
            <w:vAlign w:val="center"/>
          </w:tcPr>
          <w:p w14:paraId="4B39B8D5" w14:textId="77777777" w:rsidR="005B00C2" w:rsidRPr="00C779BE" w:rsidRDefault="005B00C2" w:rsidP="0000371F">
            <w:pPr>
              <w:pStyle w:val="TableBodyText"/>
            </w:pPr>
          </w:p>
        </w:tc>
        <w:tc>
          <w:tcPr>
            <w:tcW w:w="2340" w:type="dxa"/>
            <w:shd w:val="clear" w:color="auto" w:fill="auto"/>
          </w:tcPr>
          <w:p w14:paraId="00749FEB" w14:textId="77777777" w:rsidR="005B00C2" w:rsidRPr="00C779BE" w:rsidRDefault="005B00C2" w:rsidP="0000371F">
            <w:pPr>
              <w:pStyle w:val="TableBodyText"/>
            </w:pPr>
            <w:r w:rsidRPr="00C779BE">
              <w:t>School Bus</w:t>
            </w:r>
          </w:p>
        </w:tc>
        <w:tc>
          <w:tcPr>
            <w:tcW w:w="1440" w:type="dxa"/>
            <w:shd w:val="clear" w:color="auto" w:fill="auto"/>
            <w:vAlign w:val="center"/>
          </w:tcPr>
          <w:p w14:paraId="1527BA5D" w14:textId="77777777" w:rsidR="005B00C2" w:rsidRPr="00C779BE" w:rsidRDefault="005B00C2" w:rsidP="0000371F">
            <w:pPr>
              <w:pStyle w:val="TableBodyText"/>
              <w:jc w:val="center"/>
            </w:pPr>
            <w:r w:rsidRPr="00C779BE">
              <w:t>100.0%</w:t>
            </w:r>
          </w:p>
        </w:tc>
        <w:tc>
          <w:tcPr>
            <w:tcW w:w="1530" w:type="dxa"/>
            <w:shd w:val="clear" w:color="auto" w:fill="auto"/>
            <w:vAlign w:val="center"/>
          </w:tcPr>
          <w:p w14:paraId="302539E9" w14:textId="3BF277ED" w:rsidR="005B00C2" w:rsidRPr="00C779BE" w:rsidRDefault="004D5D4B" w:rsidP="0000371F">
            <w:pPr>
              <w:pStyle w:val="TableBodyText"/>
              <w:jc w:val="center"/>
            </w:pPr>
            <w:r>
              <w:t>95</w:t>
            </w:r>
            <w:r w:rsidR="005B00C2" w:rsidRPr="00C779BE">
              <w:t>%</w:t>
            </w:r>
          </w:p>
        </w:tc>
      </w:tr>
      <w:tr w:rsidR="005B00C2" w:rsidRPr="00C779BE" w14:paraId="2BBF1E8F" w14:textId="77777777" w:rsidTr="0000371F">
        <w:trPr>
          <w:trHeight w:val="180"/>
        </w:trPr>
        <w:tc>
          <w:tcPr>
            <w:tcW w:w="4320" w:type="dxa"/>
            <w:vMerge/>
            <w:shd w:val="clear" w:color="auto" w:fill="auto"/>
            <w:vAlign w:val="center"/>
          </w:tcPr>
          <w:p w14:paraId="5E21B6D9" w14:textId="77777777" w:rsidR="005B00C2" w:rsidRPr="00C779BE" w:rsidRDefault="005B00C2" w:rsidP="0000371F">
            <w:pPr>
              <w:pStyle w:val="TableBodyText"/>
            </w:pPr>
          </w:p>
        </w:tc>
        <w:tc>
          <w:tcPr>
            <w:tcW w:w="2340" w:type="dxa"/>
            <w:shd w:val="clear" w:color="auto" w:fill="auto"/>
          </w:tcPr>
          <w:p w14:paraId="4E7088B2" w14:textId="77777777" w:rsidR="005B00C2" w:rsidRPr="00C779BE" w:rsidRDefault="005B00C2" w:rsidP="0000371F">
            <w:pPr>
              <w:pStyle w:val="TableBodyText"/>
            </w:pPr>
            <w:r w:rsidRPr="00C779BE">
              <w:t>Mini-Van</w:t>
            </w:r>
          </w:p>
        </w:tc>
        <w:tc>
          <w:tcPr>
            <w:tcW w:w="1440" w:type="dxa"/>
            <w:shd w:val="clear" w:color="auto" w:fill="auto"/>
          </w:tcPr>
          <w:p w14:paraId="4E38FF5D" w14:textId="5FEF8B00" w:rsidR="005B00C2" w:rsidRPr="00C779BE" w:rsidRDefault="004D5D4B" w:rsidP="0000371F">
            <w:pPr>
              <w:pStyle w:val="TableBodyText"/>
              <w:jc w:val="center"/>
            </w:pPr>
            <w:r>
              <w:t>19.59</w:t>
            </w:r>
            <w:r w:rsidR="005B00C2" w:rsidRPr="00C779BE">
              <w:t>%</w:t>
            </w:r>
          </w:p>
        </w:tc>
        <w:tc>
          <w:tcPr>
            <w:tcW w:w="1530" w:type="dxa"/>
            <w:shd w:val="clear" w:color="auto" w:fill="auto"/>
          </w:tcPr>
          <w:p w14:paraId="7BA95F6F" w14:textId="03B458EB" w:rsidR="005B00C2" w:rsidRPr="00C779BE" w:rsidRDefault="004D5D4B" w:rsidP="0000371F">
            <w:pPr>
              <w:pStyle w:val="TableBodyText"/>
              <w:jc w:val="center"/>
            </w:pPr>
            <w:r>
              <w:t>18.61</w:t>
            </w:r>
            <w:r w:rsidR="005B00C2" w:rsidRPr="00C779BE">
              <w:t>%</w:t>
            </w:r>
          </w:p>
        </w:tc>
      </w:tr>
      <w:tr w:rsidR="005B00C2" w:rsidRPr="00C779BE" w14:paraId="45BE376D" w14:textId="77777777" w:rsidTr="0000371F">
        <w:trPr>
          <w:trHeight w:val="180"/>
        </w:trPr>
        <w:tc>
          <w:tcPr>
            <w:tcW w:w="4320" w:type="dxa"/>
            <w:vMerge/>
            <w:shd w:val="clear" w:color="auto" w:fill="auto"/>
            <w:vAlign w:val="center"/>
          </w:tcPr>
          <w:p w14:paraId="5E0429E4" w14:textId="77777777" w:rsidR="005B00C2" w:rsidRPr="00C779BE" w:rsidRDefault="005B00C2" w:rsidP="0000371F">
            <w:pPr>
              <w:pStyle w:val="TableBodyText"/>
            </w:pPr>
          </w:p>
        </w:tc>
        <w:tc>
          <w:tcPr>
            <w:tcW w:w="2340" w:type="dxa"/>
            <w:shd w:val="clear" w:color="auto" w:fill="auto"/>
          </w:tcPr>
          <w:p w14:paraId="60C7F6C7" w14:textId="77777777" w:rsidR="005B00C2" w:rsidRPr="00C779BE" w:rsidRDefault="005B00C2" w:rsidP="0000371F">
            <w:pPr>
              <w:pStyle w:val="TableBodyText"/>
            </w:pPr>
            <w:r w:rsidRPr="00C779BE">
              <w:t>SUV</w:t>
            </w:r>
          </w:p>
        </w:tc>
        <w:tc>
          <w:tcPr>
            <w:tcW w:w="1440" w:type="dxa"/>
            <w:shd w:val="clear" w:color="auto" w:fill="auto"/>
          </w:tcPr>
          <w:p w14:paraId="72532028" w14:textId="38C3E1A6" w:rsidR="005B00C2" w:rsidRPr="00C779BE" w:rsidRDefault="00973A7F" w:rsidP="0000371F">
            <w:pPr>
              <w:pStyle w:val="TableBodyText"/>
              <w:jc w:val="center"/>
            </w:pPr>
            <w:r>
              <w:t>20</w:t>
            </w:r>
            <w:r w:rsidR="005B00C2" w:rsidRPr="00C779BE">
              <w:t>%</w:t>
            </w:r>
          </w:p>
        </w:tc>
        <w:tc>
          <w:tcPr>
            <w:tcW w:w="1530" w:type="dxa"/>
            <w:shd w:val="clear" w:color="auto" w:fill="auto"/>
          </w:tcPr>
          <w:p w14:paraId="7A05A600" w14:textId="4DB47293" w:rsidR="005B00C2" w:rsidRPr="00C779BE" w:rsidRDefault="00973A7F" w:rsidP="0000371F">
            <w:pPr>
              <w:pStyle w:val="TableBodyText"/>
              <w:jc w:val="center"/>
            </w:pPr>
            <w:r>
              <w:t>19</w:t>
            </w:r>
            <w:r w:rsidR="005B00C2" w:rsidRPr="00C779BE">
              <w:t>%</w:t>
            </w:r>
          </w:p>
        </w:tc>
      </w:tr>
      <w:tr w:rsidR="005B00C2" w:rsidRPr="00C779BE" w14:paraId="1881FA6C" w14:textId="77777777" w:rsidTr="0000371F">
        <w:trPr>
          <w:trHeight w:val="180"/>
        </w:trPr>
        <w:tc>
          <w:tcPr>
            <w:tcW w:w="4320" w:type="dxa"/>
            <w:vMerge/>
            <w:shd w:val="clear" w:color="auto" w:fill="auto"/>
            <w:vAlign w:val="center"/>
          </w:tcPr>
          <w:p w14:paraId="2D6119F4" w14:textId="77777777" w:rsidR="005B00C2" w:rsidRPr="00C779BE" w:rsidRDefault="005B00C2" w:rsidP="0000371F">
            <w:pPr>
              <w:pStyle w:val="TableBodyText"/>
            </w:pPr>
          </w:p>
        </w:tc>
        <w:tc>
          <w:tcPr>
            <w:tcW w:w="2340" w:type="dxa"/>
            <w:shd w:val="clear" w:color="auto" w:fill="auto"/>
          </w:tcPr>
          <w:p w14:paraId="012D78D1" w14:textId="77777777" w:rsidR="005B00C2" w:rsidRPr="00C779BE" w:rsidRDefault="005B00C2" w:rsidP="0000371F">
            <w:pPr>
              <w:pStyle w:val="TableBodyText"/>
            </w:pPr>
            <w:r w:rsidRPr="00C779BE">
              <w:t>Van</w:t>
            </w:r>
          </w:p>
        </w:tc>
        <w:tc>
          <w:tcPr>
            <w:tcW w:w="1440" w:type="dxa"/>
            <w:shd w:val="clear" w:color="auto" w:fill="auto"/>
          </w:tcPr>
          <w:p w14:paraId="48808EDE" w14:textId="1E9C4001" w:rsidR="005B00C2" w:rsidRPr="00C779BE" w:rsidRDefault="00973A7F" w:rsidP="0000371F">
            <w:pPr>
              <w:pStyle w:val="TableBodyText"/>
              <w:jc w:val="center"/>
            </w:pPr>
            <w:r>
              <w:t>40.58</w:t>
            </w:r>
            <w:r w:rsidR="005B00C2" w:rsidRPr="00C779BE">
              <w:t>%</w:t>
            </w:r>
          </w:p>
        </w:tc>
        <w:tc>
          <w:tcPr>
            <w:tcW w:w="1530" w:type="dxa"/>
            <w:shd w:val="clear" w:color="auto" w:fill="auto"/>
          </w:tcPr>
          <w:p w14:paraId="06F5A32F" w14:textId="6B502E98" w:rsidR="005B00C2" w:rsidRPr="00C779BE" w:rsidRDefault="00973A7F" w:rsidP="0000371F">
            <w:pPr>
              <w:pStyle w:val="TableBodyText"/>
              <w:jc w:val="center"/>
            </w:pPr>
            <w:r>
              <w:t>38.55</w:t>
            </w:r>
            <w:r w:rsidR="005B00C2" w:rsidRPr="00C779BE">
              <w:t>%</w:t>
            </w:r>
          </w:p>
        </w:tc>
      </w:tr>
      <w:tr w:rsidR="005B00C2" w:rsidRPr="00C779BE" w14:paraId="7B3B5478" w14:textId="77777777" w:rsidTr="0000371F">
        <w:trPr>
          <w:trHeight w:val="418"/>
        </w:trPr>
        <w:tc>
          <w:tcPr>
            <w:tcW w:w="9630" w:type="dxa"/>
            <w:gridSpan w:val="4"/>
            <w:shd w:val="clear" w:color="auto" w:fill="auto"/>
            <w:vAlign w:val="center"/>
          </w:tcPr>
          <w:p w14:paraId="4D70CB7D" w14:textId="77777777" w:rsidR="005B00C2" w:rsidRPr="0000371F" w:rsidRDefault="005B00C2" w:rsidP="0000371F">
            <w:pPr>
              <w:pStyle w:val="TableBodyText"/>
              <w:rPr>
                <w:b/>
                <w:bCs/>
              </w:rPr>
            </w:pPr>
            <w:r w:rsidRPr="0000371F">
              <w:rPr>
                <w:b/>
                <w:bCs/>
              </w:rPr>
              <w:t>Equipment</w:t>
            </w:r>
          </w:p>
        </w:tc>
      </w:tr>
      <w:tr w:rsidR="005B00C2" w:rsidRPr="00C779BE" w14:paraId="65270D2D" w14:textId="77777777" w:rsidTr="0000371F">
        <w:tc>
          <w:tcPr>
            <w:tcW w:w="4320" w:type="dxa"/>
            <w:vMerge w:val="restart"/>
            <w:shd w:val="clear" w:color="auto" w:fill="auto"/>
            <w:vAlign w:val="center"/>
          </w:tcPr>
          <w:p w14:paraId="2E248C89" w14:textId="77777777" w:rsidR="005B00C2" w:rsidRPr="00C779BE" w:rsidRDefault="005B00C2" w:rsidP="0000371F">
            <w:pPr>
              <w:pStyle w:val="TableBodyText"/>
            </w:pPr>
            <w:r w:rsidRPr="00C779BE">
              <w:t>Age - % of equipment or non-revenue vehicles within a particular asset class that have met or exceeded their Useful Life Benchmark (ULB)</w:t>
            </w:r>
          </w:p>
        </w:tc>
        <w:tc>
          <w:tcPr>
            <w:tcW w:w="2340" w:type="dxa"/>
            <w:shd w:val="clear" w:color="auto" w:fill="auto"/>
          </w:tcPr>
          <w:p w14:paraId="4B3030DF" w14:textId="0329BDE7" w:rsidR="005B00C2" w:rsidRPr="00C779BE" w:rsidRDefault="00653195" w:rsidP="0000371F">
            <w:pPr>
              <w:pStyle w:val="TableBodyText"/>
            </w:pPr>
            <w:r w:rsidRPr="00C779BE">
              <w:t>Non-Revenue</w:t>
            </w:r>
            <w:r w:rsidR="005B00C2" w:rsidRPr="00C779BE">
              <w:t xml:space="preserve"> Automobile</w:t>
            </w:r>
          </w:p>
        </w:tc>
        <w:tc>
          <w:tcPr>
            <w:tcW w:w="1440" w:type="dxa"/>
            <w:shd w:val="clear" w:color="auto" w:fill="auto"/>
            <w:vAlign w:val="center"/>
          </w:tcPr>
          <w:p w14:paraId="12CFB155" w14:textId="7E185AF3" w:rsidR="005B00C2" w:rsidRPr="00C779BE" w:rsidRDefault="003756FC" w:rsidP="0000371F">
            <w:pPr>
              <w:pStyle w:val="TableBodyText"/>
              <w:jc w:val="center"/>
            </w:pPr>
            <w:r>
              <w:t>75</w:t>
            </w:r>
            <w:r w:rsidR="005B00C2" w:rsidRPr="00C779BE">
              <w:t>%</w:t>
            </w:r>
          </w:p>
        </w:tc>
        <w:tc>
          <w:tcPr>
            <w:tcW w:w="1530" w:type="dxa"/>
            <w:shd w:val="clear" w:color="auto" w:fill="auto"/>
            <w:vAlign w:val="center"/>
          </w:tcPr>
          <w:p w14:paraId="44D2C6F2" w14:textId="0766257A" w:rsidR="005B00C2" w:rsidRPr="00C779BE" w:rsidRDefault="003756FC" w:rsidP="0000371F">
            <w:pPr>
              <w:pStyle w:val="TableBodyText"/>
              <w:jc w:val="center"/>
            </w:pPr>
            <w:r>
              <w:t>71.25</w:t>
            </w:r>
            <w:r w:rsidR="005B00C2" w:rsidRPr="00C779BE">
              <w:t>%</w:t>
            </w:r>
          </w:p>
        </w:tc>
      </w:tr>
      <w:tr w:rsidR="005B00C2" w:rsidRPr="00C779BE" w14:paraId="0CE889E8" w14:textId="77777777" w:rsidTr="0000371F">
        <w:trPr>
          <w:trHeight w:val="571"/>
        </w:trPr>
        <w:tc>
          <w:tcPr>
            <w:tcW w:w="4320" w:type="dxa"/>
            <w:vMerge/>
            <w:shd w:val="clear" w:color="auto" w:fill="auto"/>
            <w:vAlign w:val="center"/>
          </w:tcPr>
          <w:p w14:paraId="26315A54" w14:textId="77777777" w:rsidR="005B00C2" w:rsidRPr="00C779BE" w:rsidRDefault="005B00C2" w:rsidP="0000371F">
            <w:pPr>
              <w:pStyle w:val="TableBodyText"/>
            </w:pPr>
          </w:p>
        </w:tc>
        <w:tc>
          <w:tcPr>
            <w:tcW w:w="2340" w:type="dxa"/>
            <w:shd w:val="clear" w:color="auto" w:fill="auto"/>
          </w:tcPr>
          <w:p w14:paraId="4E632055" w14:textId="77777777" w:rsidR="005B00C2" w:rsidRPr="00C779BE" w:rsidRDefault="005B00C2" w:rsidP="0000371F">
            <w:pPr>
              <w:pStyle w:val="TableBodyText"/>
            </w:pPr>
            <w:r w:rsidRPr="00C779BE">
              <w:t>Trucks and other Rubber Tire Vehicles</w:t>
            </w:r>
          </w:p>
        </w:tc>
        <w:tc>
          <w:tcPr>
            <w:tcW w:w="1440" w:type="dxa"/>
            <w:shd w:val="clear" w:color="auto" w:fill="auto"/>
            <w:vAlign w:val="center"/>
          </w:tcPr>
          <w:p w14:paraId="4BDC3239" w14:textId="5FD13B32" w:rsidR="005B00C2" w:rsidRPr="00C779BE" w:rsidRDefault="00FB5FBA" w:rsidP="0000371F">
            <w:pPr>
              <w:pStyle w:val="TableBodyText"/>
              <w:jc w:val="center"/>
            </w:pPr>
            <w:r>
              <w:t>6.25</w:t>
            </w:r>
            <w:r w:rsidR="005B00C2" w:rsidRPr="00C779BE">
              <w:t>%</w:t>
            </w:r>
          </w:p>
        </w:tc>
        <w:tc>
          <w:tcPr>
            <w:tcW w:w="1530" w:type="dxa"/>
            <w:shd w:val="clear" w:color="auto" w:fill="auto"/>
            <w:vAlign w:val="center"/>
          </w:tcPr>
          <w:p w14:paraId="597F8A46" w14:textId="78D8E45F" w:rsidR="005B00C2" w:rsidRPr="00C779BE" w:rsidRDefault="00FB5FBA" w:rsidP="0000371F">
            <w:pPr>
              <w:pStyle w:val="TableBodyText"/>
              <w:jc w:val="center"/>
            </w:pPr>
            <w:r>
              <w:t>5.94</w:t>
            </w:r>
            <w:r w:rsidR="005B00C2" w:rsidRPr="00C779BE">
              <w:t>%</w:t>
            </w:r>
          </w:p>
        </w:tc>
      </w:tr>
      <w:tr w:rsidR="005B00C2" w:rsidRPr="00C779BE" w14:paraId="0E6E88C8" w14:textId="77777777" w:rsidTr="0000371F">
        <w:tc>
          <w:tcPr>
            <w:tcW w:w="9630" w:type="dxa"/>
            <w:gridSpan w:val="4"/>
            <w:shd w:val="clear" w:color="auto" w:fill="auto"/>
            <w:vAlign w:val="center"/>
          </w:tcPr>
          <w:p w14:paraId="4FFF4107" w14:textId="77777777" w:rsidR="005B00C2" w:rsidRPr="0000371F" w:rsidRDefault="005B00C2" w:rsidP="0000371F">
            <w:pPr>
              <w:pStyle w:val="TableBodyText"/>
              <w:rPr>
                <w:b/>
                <w:bCs/>
              </w:rPr>
            </w:pPr>
            <w:r w:rsidRPr="0000371F">
              <w:rPr>
                <w:b/>
                <w:bCs/>
              </w:rPr>
              <w:t>Facilities</w:t>
            </w:r>
          </w:p>
        </w:tc>
      </w:tr>
      <w:tr w:rsidR="005B00C2" w:rsidRPr="00C779BE" w14:paraId="6D865FFE" w14:textId="77777777" w:rsidTr="0000371F">
        <w:tc>
          <w:tcPr>
            <w:tcW w:w="4320" w:type="dxa"/>
            <w:vMerge w:val="restart"/>
            <w:shd w:val="clear" w:color="auto" w:fill="auto"/>
            <w:vAlign w:val="center"/>
          </w:tcPr>
          <w:p w14:paraId="41820EF6" w14:textId="77777777" w:rsidR="005B00C2" w:rsidRPr="00C779BE" w:rsidRDefault="005B00C2" w:rsidP="0000371F">
            <w:pPr>
              <w:pStyle w:val="TableBodyText"/>
            </w:pPr>
            <w:r w:rsidRPr="00C779BE">
              <w:t>Condition - % of facilities with a condition rating below 3.0 on the FTA Transit Economic Requirements Model (TERM) Scale</w:t>
            </w:r>
          </w:p>
        </w:tc>
        <w:tc>
          <w:tcPr>
            <w:tcW w:w="2340" w:type="dxa"/>
            <w:shd w:val="clear" w:color="auto" w:fill="auto"/>
          </w:tcPr>
          <w:p w14:paraId="3584D6F3" w14:textId="77777777" w:rsidR="005B00C2" w:rsidRPr="00C779BE" w:rsidRDefault="005B00C2" w:rsidP="0000371F">
            <w:pPr>
              <w:pStyle w:val="TableBodyText"/>
            </w:pPr>
            <w:r w:rsidRPr="00C779BE">
              <w:t>Passenger/Parking Facilities</w:t>
            </w:r>
          </w:p>
        </w:tc>
        <w:tc>
          <w:tcPr>
            <w:tcW w:w="1440" w:type="dxa"/>
            <w:shd w:val="clear" w:color="auto" w:fill="auto"/>
            <w:vAlign w:val="center"/>
          </w:tcPr>
          <w:p w14:paraId="4436EB1D" w14:textId="77777777" w:rsidR="005B00C2" w:rsidRPr="00C779BE" w:rsidRDefault="005B00C2" w:rsidP="0000371F">
            <w:pPr>
              <w:pStyle w:val="TableBodyText"/>
              <w:jc w:val="center"/>
            </w:pPr>
            <w:r w:rsidRPr="00C779BE">
              <w:t>0%</w:t>
            </w:r>
          </w:p>
        </w:tc>
        <w:tc>
          <w:tcPr>
            <w:tcW w:w="1530" w:type="dxa"/>
            <w:shd w:val="clear" w:color="auto" w:fill="auto"/>
            <w:vAlign w:val="center"/>
          </w:tcPr>
          <w:p w14:paraId="09E69247" w14:textId="33BE1057" w:rsidR="005B00C2" w:rsidRPr="00C779BE" w:rsidRDefault="005B00C2" w:rsidP="0000371F">
            <w:pPr>
              <w:pStyle w:val="TableBodyText"/>
              <w:jc w:val="center"/>
            </w:pPr>
            <w:r w:rsidRPr="00C779BE">
              <w:t>0%</w:t>
            </w:r>
          </w:p>
        </w:tc>
      </w:tr>
      <w:tr w:rsidR="005B00C2" w:rsidRPr="00C779BE" w14:paraId="489A8CAD" w14:textId="77777777" w:rsidTr="0000371F">
        <w:trPr>
          <w:trHeight w:val="346"/>
        </w:trPr>
        <w:tc>
          <w:tcPr>
            <w:tcW w:w="4320" w:type="dxa"/>
            <w:vMerge/>
            <w:shd w:val="clear" w:color="auto" w:fill="auto"/>
            <w:vAlign w:val="center"/>
          </w:tcPr>
          <w:p w14:paraId="571D87F0" w14:textId="77777777" w:rsidR="005B00C2" w:rsidRPr="00C779BE" w:rsidRDefault="005B00C2" w:rsidP="0000371F">
            <w:pPr>
              <w:pStyle w:val="TableBodyText"/>
            </w:pPr>
          </w:p>
        </w:tc>
        <w:tc>
          <w:tcPr>
            <w:tcW w:w="2340" w:type="dxa"/>
            <w:shd w:val="clear" w:color="auto" w:fill="auto"/>
          </w:tcPr>
          <w:p w14:paraId="22F4D4FC" w14:textId="77777777" w:rsidR="005B00C2" w:rsidRPr="00C779BE" w:rsidRDefault="005B00C2" w:rsidP="0000371F">
            <w:pPr>
              <w:pStyle w:val="TableBodyText"/>
            </w:pPr>
            <w:r w:rsidRPr="00C779BE">
              <w:t>Administration/ Maintenance Facilities</w:t>
            </w:r>
          </w:p>
        </w:tc>
        <w:tc>
          <w:tcPr>
            <w:tcW w:w="1440" w:type="dxa"/>
            <w:shd w:val="clear" w:color="auto" w:fill="auto"/>
            <w:vAlign w:val="center"/>
          </w:tcPr>
          <w:p w14:paraId="259B9660" w14:textId="1D85AEF4" w:rsidR="005B00C2" w:rsidRPr="00C779BE" w:rsidRDefault="00FB5FBA" w:rsidP="0000371F">
            <w:pPr>
              <w:pStyle w:val="TableBodyText"/>
              <w:spacing w:after="0"/>
              <w:jc w:val="center"/>
            </w:pPr>
            <w:r>
              <w:t>6.67</w:t>
            </w:r>
            <w:r w:rsidR="005B00C2" w:rsidRPr="00C779BE">
              <w:t>%</w:t>
            </w:r>
          </w:p>
        </w:tc>
        <w:tc>
          <w:tcPr>
            <w:tcW w:w="1530" w:type="dxa"/>
            <w:shd w:val="clear" w:color="auto" w:fill="auto"/>
            <w:vAlign w:val="center"/>
          </w:tcPr>
          <w:p w14:paraId="5CE497A5" w14:textId="2C9575D9" w:rsidR="005B00C2" w:rsidRPr="00C779BE" w:rsidRDefault="00FB5FBA" w:rsidP="0000371F">
            <w:pPr>
              <w:pStyle w:val="TableBodyText"/>
              <w:jc w:val="center"/>
            </w:pPr>
            <w:r>
              <w:t>6.34</w:t>
            </w:r>
            <w:r w:rsidR="005B00C2" w:rsidRPr="00C779BE">
              <w:t>%</w:t>
            </w:r>
          </w:p>
        </w:tc>
      </w:tr>
    </w:tbl>
    <w:p w14:paraId="49D63A48" w14:textId="77777777" w:rsidR="005B00C2" w:rsidRPr="00902A8B" w:rsidRDefault="005B00C2" w:rsidP="0000371F">
      <w:pPr>
        <w:pStyle w:val="Heading3"/>
        <w:spacing w:before="240"/>
      </w:pPr>
      <w:r>
        <w:t>6</w:t>
      </w:r>
      <w:r w:rsidRPr="00902A8B">
        <w:t>.</w:t>
      </w:r>
      <w:r>
        <w:t>2</w:t>
      </w:r>
      <w:r w:rsidRPr="00902A8B">
        <w:t>.</w:t>
      </w:r>
      <w:r>
        <w:t>2</w:t>
      </w:r>
      <w:r w:rsidRPr="00902A8B">
        <w:t xml:space="preserve"> </w:t>
      </w:r>
      <w:r>
        <w:t xml:space="preserve">MPO Transit Asset Management </w:t>
      </w:r>
      <w:r w:rsidRPr="00902A8B">
        <w:t>Targets</w:t>
      </w:r>
    </w:p>
    <w:p w14:paraId="3A86A669" w14:textId="63F5205B" w:rsidR="005B00C2" w:rsidRDefault="005B00C2" w:rsidP="005B00C2">
      <w:pPr>
        <w:rPr>
          <w:rFonts w:cs="Calibri"/>
          <w:kern w:val="28"/>
          <w:szCs w:val="24"/>
        </w:rPr>
      </w:pPr>
      <w:r>
        <w:rPr>
          <w:szCs w:val="24"/>
        </w:rPr>
        <w:t xml:space="preserve">As discussed above, </w:t>
      </w:r>
      <w:r w:rsidRPr="007339A4">
        <w:rPr>
          <w:szCs w:val="24"/>
        </w:rPr>
        <w:t xml:space="preserve">MPOs are not required to establish </w:t>
      </w:r>
      <w:r>
        <w:rPr>
          <w:szCs w:val="24"/>
        </w:rPr>
        <w:t>TAM</w:t>
      </w:r>
      <w:r w:rsidRPr="007339A4">
        <w:rPr>
          <w:szCs w:val="24"/>
        </w:rPr>
        <w:t xml:space="preserve"> targets annually each time the transit provider establishes targets. Instead, MPO</w:t>
      </w:r>
      <w:r>
        <w:rPr>
          <w:szCs w:val="24"/>
        </w:rPr>
        <w:t xml:space="preserve">’s must revisit </w:t>
      </w:r>
      <w:r w:rsidRPr="007339A4">
        <w:rPr>
          <w:szCs w:val="24"/>
        </w:rPr>
        <w:t xml:space="preserve">targets </w:t>
      </w:r>
      <w:r>
        <w:rPr>
          <w:szCs w:val="24"/>
        </w:rPr>
        <w:t xml:space="preserve">each time </w:t>
      </w:r>
      <w:r w:rsidRPr="007339A4">
        <w:rPr>
          <w:szCs w:val="24"/>
        </w:rPr>
        <w:t xml:space="preserve">the MPO updates </w:t>
      </w:r>
      <w:r>
        <w:rPr>
          <w:szCs w:val="24"/>
        </w:rPr>
        <w:t xml:space="preserve">the </w:t>
      </w:r>
      <w:r w:rsidRPr="007339A4">
        <w:rPr>
          <w:szCs w:val="24"/>
        </w:rPr>
        <w:t xml:space="preserve">LRTP. </w:t>
      </w:r>
      <w:r w:rsidRPr="007339A4">
        <w:rPr>
          <w:rFonts w:cs="Calibri"/>
          <w:kern w:val="28"/>
          <w:szCs w:val="24"/>
        </w:rPr>
        <w:t>MPO</w:t>
      </w:r>
      <w:r>
        <w:rPr>
          <w:rFonts w:cs="Calibri"/>
          <w:kern w:val="28"/>
          <w:szCs w:val="24"/>
        </w:rPr>
        <w:t>s</w:t>
      </w:r>
      <w:r w:rsidRPr="007339A4">
        <w:rPr>
          <w:rFonts w:cs="Calibri"/>
          <w:kern w:val="28"/>
          <w:szCs w:val="24"/>
        </w:rPr>
        <w:t xml:space="preserve"> can either agree to program projects that will support the transit provider targets or establish separate regional </w:t>
      </w:r>
      <w:r>
        <w:rPr>
          <w:rFonts w:cs="Calibri"/>
          <w:kern w:val="28"/>
          <w:szCs w:val="24"/>
        </w:rPr>
        <w:t>TAM</w:t>
      </w:r>
      <w:r w:rsidRPr="007339A4">
        <w:rPr>
          <w:rFonts w:cs="Calibri"/>
          <w:kern w:val="28"/>
          <w:szCs w:val="24"/>
        </w:rPr>
        <w:t xml:space="preserve"> targets for the MPO planning area</w:t>
      </w:r>
      <w:r w:rsidR="002A29E3" w:rsidRPr="007339A4">
        <w:rPr>
          <w:rFonts w:cs="Calibri"/>
          <w:kern w:val="28"/>
          <w:szCs w:val="24"/>
        </w:rPr>
        <w:t xml:space="preserve">. </w:t>
      </w:r>
      <w:r w:rsidRPr="007339A4">
        <w:rPr>
          <w:rFonts w:cs="Calibri"/>
          <w:kern w:val="28"/>
          <w:szCs w:val="24"/>
        </w:rPr>
        <w:t>MPO targets may differ from agency targets, especially if there are multiple transit agencies in the MPO planning area</w:t>
      </w:r>
      <w:r>
        <w:rPr>
          <w:rFonts w:cs="Calibri"/>
          <w:kern w:val="28"/>
          <w:szCs w:val="24"/>
        </w:rPr>
        <w:t>.</w:t>
      </w:r>
    </w:p>
    <w:p w14:paraId="5AAAE435" w14:textId="4964F340" w:rsidR="005B00C2" w:rsidRDefault="005B00C2" w:rsidP="005B00C2">
      <w:pPr>
        <w:keepNext/>
        <w:rPr>
          <w:rFonts w:cs="Proxima Nova"/>
          <w:color w:val="000000"/>
          <w:szCs w:val="24"/>
        </w:rPr>
      </w:pPr>
      <w:r w:rsidRPr="00A10F80">
        <w:rPr>
          <w:rFonts w:cs="Proxima Nova"/>
          <w:color w:val="000000"/>
          <w:szCs w:val="24"/>
          <w:highlight w:val="yellow"/>
        </w:rPr>
        <w:lastRenderedPageBreak/>
        <w:t>[Use</w:t>
      </w:r>
      <w:r>
        <w:rPr>
          <w:rFonts w:cs="Proxima Nova"/>
          <w:color w:val="000000"/>
          <w:szCs w:val="24"/>
          <w:highlight w:val="yellow"/>
        </w:rPr>
        <w:t xml:space="preserve"> either Option A or Option B below. </w:t>
      </w:r>
      <w:r w:rsidRPr="00A10F80">
        <w:rPr>
          <w:rFonts w:cs="Proxima Nova"/>
          <w:color w:val="000000"/>
          <w:szCs w:val="24"/>
          <w:highlight w:val="yellow"/>
        </w:rPr>
        <w:t xml:space="preserve">Option A </w:t>
      </w:r>
      <w:r w:rsidR="00ED236E">
        <w:rPr>
          <w:rFonts w:cs="Proxima Nova"/>
          <w:color w:val="000000"/>
          <w:szCs w:val="24"/>
          <w:highlight w:val="yellow"/>
        </w:rPr>
        <w:t>is for</w:t>
      </w:r>
      <w:r>
        <w:rPr>
          <w:rFonts w:cs="Proxima Nova"/>
          <w:color w:val="000000"/>
          <w:szCs w:val="24"/>
          <w:highlight w:val="yellow"/>
        </w:rPr>
        <w:t xml:space="preserve"> MPOs that </w:t>
      </w:r>
      <w:r w:rsidRPr="00A10F80">
        <w:rPr>
          <w:rFonts w:cs="Proxima Nova"/>
          <w:color w:val="000000"/>
          <w:szCs w:val="24"/>
          <w:highlight w:val="yellow"/>
        </w:rPr>
        <w:t xml:space="preserve">support all </w:t>
      </w:r>
      <w:r>
        <w:rPr>
          <w:rFonts w:cs="Proxima Nova"/>
          <w:color w:val="000000"/>
          <w:szCs w:val="24"/>
          <w:highlight w:val="yellow"/>
        </w:rPr>
        <w:t>transit agency TAM targets</w:t>
      </w:r>
      <w:r w:rsidR="002A29E3" w:rsidRPr="00A10F80">
        <w:rPr>
          <w:rFonts w:cs="Proxima Nova"/>
          <w:color w:val="000000"/>
          <w:szCs w:val="24"/>
          <w:highlight w:val="yellow"/>
        </w:rPr>
        <w:t xml:space="preserve">. </w:t>
      </w:r>
      <w:r>
        <w:rPr>
          <w:rFonts w:cs="Proxima Nova"/>
          <w:color w:val="000000"/>
          <w:szCs w:val="24"/>
          <w:highlight w:val="yellow"/>
        </w:rPr>
        <w:t>O</w:t>
      </w:r>
      <w:r w:rsidRPr="00A10F80">
        <w:rPr>
          <w:rFonts w:cs="Proxima Nova"/>
          <w:color w:val="000000"/>
          <w:szCs w:val="24"/>
          <w:highlight w:val="yellow"/>
        </w:rPr>
        <w:t xml:space="preserve">ption B </w:t>
      </w:r>
      <w:r w:rsidR="00ED236E">
        <w:rPr>
          <w:rFonts w:cs="Proxima Nova"/>
          <w:color w:val="000000"/>
          <w:szCs w:val="24"/>
          <w:highlight w:val="yellow"/>
        </w:rPr>
        <w:t>is for</w:t>
      </w:r>
      <w:r>
        <w:rPr>
          <w:rFonts w:cs="Proxima Nova"/>
          <w:color w:val="000000"/>
          <w:szCs w:val="24"/>
          <w:highlight w:val="yellow"/>
        </w:rPr>
        <w:t xml:space="preserve"> MPOs that </w:t>
      </w:r>
      <w:r w:rsidRPr="00A10F80">
        <w:rPr>
          <w:rFonts w:cs="Proxima Nova"/>
          <w:color w:val="000000"/>
          <w:szCs w:val="24"/>
          <w:highlight w:val="yellow"/>
        </w:rPr>
        <w:t xml:space="preserve">establish </w:t>
      </w:r>
      <w:r>
        <w:rPr>
          <w:rFonts w:cs="Proxima Nova"/>
          <w:color w:val="000000"/>
          <w:szCs w:val="24"/>
          <w:highlight w:val="yellow"/>
        </w:rPr>
        <w:t xml:space="preserve">their </w:t>
      </w:r>
      <w:r w:rsidRPr="00A10F80">
        <w:rPr>
          <w:rFonts w:cs="Proxima Nova"/>
          <w:color w:val="000000"/>
          <w:szCs w:val="24"/>
          <w:highlight w:val="yellow"/>
        </w:rPr>
        <w:t xml:space="preserve">own </w:t>
      </w:r>
      <w:r>
        <w:rPr>
          <w:rFonts w:cs="Proxima Nova"/>
          <w:color w:val="000000"/>
          <w:szCs w:val="24"/>
          <w:highlight w:val="yellow"/>
        </w:rPr>
        <w:t xml:space="preserve">TAM </w:t>
      </w:r>
      <w:r w:rsidRPr="00A10F80">
        <w:rPr>
          <w:rFonts w:cs="Proxima Nova"/>
          <w:color w:val="000000"/>
          <w:szCs w:val="24"/>
          <w:highlight w:val="yellow"/>
        </w:rPr>
        <w:t>targets.]</w:t>
      </w:r>
    </w:p>
    <w:p w14:paraId="6901ABD4" w14:textId="6456C8CE" w:rsidR="005B00C2" w:rsidRPr="00030F57" w:rsidRDefault="005B00C2" w:rsidP="005B00C2">
      <w:pPr>
        <w:keepNext/>
        <w:rPr>
          <w:rFonts w:cs="Proxima Nova"/>
          <w:color w:val="000000"/>
          <w:szCs w:val="24"/>
        </w:rPr>
      </w:pPr>
      <w:r w:rsidRPr="00030F57">
        <w:rPr>
          <w:rFonts w:cs="Proxima Nova"/>
          <w:color w:val="000000"/>
          <w:szCs w:val="24"/>
          <w:highlight w:val="yellow"/>
        </w:rPr>
        <w:t>[</w:t>
      </w:r>
      <w:r w:rsidRPr="00735CF6">
        <w:rPr>
          <w:rFonts w:cs="Proxima Nova"/>
          <w:color w:val="000000"/>
          <w:szCs w:val="24"/>
          <w:highlight w:val="yellow"/>
        </w:rPr>
        <w:t>OPTION A</w:t>
      </w:r>
      <w:r w:rsidRPr="00030F57">
        <w:rPr>
          <w:rFonts w:cs="Proxima Nova"/>
          <w:color w:val="000000"/>
          <w:szCs w:val="24"/>
          <w:highlight w:val="yellow"/>
        </w:rPr>
        <w:t xml:space="preserve">: </w:t>
      </w:r>
      <w:r w:rsidR="00ED236E">
        <w:rPr>
          <w:rFonts w:cs="Proxima Nova"/>
          <w:color w:val="000000"/>
          <w:szCs w:val="24"/>
          <w:highlight w:val="yellow"/>
        </w:rPr>
        <w:t>F</w:t>
      </w:r>
      <w:r w:rsidRPr="00030F57">
        <w:rPr>
          <w:rFonts w:cs="Proxima Nova"/>
          <w:color w:val="000000"/>
          <w:szCs w:val="24"/>
          <w:highlight w:val="yellow"/>
        </w:rPr>
        <w:t xml:space="preserve">or MPO that </w:t>
      </w:r>
      <w:r>
        <w:rPr>
          <w:rFonts w:cs="Proxima Nova"/>
          <w:color w:val="000000"/>
          <w:szCs w:val="24"/>
          <w:highlight w:val="yellow"/>
        </w:rPr>
        <w:t>s</w:t>
      </w:r>
      <w:r w:rsidRPr="00030F57">
        <w:rPr>
          <w:rFonts w:cs="Proxima Nova"/>
          <w:color w:val="000000"/>
          <w:szCs w:val="24"/>
          <w:highlight w:val="yellow"/>
        </w:rPr>
        <w:t xml:space="preserve">upports </w:t>
      </w:r>
      <w:r>
        <w:rPr>
          <w:rFonts w:cs="Proxima Nova"/>
          <w:color w:val="000000"/>
          <w:szCs w:val="24"/>
          <w:highlight w:val="yellow"/>
        </w:rPr>
        <w:t>the transit agency t</w:t>
      </w:r>
      <w:r w:rsidRPr="00030F57">
        <w:rPr>
          <w:rFonts w:cs="Proxima Nova"/>
          <w:color w:val="000000"/>
          <w:szCs w:val="24"/>
          <w:highlight w:val="yellow"/>
        </w:rPr>
        <w:t>argets]</w:t>
      </w:r>
    </w:p>
    <w:p w14:paraId="0029D769" w14:textId="70626492" w:rsidR="005B00C2" w:rsidRDefault="005B00C2" w:rsidP="005B00C2">
      <w:pPr>
        <w:rPr>
          <w:rFonts w:cs="Calibri"/>
          <w:kern w:val="28"/>
          <w:szCs w:val="24"/>
        </w:rPr>
      </w:pPr>
      <w:r w:rsidRPr="006B411F">
        <w:rPr>
          <w:rFonts w:cs="Calibri"/>
          <w:kern w:val="28"/>
          <w:szCs w:val="24"/>
        </w:rPr>
        <w:t>On [</w:t>
      </w:r>
      <w:r w:rsidRPr="00EF1433">
        <w:rPr>
          <w:rFonts w:cs="Calibri"/>
          <w:kern w:val="28"/>
          <w:szCs w:val="24"/>
          <w:highlight w:val="yellow"/>
        </w:rPr>
        <w:t>insert date</w:t>
      </w:r>
      <w:r w:rsidRPr="006B411F">
        <w:rPr>
          <w:rFonts w:cs="Calibri"/>
          <w:kern w:val="28"/>
          <w:szCs w:val="24"/>
        </w:rPr>
        <w:t>], the [</w:t>
      </w:r>
      <w:r w:rsidRPr="00EF1433">
        <w:rPr>
          <w:rFonts w:cs="Calibri"/>
          <w:kern w:val="28"/>
          <w:szCs w:val="24"/>
          <w:highlight w:val="yellow"/>
        </w:rPr>
        <w:t>insert MPO name</w:t>
      </w:r>
      <w:r w:rsidRPr="006B411F">
        <w:rPr>
          <w:rFonts w:cs="Calibri"/>
          <w:kern w:val="28"/>
          <w:szCs w:val="24"/>
        </w:rPr>
        <w:t xml:space="preserve">] agreed to support </w:t>
      </w:r>
      <w:r>
        <w:rPr>
          <w:rFonts w:cs="Calibri"/>
          <w:kern w:val="28"/>
          <w:szCs w:val="24"/>
        </w:rPr>
        <w:t xml:space="preserve">the </w:t>
      </w:r>
      <w:r w:rsidRPr="006B411F">
        <w:rPr>
          <w:rFonts w:cs="Calibri"/>
          <w:kern w:val="28"/>
          <w:szCs w:val="24"/>
        </w:rPr>
        <w:t>[</w:t>
      </w:r>
      <w:r w:rsidRPr="00EF1433">
        <w:rPr>
          <w:rFonts w:cs="Calibri"/>
          <w:kern w:val="28"/>
          <w:szCs w:val="24"/>
          <w:highlight w:val="yellow"/>
        </w:rPr>
        <w:t xml:space="preserve">insert </w:t>
      </w:r>
      <w:r>
        <w:rPr>
          <w:rFonts w:cs="Calibri"/>
          <w:kern w:val="28"/>
          <w:szCs w:val="24"/>
          <w:highlight w:val="yellow"/>
        </w:rPr>
        <w:t>transit agency’s</w:t>
      </w:r>
      <w:r w:rsidRPr="00EF1433">
        <w:rPr>
          <w:rFonts w:cs="Calibri"/>
          <w:kern w:val="28"/>
          <w:szCs w:val="24"/>
          <w:highlight w:val="yellow"/>
        </w:rPr>
        <w:t xml:space="preserve"> name</w:t>
      </w:r>
      <w:r w:rsidRPr="006B411F">
        <w:rPr>
          <w:rFonts w:cs="Calibri"/>
          <w:kern w:val="28"/>
          <w:szCs w:val="24"/>
        </w:rPr>
        <w:t>]</w:t>
      </w:r>
      <w:r>
        <w:rPr>
          <w:rFonts w:cs="Calibri"/>
          <w:kern w:val="28"/>
          <w:szCs w:val="24"/>
        </w:rPr>
        <w:t xml:space="preserve"> TAM </w:t>
      </w:r>
      <w:r w:rsidRPr="006B411F">
        <w:rPr>
          <w:rFonts w:cs="Calibri"/>
          <w:kern w:val="28"/>
          <w:szCs w:val="24"/>
        </w:rPr>
        <w:t xml:space="preserve">targets, thus agreeing to plan and program projects in the TIP that once implemented, </w:t>
      </w:r>
      <w:r>
        <w:rPr>
          <w:rFonts w:cs="Calibri"/>
          <w:kern w:val="28"/>
          <w:szCs w:val="24"/>
        </w:rPr>
        <w:t xml:space="preserve">are anticipated to </w:t>
      </w:r>
      <w:r w:rsidRPr="006B411F">
        <w:rPr>
          <w:rFonts w:cs="Calibri"/>
          <w:kern w:val="28"/>
          <w:szCs w:val="24"/>
        </w:rPr>
        <w:t xml:space="preserve">make progress toward achieving the </w:t>
      </w:r>
      <w:r>
        <w:rPr>
          <w:rFonts w:cs="Calibri"/>
          <w:kern w:val="28"/>
          <w:szCs w:val="24"/>
        </w:rPr>
        <w:t>provider’s</w:t>
      </w:r>
      <w:r w:rsidRPr="006B411F">
        <w:rPr>
          <w:rFonts w:cs="Calibri"/>
          <w:kern w:val="28"/>
          <w:szCs w:val="24"/>
        </w:rPr>
        <w:t xml:space="preserve"> targets</w:t>
      </w:r>
      <w:r w:rsidR="002A29E3">
        <w:rPr>
          <w:rFonts w:cs="Calibri"/>
          <w:kern w:val="28"/>
          <w:szCs w:val="24"/>
        </w:rPr>
        <w:t xml:space="preserve">. </w:t>
      </w:r>
      <w:r w:rsidRPr="00F57A31">
        <w:rPr>
          <w:rFonts w:cs="Calibri"/>
          <w:bCs/>
          <w:color w:val="000000"/>
          <w:kern w:val="36"/>
          <w:szCs w:val="24"/>
          <w:highlight w:val="yellow"/>
        </w:rPr>
        <w:t xml:space="preserve">[The MPO may discuss the reasoning or analysis behind the decision to support the </w:t>
      </w:r>
      <w:r>
        <w:rPr>
          <w:rFonts w:cs="Calibri"/>
          <w:bCs/>
          <w:color w:val="000000"/>
          <w:kern w:val="36"/>
          <w:szCs w:val="24"/>
          <w:highlight w:val="yellow"/>
        </w:rPr>
        <w:t>transit provider’s</w:t>
      </w:r>
      <w:r w:rsidRPr="00F57A31">
        <w:rPr>
          <w:rFonts w:cs="Calibri"/>
          <w:bCs/>
          <w:color w:val="000000"/>
          <w:kern w:val="36"/>
          <w:szCs w:val="24"/>
          <w:highlight w:val="yellow"/>
        </w:rPr>
        <w:t xml:space="preserve"> targets.]</w:t>
      </w:r>
    </w:p>
    <w:p w14:paraId="60398021" w14:textId="2DE4D507" w:rsidR="005B00C2" w:rsidRDefault="005B00C2" w:rsidP="005B00C2">
      <w:pPr>
        <w:rPr>
          <w:rFonts w:cs="Calibri"/>
          <w:bCs/>
          <w:color w:val="000000"/>
          <w:kern w:val="36"/>
          <w:szCs w:val="24"/>
        </w:rPr>
      </w:pPr>
      <w:r w:rsidRPr="00904649">
        <w:rPr>
          <w:rFonts w:cs="Calibri"/>
          <w:bCs/>
          <w:color w:val="000000"/>
          <w:kern w:val="36"/>
          <w:szCs w:val="24"/>
          <w:highlight w:val="yellow"/>
        </w:rPr>
        <w:t>[</w:t>
      </w:r>
      <w:r>
        <w:rPr>
          <w:rFonts w:cs="Calibri"/>
          <w:bCs/>
          <w:color w:val="000000"/>
          <w:kern w:val="36"/>
          <w:szCs w:val="24"/>
          <w:highlight w:val="yellow"/>
        </w:rPr>
        <w:t>END OF OPTION A</w:t>
      </w:r>
      <w:r w:rsidRPr="00904649">
        <w:rPr>
          <w:rFonts w:cs="Calibri"/>
          <w:bCs/>
          <w:color w:val="000000"/>
          <w:kern w:val="36"/>
          <w:szCs w:val="24"/>
          <w:highlight w:val="yellow"/>
        </w:rPr>
        <w:t xml:space="preserve">. Continue at </w:t>
      </w:r>
      <w:r>
        <w:rPr>
          <w:rFonts w:cs="Calibri"/>
          <w:bCs/>
          <w:color w:val="000000"/>
          <w:kern w:val="36"/>
          <w:szCs w:val="24"/>
          <w:highlight w:val="yellow"/>
        </w:rPr>
        <w:t>s</w:t>
      </w:r>
      <w:r w:rsidRPr="00904649">
        <w:rPr>
          <w:rFonts w:cs="Calibri"/>
          <w:bCs/>
          <w:color w:val="000000"/>
          <w:kern w:val="36"/>
          <w:szCs w:val="24"/>
          <w:highlight w:val="yellow"/>
        </w:rPr>
        <w:t xml:space="preserve">ection </w:t>
      </w:r>
      <w:r>
        <w:rPr>
          <w:rFonts w:cs="Calibri"/>
          <w:bCs/>
          <w:color w:val="000000"/>
          <w:kern w:val="36"/>
          <w:szCs w:val="24"/>
          <w:highlight w:val="yellow"/>
        </w:rPr>
        <w:t>“6</w:t>
      </w:r>
      <w:r w:rsidRPr="00904649">
        <w:rPr>
          <w:rFonts w:cs="Calibri"/>
          <w:bCs/>
          <w:color w:val="000000"/>
          <w:kern w:val="36"/>
          <w:szCs w:val="24"/>
          <w:highlight w:val="yellow"/>
        </w:rPr>
        <w:t>.</w:t>
      </w:r>
      <w:r>
        <w:rPr>
          <w:rFonts w:cs="Calibri"/>
          <w:bCs/>
          <w:color w:val="000000"/>
          <w:kern w:val="36"/>
          <w:szCs w:val="24"/>
          <w:highlight w:val="yellow"/>
        </w:rPr>
        <w:t>3</w:t>
      </w:r>
      <w:r w:rsidRPr="00904649">
        <w:rPr>
          <w:rFonts w:cs="Calibri"/>
          <w:bCs/>
          <w:color w:val="000000"/>
          <w:kern w:val="36"/>
          <w:szCs w:val="24"/>
          <w:highlight w:val="yellow"/>
        </w:rPr>
        <w:t xml:space="preserve"> </w:t>
      </w:r>
      <w:r>
        <w:rPr>
          <w:rFonts w:cs="Calibri"/>
          <w:bCs/>
          <w:color w:val="000000"/>
          <w:kern w:val="36"/>
          <w:szCs w:val="24"/>
          <w:highlight w:val="yellow"/>
        </w:rPr>
        <w:t xml:space="preserve">Transit Asset Management Investments </w:t>
      </w:r>
      <w:r w:rsidRPr="00904649">
        <w:rPr>
          <w:rFonts w:cs="Calibri"/>
          <w:bCs/>
          <w:color w:val="000000"/>
          <w:kern w:val="36"/>
          <w:szCs w:val="24"/>
          <w:highlight w:val="yellow"/>
        </w:rPr>
        <w:t xml:space="preserve">in the </w:t>
      </w:r>
      <w:r>
        <w:rPr>
          <w:rFonts w:cs="Calibri"/>
          <w:bCs/>
          <w:color w:val="000000"/>
          <w:kern w:val="36"/>
          <w:szCs w:val="24"/>
          <w:highlight w:val="yellow"/>
        </w:rPr>
        <w:t>TIP</w:t>
      </w:r>
      <w:r w:rsidRPr="00904649">
        <w:rPr>
          <w:rFonts w:cs="Calibri"/>
          <w:bCs/>
          <w:color w:val="000000"/>
          <w:kern w:val="36"/>
          <w:szCs w:val="24"/>
          <w:highlight w:val="yellow"/>
        </w:rPr>
        <w:t>”]</w:t>
      </w:r>
    </w:p>
    <w:p w14:paraId="2A0FEC2D" w14:textId="77777777" w:rsidR="0008421C" w:rsidRDefault="0008421C" w:rsidP="005B00C2">
      <w:pPr>
        <w:keepNext/>
        <w:rPr>
          <w:rFonts w:cs="Proxima Nova"/>
          <w:color w:val="000000"/>
          <w:szCs w:val="24"/>
          <w:highlight w:val="yellow"/>
        </w:rPr>
      </w:pPr>
    </w:p>
    <w:p w14:paraId="18F5598B" w14:textId="4EE369E8" w:rsidR="005B00C2" w:rsidRPr="00030F57" w:rsidRDefault="005B00C2" w:rsidP="005B00C2">
      <w:pPr>
        <w:keepNext/>
        <w:rPr>
          <w:rFonts w:cs="Proxima Nova"/>
          <w:color w:val="000000"/>
          <w:szCs w:val="24"/>
          <w:highlight w:val="yellow"/>
        </w:rPr>
      </w:pPr>
      <w:r w:rsidRPr="00030F57">
        <w:rPr>
          <w:rFonts w:cs="Proxima Nova"/>
          <w:color w:val="000000"/>
          <w:szCs w:val="24"/>
          <w:highlight w:val="yellow"/>
        </w:rPr>
        <w:t>[</w:t>
      </w:r>
      <w:r w:rsidRPr="00735CF6">
        <w:rPr>
          <w:rFonts w:cs="Proxima Nova"/>
          <w:color w:val="000000"/>
          <w:szCs w:val="24"/>
          <w:highlight w:val="yellow"/>
        </w:rPr>
        <w:t>OPTION B</w:t>
      </w:r>
      <w:r w:rsidRPr="00030F57">
        <w:rPr>
          <w:rFonts w:cs="Proxima Nova"/>
          <w:color w:val="000000"/>
          <w:szCs w:val="24"/>
          <w:highlight w:val="yellow"/>
        </w:rPr>
        <w:t xml:space="preserve">: </w:t>
      </w:r>
      <w:r w:rsidR="00ED236E">
        <w:rPr>
          <w:rFonts w:cs="Proxima Nova"/>
          <w:color w:val="000000"/>
          <w:szCs w:val="24"/>
          <w:highlight w:val="yellow"/>
        </w:rPr>
        <w:t>F</w:t>
      </w:r>
      <w:r w:rsidRPr="00030F57">
        <w:rPr>
          <w:rFonts w:cs="Proxima Nova"/>
          <w:color w:val="000000"/>
          <w:szCs w:val="24"/>
          <w:highlight w:val="yellow"/>
        </w:rPr>
        <w:t xml:space="preserve">or MPO that </w:t>
      </w:r>
      <w:r>
        <w:rPr>
          <w:rFonts w:cs="Proxima Nova"/>
          <w:color w:val="000000"/>
          <w:szCs w:val="24"/>
          <w:highlight w:val="yellow"/>
        </w:rPr>
        <w:t>e</w:t>
      </w:r>
      <w:r w:rsidRPr="00030F57">
        <w:rPr>
          <w:rFonts w:cs="Proxima Nova"/>
          <w:color w:val="000000"/>
          <w:szCs w:val="24"/>
          <w:highlight w:val="yellow"/>
        </w:rPr>
        <w:t xml:space="preserve">stablishes its </w:t>
      </w:r>
      <w:r>
        <w:rPr>
          <w:rFonts w:cs="Proxima Nova"/>
          <w:color w:val="000000"/>
          <w:szCs w:val="24"/>
          <w:highlight w:val="yellow"/>
        </w:rPr>
        <w:t>o</w:t>
      </w:r>
      <w:r w:rsidRPr="00030F57">
        <w:rPr>
          <w:rFonts w:cs="Proxima Nova"/>
          <w:color w:val="000000"/>
          <w:szCs w:val="24"/>
          <w:highlight w:val="yellow"/>
        </w:rPr>
        <w:t xml:space="preserve">wn </w:t>
      </w:r>
      <w:r>
        <w:rPr>
          <w:rFonts w:cs="Proxima Nova"/>
          <w:color w:val="000000"/>
          <w:szCs w:val="24"/>
          <w:highlight w:val="yellow"/>
        </w:rPr>
        <w:t>TAM t</w:t>
      </w:r>
      <w:r w:rsidRPr="00030F57">
        <w:rPr>
          <w:rFonts w:cs="Proxima Nova"/>
          <w:color w:val="000000"/>
          <w:szCs w:val="24"/>
          <w:highlight w:val="yellow"/>
        </w:rPr>
        <w:t>argets]</w:t>
      </w:r>
    </w:p>
    <w:p w14:paraId="1778EC69" w14:textId="77777777" w:rsidR="005B00C2" w:rsidRDefault="005B00C2" w:rsidP="005B00C2">
      <w:pPr>
        <w:rPr>
          <w:rFonts w:cs="Calibri"/>
          <w:kern w:val="28"/>
          <w:szCs w:val="24"/>
        </w:rPr>
      </w:pPr>
      <w:r w:rsidRPr="008A2DFD">
        <w:rPr>
          <w:rFonts w:cs="Calibri"/>
          <w:kern w:val="28"/>
          <w:szCs w:val="24"/>
        </w:rPr>
        <w:t>On [</w:t>
      </w:r>
      <w:r w:rsidRPr="008A2DFD">
        <w:rPr>
          <w:rFonts w:cs="Calibri"/>
          <w:kern w:val="28"/>
          <w:szCs w:val="24"/>
          <w:highlight w:val="yellow"/>
        </w:rPr>
        <w:t>insert date</w:t>
      </w:r>
      <w:r w:rsidRPr="008A2DFD">
        <w:rPr>
          <w:rFonts w:cs="Calibri"/>
          <w:kern w:val="28"/>
          <w:szCs w:val="24"/>
        </w:rPr>
        <w:t>], the [</w:t>
      </w:r>
      <w:r w:rsidRPr="008A2DFD">
        <w:rPr>
          <w:rFonts w:cs="Calibri"/>
          <w:kern w:val="28"/>
          <w:szCs w:val="24"/>
          <w:highlight w:val="yellow"/>
        </w:rPr>
        <w:t>insert MPO name</w:t>
      </w:r>
      <w:r w:rsidRPr="008A2DFD">
        <w:rPr>
          <w:rFonts w:cs="Calibri"/>
          <w:kern w:val="28"/>
          <w:szCs w:val="24"/>
        </w:rPr>
        <w:t xml:space="preserve">] established </w:t>
      </w:r>
      <w:r>
        <w:rPr>
          <w:rFonts w:cs="Calibri"/>
          <w:kern w:val="28"/>
          <w:szCs w:val="24"/>
        </w:rPr>
        <w:t>TAM</w:t>
      </w:r>
      <w:r w:rsidRPr="008A2DFD">
        <w:rPr>
          <w:rFonts w:cs="Calibri"/>
          <w:kern w:val="28"/>
          <w:szCs w:val="24"/>
        </w:rPr>
        <w:t xml:space="preserve"> targets for the MPO planning area</w:t>
      </w:r>
      <w:r>
        <w:rPr>
          <w:rFonts w:cs="Calibri"/>
          <w:kern w:val="28"/>
          <w:szCs w:val="24"/>
        </w:rPr>
        <w:t>. The targets are presented in Table 6.5.</w:t>
      </w:r>
    </w:p>
    <w:p w14:paraId="1512337E" w14:textId="77777777" w:rsidR="005B00C2" w:rsidRPr="00342667" w:rsidRDefault="005B00C2" w:rsidP="005B00C2">
      <w:pPr>
        <w:keepNext/>
        <w:keepLines/>
        <w:spacing w:after="120"/>
        <w:rPr>
          <w:rFonts w:cs="Arial"/>
          <w:bCs/>
          <w:kern w:val="36"/>
          <w:szCs w:val="24"/>
        </w:rPr>
      </w:pPr>
      <w:r w:rsidRPr="00342667">
        <w:rPr>
          <w:rFonts w:cs="Arial"/>
          <w:b/>
          <w:szCs w:val="24"/>
        </w:rPr>
        <w:t>Table </w:t>
      </w:r>
      <w:r>
        <w:rPr>
          <w:rFonts w:cs="Arial"/>
          <w:b/>
          <w:szCs w:val="24"/>
        </w:rPr>
        <w:t>6.5</w:t>
      </w:r>
      <w:r w:rsidRPr="00342667">
        <w:rPr>
          <w:rFonts w:cs="Arial"/>
          <w:b/>
          <w:szCs w:val="24"/>
        </w:rPr>
        <w:t>.</w:t>
      </w:r>
      <w:r>
        <w:rPr>
          <w:rFonts w:cs="Arial"/>
          <w:b/>
          <w:szCs w:val="24"/>
        </w:rPr>
        <w:t>[</w:t>
      </w:r>
      <w:r w:rsidRPr="0014684E">
        <w:rPr>
          <w:rFonts w:cs="Arial"/>
          <w:b/>
          <w:szCs w:val="24"/>
          <w:highlight w:val="yellow"/>
        </w:rPr>
        <w:t xml:space="preserve">insert </w:t>
      </w:r>
      <w:r>
        <w:rPr>
          <w:rFonts w:cs="Arial"/>
          <w:b/>
          <w:szCs w:val="24"/>
          <w:highlight w:val="yellow"/>
        </w:rPr>
        <w:t>MPO name</w:t>
      </w:r>
      <w:r>
        <w:rPr>
          <w:rFonts w:cs="Arial"/>
          <w:b/>
          <w:szCs w:val="24"/>
        </w:rPr>
        <w:t xml:space="preserve">] Transit Asset Management </w:t>
      </w:r>
      <w:r w:rsidRPr="00342667">
        <w:rPr>
          <w:rFonts w:cs="Arial"/>
          <w:b/>
          <w:szCs w:val="24"/>
        </w:rPr>
        <w:t>Targets</w:t>
      </w:r>
    </w:p>
    <w:tbl>
      <w:tblPr>
        <w:tblW w:w="9648"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72" w:type="dxa"/>
          <w:left w:w="72" w:type="dxa"/>
          <w:bottom w:w="72" w:type="dxa"/>
          <w:right w:w="72" w:type="dxa"/>
        </w:tblCellMar>
        <w:tblLook w:val="01E0" w:firstRow="1" w:lastRow="1" w:firstColumn="1" w:lastColumn="1" w:noHBand="0" w:noVBand="0"/>
      </w:tblPr>
      <w:tblGrid>
        <w:gridCol w:w="4320"/>
        <w:gridCol w:w="2354"/>
        <w:gridCol w:w="1483"/>
        <w:gridCol w:w="1491"/>
      </w:tblGrid>
      <w:tr w:rsidR="005B00C2" w:rsidRPr="00C779BE" w14:paraId="4AC76029" w14:textId="77777777" w:rsidTr="0008421C">
        <w:trPr>
          <w:trHeight w:val="576"/>
          <w:tblHeader/>
        </w:trPr>
        <w:tc>
          <w:tcPr>
            <w:tcW w:w="4320" w:type="dxa"/>
            <w:shd w:val="clear" w:color="auto" w:fill="auto"/>
            <w:vAlign w:val="bottom"/>
          </w:tcPr>
          <w:p w14:paraId="764E16DA" w14:textId="77777777" w:rsidR="005B00C2" w:rsidRPr="00C779BE" w:rsidRDefault="005B00C2" w:rsidP="0000371F">
            <w:pPr>
              <w:pStyle w:val="TableHeadText"/>
            </w:pPr>
            <w:r w:rsidRPr="00C779BE">
              <w:t>Asset Category - Performance Measure</w:t>
            </w:r>
          </w:p>
        </w:tc>
        <w:tc>
          <w:tcPr>
            <w:tcW w:w="2354" w:type="dxa"/>
            <w:shd w:val="clear" w:color="auto" w:fill="auto"/>
            <w:vAlign w:val="bottom"/>
          </w:tcPr>
          <w:p w14:paraId="2CCF9E3C" w14:textId="77777777" w:rsidR="005B00C2" w:rsidRPr="00C779BE" w:rsidRDefault="005B00C2" w:rsidP="0000371F">
            <w:pPr>
              <w:pStyle w:val="TableHeadText"/>
              <w:jc w:val="center"/>
            </w:pPr>
            <w:r w:rsidRPr="00C779BE">
              <w:t>Asset Class</w:t>
            </w:r>
          </w:p>
        </w:tc>
        <w:tc>
          <w:tcPr>
            <w:tcW w:w="1483" w:type="dxa"/>
            <w:shd w:val="clear" w:color="auto" w:fill="auto"/>
            <w:vAlign w:val="bottom"/>
          </w:tcPr>
          <w:p w14:paraId="33F63326" w14:textId="77777777" w:rsidR="005B00C2" w:rsidRPr="00C779BE" w:rsidRDefault="005B00C2" w:rsidP="0000371F">
            <w:pPr>
              <w:pStyle w:val="TableHeadText"/>
              <w:spacing w:before="0"/>
              <w:jc w:val="center"/>
            </w:pPr>
            <w:r w:rsidRPr="00C779BE">
              <w:t>FY 20XX Asset Condition</w:t>
            </w:r>
          </w:p>
        </w:tc>
        <w:tc>
          <w:tcPr>
            <w:tcW w:w="1491" w:type="dxa"/>
            <w:shd w:val="clear" w:color="auto" w:fill="auto"/>
            <w:vAlign w:val="bottom"/>
          </w:tcPr>
          <w:p w14:paraId="0714F9FF" w14:textId="77777777" w:rsidR="005B00C2" w:rsidRPr="00C779BE" w:rsidRDefault="005B00C2" w:rsidP="0000371F">
            <w:pPr>
              <w:pStyle w:val="TableHeadText"/>
              <w:jc w:val="center"/>
            </w:pPr>
            <w:r w:rsidRPr="00C779BE">
              <w:t>FY20xx Target</w:t>
            </w:r>
          </w:p>
        </w:tc>
      </w:tr>
      <w:tr w:rsidR="005B00C2" w:rsidRPr="00C779BE" w14:paraId="4D136E1D" w14:textId="77777777" w:rsidTr="0008421C">
        <w:trPr>
          <w:trHeight w:val="144"/>
        </w:trPr>
        <w:tc>
          <w:tcPr>
            <w:tcW w:w="9648" w:type="dxa"/>
            <w:gridSpan w:val="4"/>
            <w:shd w:val="clear" w:color="auto" w:fill="auto"/>
            <w:vAlign w:val="center"/>
          </w:tcPr>
          <w:p w14:paraId="5DC0EB65" w14:textId="77777777" w:rsidR="005B00C2" w:rsidRPr="0000371F" w:rsidRDefault="005B00C2" w:rsidP="0000371F">
            <w:pPr>
              <w:pStyle w:val="TableBodyText"/>
              <w:rPr>
                <w:b/>
                <w:bCs/>
              </w:rPr>
            </w:pPr>
            <w:r w:rsidRPr="0000371F">
              <w:rPr>
                <w:b/>
                <w:bCs/>
              </w:rPr>
              <w:t>Revenue Vehicles</w:t>
            </w:r>
          </w:p>
        </w:tc>
      </w:tr>
      <w:tr w:rsidR="005B00C2" w:rsidRPr="00C779BE" w14:paraId="3F49AC8B" w14:textId="77777777" w:rsidTr="0008421C">
        <w:trPr>
          <w:trHeight w:val="144"/>
        </w:trPr>
        <w:tc>
          <w:tcPr>
            <w:tcW w:w="4320" w:type="dxa"/>
            <w:vMerge w:val="restart"/>
            <w:shd w:val="clear" w:color="auto" w:fill="auto"/>
            <w:vAlign w:val="center"/>
          </w:tcPr>
          <w:p w14:paraId="7D742200" w14:textId="77777777" w:rsidR="005B00C2" w:rsidRPr="00C779BE" w:rsidRDefault="005B00C2" w:rsidP="0000371F">
            <w:pPr>
              <w:pStyle w:val="TableBodyText"/>
            </w:pPr>
            <w:r w:rsidRPr="00C779BE">
              <w:t>Age - % of revenue vehicles within a particular asset class that have met or exceeded their ULB</w:t>
            </w:r>
          </w:p>
        </w:tc>
        <w:tc>
          <w:tcPr>
            <w:tcW w:w="2354" w:type="dxa"/>
            <w:shd w:val="clear" w:color="auto" w:fill="auto"/>
          </w:tcPr>
          <w:p w14:paraId="6B49678A" w14:textId="77777777" w:rsidR="005B00C2" w:rsidRPr="00C779BE" w:rsidRDefault="005B00C2" w:rsidP="0000371F">
            <w:pPr>
              <w:pStyle w:val="TableBodyText"/>
            </w:pPr>
            <w:r w:rsidRPr="00C779BE">
              <w:t>Articulated Bus</w:t>
            </w:r>
          </w:p>
        </w:tc>
        <w:tc>
          <w:tcPr>
            <w:tcW w:w="1483" w:type="dxa"/>
            <w:shd w:val="clear" w:color="auto" w:fill="auto"/>
            <w:vAlign w:val="center"/>
          </w:tcPr>
          <w:p w14:paraId="7A15F79D" w14:textId="77777777" w:rsidR="005B00C2" w:rsidRPr="00C779BE" w:rsidRDefault="005B00C2" w:rsidP="0000371F">
            <w:pPr>
              <w:pStyle w:val="TableBodyText"/>
              <w:jc w:val="center"/>
            </w:pPr>
            <w:r w:rsidRPr="00C779BE">
              <w:t>X</w:t>
            </w:r>
          </w:p>
        </w:tc>
        <w:tc>
          <w:tcPr>
            <w:tcW w:w="1491" w:type="dxa"/>
            <w:shd w:val="clear" w:color="auto" w:fill="auto"/>
            <w:vAlign w:val="center"/>
          </w:tcPr>
          <w:p w14:paraId="37C94430" w14:textId="77777777" w:rsidR="005B00C2" w:rsidRPr="00C779BE" w:rsidRDefault="005B00C2" w:rsidP="0000371F">
            <w:pPr>
              <w:pStyle w:val="TableBodyText"/>
              <w:jc w:val="center"/>
            </w:pPr>
            <w:r w:rsidRPr="00C779BE">
              <w:t>%</w:t>
            </w:r>
          </w:p>
        </w:tc>
      </w:tr>
      <w:tr w:rsidR="005B00C2" w:rsidRPr="00C779BE" w14:paraId="727ED732" w14:textId="77777777" w:rsidTr="0008421C">
        <w:trPr>
          <w:trHeight w:val="144"/>
          <w:tblHeader/>
        </w:trPr>
        <w:tc>
          <w:tcPr>
            <w:tcW w:w="4320" w:type="dxa"/>
            <w:vMerge/>
            <w:shd w:val="clear" w:color="auto" w:fill="auto"/>
            <w:vAlign w:val="center"/>
          </w:tcPr>
          <w:p w14:paraId="086D38CD" w14:textId="77777777" w:rsidR="005B00C2" w:rsidRPr="00C779BE" w:rsidRDefault="005B00C2" w:rsidP="0000371F">
            <w:pPr>
              <w:pStyle w:val="TableBodyText"/>
            </w:pPr>
          </w:p>
        </w:tc>
        <w:tc>
          <w:tcPr>
            <w:tcW w:w="2354" w:type="dxa"/>
            <w:shd w:val="clear" w:color="auto" w:fill="auto"/>
          </w:tcPr>
          <w:p w14:paraId="6128BDF4" w14:textId="77777777" w:rsidR="005B00C2" w:rsidRPr="00C779BE" w:rsidRDefault="005B00C2" w:rsidP="0000371F">
            <w:pPr>
              <w:pStyle w:val="TableBodyText"/>
            </w:pPr>
            <w:r w:rsidRPr="00C779BE">
              <w:t>Bus</w:t>
            </w:r>
          </w:p>
        </w:tc>
        <w:tc>
          <w:tcPr>
            <w:tcW w:w="1483" w:type="dxa"/>
            <w:shd w:val="clear" w:color="auto" w:fill="auto"/>
            <w:vAlign w:val="bottom"/>
          </w:tcPr>
          <w:p w14:paraId="730C1D4B" w14:textId="77777777" w:rsidR="005B00C2" w:rsidRPr="00C779BE" w:rsidRDefault="005B00C2" w:rsidP="0000371F">
            <w:pPr>
              <w:pStyle w:val="TableBodyText"/>
              <w:jc w:val="center"/>
            </w:pPr>
            <w:r w:rsidRPr="00C779BE">
              <w:t>X</w:t>
            </w:r>
          </w:p>
        </w:tc>
        <w:tc>
          <w:tcPr>
            <w:tcW w:w="1491" w:type="dxa"/>
            <w:shd w:val="clear" w:color="auto" w:fill="auto"/>
            <w:vAlign w:val="center"/>
          </w:tcPr>
          <w:p w14:paraId="32CCB66A" w14:textId="77777777" w:rsidR="005B00C2" w:rsidRPr="00C779BE" w:rsidRDefault="005B00C2" w:rsidP="0000371F">
            <w:pPr>
              <w:pStyle w:val="TableBodyText"/>
              <w:jc w:val="center"/>
            </w:pPr>
            <w:r w:rsidRPr="00C779BE">
              <w:t>%</w:t>
            </w:r>
          </w:p>
        </w:tc>
      </w:tr>
      <w:tr w:rsidR="005B00C2" w:rsidRPr="00C779BE" w14:paraId="25E23B12" w14:textId="77777777" w:rsidTr="0008421C">
        <w:trPr>
          <w:trHeight w:val="144"/>
        </w:trPr>
        <w:tc>
          <w:tcPr>
            <w:tcW w:w="4320" w:type="dxa"/>
            <w:vMerge/>
            <w:shd w:val="clear" w:color="auto" w:fill="auto"/>
            <w:vAlign w:val="center"/>
          </w:tcPr>
          <w:p w14:paraId="07129F70" w14:textId="77777777" w:rsidR="005B00C2" w:rsidRPr="00C779BE" w:rsidRDefault="005B00C2" w:rsidP="0000371F">
            <w:pPr>
              <w:pStyle w:val="TableBodyText"/>
            </w:pPr>
          </w:p>
        </w:tc>
        <w:tc>
          <w:tcPr>
            <w:tcW w:w="2354" w:type="dxa"/>
            <w:shd w:val="clear" w:color="auto" w:fill="auto"/>
          </w:tcPr>
          <w:p w14:paraId="707B5258" w14:textId="77777777" w:rsidR="005B00C2" w:rsidRPr="00C779BE" w:rsidRDefault="005B00C2" w:rsidP="0000371F">
            <w:pPr>
              <w:pStyle w:val="TableBodyText"/>
            </w:pPr>
            <w:r w:rsidRPr="00C779BE">
              <w:t>Mini-Bus</w:t>
            </w:r>
          </w:p>
        </w:tc>
        <w:tc>
          <w:tcPr>
            <w:tcW w:w="1483" w:type="dxa"/>
            <w:shd w:val="clear" w:color="auto" w:fill="auto"/>
            <w:vAlign w:val="center"/>
          </w:tcPr>
          <w:p w14:paraId="4612DED2" w14:textId="77777777" w:rsidR="005B00C2" w:rsidRPr="00C779BE" w:rsidRDefault="005B00C2" w:rsidP="0000371F">
            <w:pPr>
              <w:pStyle w:val="TableBodyText"/>
              <w:jc w:val="center"/>
            </w:pPr>
            <w:r w:rsidRPr="00C779BE">
              <w:t>X</w:t>
            </w:r>
          </w:p>
        </w:tc>
        <w:tc>
          <w:tcPr>
            <w:tcW w:w="1491" w:type="dxa"/>
            <w:shd w:val="clear" w:color="auto" w:fill="auto"/>
            <w:vAlign w:val="center"/>
          </w:tcPr>
          <w:p w14:paraId="5CFB0B02" w14:textId="77777777" w:rsidR="005B00C2" w:rsidRPr="00C779BE" w:rsidRDefault="005B00C2" w:rsidP="0000371F">
            <w:pPr>
              <w:pStyle w:val="TableBodyText"/>
              <w:jc w:val="center"/>
            </w:pPr>
            <w:r w:rsidRPr="00C779BE">
              <w:t>%</w:t>
            </w:r>
          </w:p>
        </w:tc>
      </w:tr>
      <w:tr w:rsidR="005B00C2" w:rsidRPr="00C779BE" w14:paraId="07823A65" w14:textId="77777777" w:rsidTr="0008421C">
        <w:trPr>
          <w:trHeight w:val="144"/>
        </w:trPr>
        <w:tc>
          <w:tcPr>
            <w:tcW w:w="4320" w:type="dxa"/>
            <w:vMerge/>
            <w:shd w:val="clear" w:color="auto" w:fill="auto"/>
            <w:vAlign w:val="center"/>
          </w:tcPr>
          <w:p w14:paraId="7300F83A" w14:textId="77777777" w:rsidR="005B00C2" w:rsidRPr="00C779BE" w:rsidRDefault="005B00C2" w:rsidP="0000371F">
            <w:pPr>
              <w:pStyle w:val="TableBodyText"/>
            </w:pPr>
          </w:p>
        </w:tc>
        <w:tc>
          <w:tcPr>
            <w:tcW w:w="2354" w:type="dxa"/>
            <w:shd w:val="clear" w:color="auto" w:fill="auto"/>
          </w:tcPr>
          <w:p w14:paraId="073FCF58" w14:textId="77777777" w:rsidR="005B00C2" w:rsidRPr="00C779BE" w:rsidRDefault="005B00C2" w:rsidP="0000371F">
            <w:pPr>
              <w:pStyle w:val="TableBodyText"/>
            </w:pPr>
            <w:r w:rsidRPr="00C779BE">
              <w:t>Van</w:t>
            </w:r>
          </w:p>
        </w:tc>
        <w:tc>
          <w:tcPr>
            <w:tcW w:w="1483" w:type="dxa"/>
            <w:shd w:val="clear" w:color="auto" w:fill="auto"/>
            <w:vAlign w:val="center"/>
          </w:tcPr>
          <w:p w14:paraId="360229A1" w14:textId="77777777" w:rsidR="005B00C2" w:rsidRPr="00C779BE" w:rsidRDefault="005B00C2" w:rsidP="0000371F">
            <w:pPr>
              <w:pStyle w:val="TableBodyText"/>
              <w:jc w:val="center"/>
            </w:pPr>
            <w:r w:rsidRPr="00C779BE">
              <w:t>X</w:t>
            </w:r>
          </w:p>
        </w:tc>
        <w:tc>
          <w:tcPr>
            <w:tcW w:w="1491" w:type="dxa"/>
            <w:shd w:val="clear" w:color="auto" w:fill="auto"/>
            <w:vAlign w:val="center"/>
          </w:tcPr>
          <w:p w14:paraId="0C03C3FB" w14:textId="77777777" w:rsidR="005B00C2" w:rsidRPr="00C779BE" w:rsidRDefault="005B00C2" w:rsidP="0000371F">
            <w:pPr>
              <w:pStyle w:val="TableBodyText"/>
              <w:jc w:val="center"/>
            </w:pPr>
            <w:r w:rsidRPr="00C779BE">
              <w:t>%</w:t>
            </w:r>
          </w:p>
        </w:tc>
      </w:tr>
      <w:tr w:rsidR="005B00C2" w:rsidRPr="00C779BE" w14:paraId="77B61F25" w14:textId="77777777" w:rsidTr="0008421C">
        <w:trPr>
          <w:trHeight w:val="144"/>
        </w:trPr>
        <w:tc>
          <w:tcPr>
            <w:tcW w:w="4320" w:type="dxa"/>
            <w:vMerge/>
            <w:shd w:val="clear" w:color="auto" w:fill="auto"/>
            <w:vAlign w:val="center"/>
          </w:tcPr>
          <w:p w14:paraId="2A06EFBD" w14:textId="77777777" w:rsidR="005B00C2" w:rsidRPr="00C779BE" w:rsidRDefault="005B00C2" w:rsidP="0000371F">
            <w:pPr>
              <w:pStyle w:val="TableBodyText"/>
            </w:pPr>
          </w:p>
        </w:tc>
        <w:tc>
          <w:tcPr>
            <w:tcW w:w="2354" w:type="dxa"/>
            <w:shd w:val="clear" w:color="auto" w:fill="auto"/>
          </w:tcPr>
          <w:p w14:paraId="6727DE3B" w14:textId="77777777" w:rsidR="005B00C2" w:rsidRPr="00C779BE" w:rsidRDefault="005B00C2" w:rsidP="0000371F">
            <w:pPr>
              <w:pStyle w:val="TableBodyText"/>
            </w:pPr>
            <w:r w:rsidRPr="00C779BE">
              <w:t>Etc.</w:t>
            </w:r>
          </w:p>
        </w:tc>
        <w:tc>
          <w:tcPr>
            <w:tcW w:w="1483" w:type="dxa"/>
            <w:shd w:val="clear" w:color="auto" w:fill="auto"/>
            <w:vAlign w:val="center"/>
          </w:tcPr>
          <w:p w14:paraId="7F855C97" w14:textId="77777777" w:rsidR="005B00C2" w:rsidRPr="00C779BE" w:rsidRDefault="005B00C2" w:rsidP="0000371F">
            <w:pPr>
              <w:pStyle w:val="TableBodyText"/>
              <w:jc w:val="center"/>
            </w:pPr>
            <w:r w:rsidRPr="00C779BE">
              <w:t>X</w:t>
            </w:r>
          </w:p>
        </w:tc>
        <w:tc>
          <w:tcPr>
            <w:tcW w:w="1491" w:type="dxa"/>
            <w:shd w:val="clear" w:color="auto" w:fill="auto"/>
            <w:vAlign w:val="center"/>
          </w:tcPr>
          <w:p w14:paraId="3A3E00EC" w14:textId="77777777" w:rsidR="005B00C2" w:rsidRPr="00C779BE" w:rsidRDefault="005B00C2" w:rsidP="0000371F">
            <w:pPr>
              <w:pStyle w:val="TableBodyText"/>
              <w:jc w:val="center"/>
            </w:pPr>
            <w:r w:rsidRPr="00C779BE">
              <w:t>%</w:t>
            </w:r>
          </w:p>
        </w:tc>
      </w:tr>
      <w:tr w:rsidR="005B00C2" w:rsidRPr="00C779BE" w14:paraId="42EFDDF0" w14:textId="77777777" w:rsidTr="000C0E09">
        <w:tc>
          <w:tcPr>
            <w:tcW w:w="9648" w:type="dxa"/>
            <w:gridSpan w:val="4"/>
            <w:shd w:val="clear" w:color="auto" w:fill="auto"/>
            <w:vAlign w:val="center"/>
          </w:tcPr>
          <w:p w14:paraId="20D5BE3D" w14:textId="77777777" w:rsidR="005B00C2" w:rsidRPr="0000371F" w:rsidRDefault="005B00C2" w:rsidP="0000371F">
            <w:pPr>
              <w:pStyle w:val="TableBodyText"/>
              <w:rPr>
                <w:b/>
                <w:bCs/>
              </w:rPr>
            </w:pPr>
            <w:r w:rsidRPr="0000371F">
              <w:rPr>
                <w:b/>
                <w:bCs/>
              </w:rPr>
              <w:t>Equipment</w:t>
            </w:r>
          </w:p>
        </w:tc>
      </w:tr>
      <w:tr w:rsidR="005B00C2" w:rsidRPr="00C779BE" w14:paraId="2592E489" w14:textId="77777777" w:rsidTr="0008421C">
        <w:trPr>
          <w:trHeight w:val="144"/>
        </w:trPr>
        <w:tc>
          <w:tcPr>
            <w:tcW w:w="4320" w:type="dxa"/>
            <w:vMerge w:val="restart"/>
            <w:shd w:val="clear" w:color="auto" w:fill="auto"/>
            <w:vAlign w:val="center"/>
          </w:tcPr>
          <w:p w14:paraId="07220760" w14:textId="77777777" w:rsidR="005B00C2" w:rsidRPr="00C779BE" w:rsidRDefault="005B00C2" w:rsidP="0000371F">
            <w:pPr>
              <w:pStyle w:val="TableBodyText"/>
            </w:pPr>
            <w:r w:rsidRPr="00C779BE">
              <w:t>Age - % of non-revenue vehicles within a particular asset class that have met or exceeded their ULB</w:t>
            </w:r>
          </w:p>
        </w:tc>
        <w:tc>
          <w:tcPr>
            <w:tcW w:w="2354" w:type="dxa"/>
            <w:shd w:val="clear" w:color="auto" w:fill="auto"/>
          </w:tcPr>
          <w:p w14:paraId="3F81906B" w14:textId="4F89F2E9" w:rsidR="005B00C2" w:rsidRPr="00C779BE" w:rsidRDefault="00653195" w:rsidP="0000371F">
            <w:pPr>
              <w:pStyle w:val="TableBodyText"/>
            </w:pPr>
            <w:r w:rsidRPr="00C779BE">
              <w:t>Non-Revenue</w:t>
            </w:r>
            <w:r w:rsidR="005B00C2" w:rsidRPr="00C779BE">
              <w:t>/Service Automobile</w:t>
            </w:r>
          </w:p>
        </w:tc>
        <w:tc>
          <w:tcPr>
            <w:tcW w:w="1483" w:type="dxa"/>
            <w:shd w:val="clear" w:color="auto" w:fill="auto"/>
            <w:vAlign w:val="center"/>
          </w:tcPr>
          <w:p w14:paraId="688E2898" w14:textId="77777777" w:rsidR="005B00C2" w:rsidRPr="00C779BE" w:rsidRDefault="005B00C2" w:rsidP="0000371F">
            <w:pPr>
              <w:pStyle w:val="TableBodyText"/>
              <w:jc w:val="center"/>
            </w:pPr>
            <w:r w:rsidRPr="00C779BE">
              <w:t>X</w:t>
            </w:r>
          </w:p>
        </w:tc>
        <w:tc>
          <w:tcPr>
            <w:tcW w:w="1491" w:type="dxa"/>
            <w:shd w:val="clear" w:color="auto" w:fill="auto"/>
            <w:vAlign w:val="center"/>
          </w:tcPr>
          <w:p w14:paraId="30B83340" w14:textId="77777777" w:rsidR="005B00C2" w:rsidRPr="00C779BE" w:rsidRDefault="005B00C2" w:rsidP="0000371F">
            <w:pPr>
              <w:pStyle w:val="TableBodyText"/>
              <w:jc w:val="center"/>
            </w:pPr>
            <w:r w:rsidRPr="00C779BE">
              <w:t>%</w:t>
            </w:r>
          </w:p>
        </w:tc>
      </w:tr>
      <w:tr w:rsidR="005B00C2" w:rsidRPr="00C779BE" w14:paraId="3AFF2F96" w14:textId="77777777" w:rsidTr="0008421C">
        <w:trPr>
          <w:trHeight w:val="144"/>
        </w:trPr>
        <w:tc>
          <w:tcPr>
            <w:tcW w:w="4320" w:type="dxa"/>
            <w:vMerge/>
            <w:shd w:val="clear" w:color="auto" w:fill="auto"/>
            <w:vAlign w:val="center"/>
          </w:tcPr>
          <w:p w14:paraId="0F561DC9" w14:textId="77777777" w:rsidR="005B00C2" w:rsidRPr="00C779BE" w:rsidRDefault="005B00C2" w:rsidP="0000371F">
            <w:pPr>
              <w:pStyle w:val="TableBodyText"/>
            </w:pPr>
          </w:p>
        </w:tc>
        <w:tc>
          <w:tcPr>
            <w:tcW w:w="2354" w:type="dxa"/>
            <w:shd w:val="clear" w:color="auto" w:fill="auto"/>
          </w:tcPr>
          <w:p w14:paraId="75C15C77" w14:textId="77777777" w:rsidR="005B00C2" w:rsidRPr="00C779BE" w:rsidRDefault="005B00C2" w:rsidP="0000371F">
            <w:pPr>
              <w:pStyle w:val="TableBodyText"/>
            </w:pPr>
            <w:r w:rsidRPr="00C779BE">
              <w:t>Trucks and other Rubber Tire Vehicles</w:t>
            </w:r>
          </w:p>
        </w:tc>
        <w:tc>
          <w:tcPr>
            <w:tcW w:w="1483" w:type="dxa"/>
            <w:shd w:val="clear" w:color="auto" w:fill="auto"/>
            <w:vAlign w:val="center"/>
          </w:tcPr>
          <w:p w14:paraId="16054721" w14:textId="77777777" w:rsidR="005B00C2" w:rsidRPr="00C779BE" w:rsidRDefault="005B00C2" w:rsidP="0000371F">
            <w:pPr>
              <w:pStyle w:val="TableBodyText"/>
              <w:jc w:val="center"/>
            </w:pPr>
            <w:r w:rsidRPr="00C779BE">
              <w:t>X</w:t>
            </w:r>
          </w:p>
        </w:tc>
        <w:tc>
          <w:tcPr>
            <w:tcW w:w="1491" w:type="dxa"/>
            <w:shd w:val="clear" w:color="auto" w:fill="auto"/>
            <w:vAlign w:val="center"/>
          </w:tcPr>
          <w:p w14:paraId="6386873E" w14:textId="77777777" w:rsidR="005B00C2" w:rsidRPr="00C779BE" w:rsidRDefault="005B00C2" w:rsidP="0000371F">
            <w:pPr>
              <w:pStyle w:val="TableBodyText"/>
              <w:jc w:val="center"/>
            </w:pPr>
            <w:r w:rsidRPr="00C779BE">
              <w:t>%</w:t>
            </w:r>
          </w:p>
        </w:tc>
      </w:tr>
      <w:tr w:rsidR="005B00C2" w:rsidRPr="00C779BE" w14:paraId="09CBF136" w14:textId="77777777" w:rsidTr="0008421C">
        <w:trPr>
          <w:trHeight w:val="144"/>
        </w:trPr>
        <w:tc>
          <w:tcPr>
            <w:tcW w:w="4320" w:type="dxa"/>
            <w:vMerge/>
            <w:shd w:val="clear" w:color="auto" w:fill="auto"/>
            <w:vAlign w:val="center"/>
          </w:tcPr>
          <w:p w14:paraId="6AD17411" w14:textId="77777777" w:rsidR="005B00C2" w:rsidRPr="00C779BE" w:rsidRDefault="005B00C2" w:rsidP="0000371F">
            <w:pPr>
              <w:pStyle w:val="TableBodyText"/>
            </w:pPr>
          </w:p>
        </w:tc>
        <w:tc>
          <w:tcPr>
            <w:tcW w:w="2354" w:type="dxa"/>
            <w:shd w:val="clear" w:color="auto" w:fill="auto"/>
          </w:tcPr>
          <w:p w14:paraId="005EA392" w14:textId="77777777" w:rsidR="005B00C2" w:rsidRPr="00C779BE" w:rsidRDefault="005B00C2" w:rsidP="0000371F">
            <w:pPr>
              <w:pStyle w:val="TableBodyText"/>
            </w:pPr>
            <w:r w:rsidRPr="00C779BE">
              <w:t>Maintenance Equipment</w:t>
            </w:r>
          </w:p>
        </w:tc>
        <w:tc>
          <w:tcPr>
            <w:tcW w:w="1483" w:type="dxa"/>
            <w:shd w:val="clear" w:color="auto" w:fill="auto"/>
            <w:vAlign w:val="center"/>
          </w:tcPr>
          <w:p w14:paraId="49B5C106" w14:textId="77777777" w:rsidR="005B00C2" w:rsidRPr="00C779BE" w:rsidRDefault="005B00C2" w:rsidP="0000371F">
            <w:pPr>
              <w:pStyle w:val="TableBodyText"/>
              <w:jc w:val="center"/>
            </w:pPr>
            <w:r w:rsidRPr="00C779BE">
              <w:t>X</w:t>
            </w:r>
          </w:p>
        </w:tc>
        <w:tc>
          <w:tcPr>
            <w:tcW w:w="1491" w:type="dxa"/>
            <w:shd w:val="clear" w:color="auto" w:fill="auto"/>
            <w:vAlign w:val="center"/>
          </w:tcPr>
          <w:p w14:paraId="5CBAEABB" w14:textId="77777777" w:rsidR="005B00C2" w:rsidRPr="00C779BE" w:rsidRDefault="005B00C2" w:rsidP="0000371F">
            <w:pPr>
              <w:pStyle w:val="TableBodyText"/>
              <w:jc w:val="center"/>
            </w:pPr>
            <w:r w:rsidRPr="00C779BE">
              <w:t>%</w:t>
            </w:r>
          </w:p>
        </w:tc>
      </w:tr>
      <w:tr w:rsidR="005B00C2" w:rsidRPr="00C779BE" w14:paraId="140DA1EE" w14:textId="77777777" w:rsidTr="0008421C">
        <w:trPr>
          <w:trHeight w:val="144"/>
        </w:trPr>
        <w:tc>
          <w:tcPr>
            <w:tcW w:w="4320" w:type="dxa"/>
            <w:vMerge/>
            <w:shd w:val="clear" w:color="auto" w:fill="auto"/>
            <w:vAlign w:val="center"/>
          </w:tcPr>
          <w:p w14:paraId="6FF15FF5" w14:textId="77777777" w:rsidR="005B00C2" w:rsidRPr="00C779BE" w:rsidRDefault="005B00C2" w:rsidP="0000371F">
            <w:pPr>
              <w:pStyle w:val="TableBodyText"/>
            </w:pPr>
          </w:p>
        </w:tc>
        <w:tc>
          <w:tcPr>
            <w:tcW w:w="2354" w:type="dxa"/>
            <w:shd w:val="clear" w:color="auto" w:fill="auto"/>
          </w:tcPr>
          <w:p w14:paraId="19FB34D0" w14:textId="77777777" w:rsidR="005B00C2" w:rsidRPr="00C779BE" w:rsidRDefault="005B00C2" w:rsidP="0000371F">
            <w:pPr>
              <w:pStyle w:val="TableBodyText"/>
            </w:pPr>
            <w:r w:rsidRPr="00C779BE">
              <w:t>Etc.</w:t>
            </w:r>
          </w:p>
        </w:tc>
        <w:tc>
          <w:tcPr>
            <w:tcW w:w="1483" w:type="dxa"/>
            <w:shd w:val="clear" w:color="auto" w:fill="auto"/>
            <w:vAlign w:val="center"/>
          </w:tcPr>
          <w:p w14:paraId="5525DE50" w14:textId="77777777" w:rsidR="005B00C2" w:rsidRPr="00C779BE" w:rsidRDefault="005B00C2" w:rsidP="0000371F">
            <w:pPr>
              <w:pStyle w:val="TableBodyText"/>
              <w:jc w:val="center"/>
            </w:pPr>
            <w:r w:rsidRPr="00C779BE">
              <w:t>X</w:t>
            </w:r>
          </w:p>
        </w:tc>
        <w:tc>
          <w:tcPr>
            <w:tcW w:w="1491" w:type="dxa"/>
            <w:shd w:val="clear" w:color="auto" w:fill="auto"/>
            <w:vAlign w:val="center"/>
          </w:tcPr>
          <w:p w14:paraId="28CE793B" w14:textId="77777777" w:rsidR="005B00C2" w:rsidRPr="00C779BE" w:rsidRDefault="005B00C2" w:rsidP="0000371F">
            <w:pPr>
              <w:pStyle w:val="TableBodyText"/>
              <w:jc w:val="center"/>
            </w:pPr>
            <w:r w:rsidRPr="00C779BE">
              <w:t>%</w:t>
            </w:r>
          </w:p>
        </w:tc>
      </w:tr>
      <w:tr w:rsidR="005B00C2" w:rsidRPr="00C779BE" w14:paraId="1893CA2E" w14:textId="77777777" w:rsidTr="000C0E09">
        <w:tc>
          <w:tcPr>
            <w:tcW w:w="9648" w:type="dxa"/>
            <w:gridSpan w:val="4"/>
            <w:shd w:val="clear" w:color="auto" w:fill="auto"/>
            <w:vAlign w:val="center"/>
          </w:tcPr>
          <w:p w14:paraId="6A09E49A" w14:textId="77777777" w:rsidR="005B00C2" w:rsidRPr="0000371F" w:rsidRDefault="005B00C2" w:rsidP="0000371F">
            <w:pPr>
              <w:pStyle w:val="TableBodyText"/>
              <w:rPr>
                <w:b/>
                <w:bCs/>
              </w:rPr>
            </w:pPr>
            <w:r w:rsidRPr="0000371F">
              <w:rPr>
                <w:b/>
                <w:bCs/>
              </w:rPr>
              <w:t>Infrastructure</w:t>
            </w:r>
          </w:p>
        </w:tc>
      </w:tr>
      <w:tr w:rsidR="005B00C2" w:rsidRPr="00C779BE" w14:paraId="7B1A875E" w14:textId="77777777" w:rsidTr="0008421C">
        <w:trPr>
          <w:trHeight w:val="20"/>
        </w:trPr>
        <w:tc>
          <w:tcPr>
            <w:tcW w:w="4320" w:type="dxa"/>
            <w:vMerge w:val="restart"/>
            <w:shd w:val="clear" w:color="auto" w:fill="auto"/>
            <w:vAlign w:val="center"/>
          </w:tcPr>
          <w:p w14:paraId="78BFFF34" w14:textId="77777777" w:rsidR="005B00C2" w:rsidRPr="00C779BE" w:rsidRDefault="005B00C2" w:rsidP="0000371F">
            <w:pPr>
              <w:pStyle w:val="TableBodyText"/>
            </w:pPr>
            <w:r w:rsidRPr="00C779BE">
              <w:t xml:space="preserve">% of track segments with performance restrictions </w:t>
            </w:r>
            <w:r w:rsidRPr="00C779BE">
              <w:rPr>
                <w:highlight w:val="yellow"/>
              </w:rPr>
              <w:t>(applicable only for Tier I providers)</w:t>
            </w:r>
          </w:p>
        </w:tc>
        <w:tc>
          <w:tcPr>
            <w:tcW w:w="2354" w:type="dxa"/>
            <w:shd w:val="clear" w:color="auto" w:fill="auto"/>
          </w:tcPr>
          <w:p w14:paraId="78AE6C71" w14:textId="77777777" w:rsidR="005B00C2" w:rsidRPr="00C779BE" w:rsidRDefault="005B00C2" w:rsidP="0000371F">
            <w:pPr>
              <w:pStyle w:val="TableBodyText"/>
            </w:pPr>
            <w:r w:rsidRPr="00C779BE">
              <w:t>Guideway Elements</w:t>
            </w:r>
          </w:p>
        </w:tc>
        <w:tc>
          <w:tcPr>
            <w:tcW w:w="1483" w:type="dxa"/>
            <w:shd w:val="clear" w:color="auto" w:fill="auto"/>
            <w:vAlign w:val="center"/>
          </w:tcPr>
          <w:p w14:paraId="5683234F" w14:textId="77777777" w:rsidR="005B00C2" w:rsidRPr="00C779BE" w:rsidRDefault="005B00C2" w:rsidP="0000371F">
            <w:pPr>
              <w:pStyle w:val="TableBodyText"/>
              <w:jc w:val="center"/>
            </w:pPr>
            <w:r w:rsidRPr="00C779BE">
              <w:t>X</w:t>
            </w:r>
          </w:p>
        </w:tc>
        <w:tc>
          <w:tcPr>
            <w:tcW w:w="1491" w:type="dxa"/>
            <w:shd w:val="clear" w:color="auto" w:fill="auto"/>
            <w:vAlign w:val="center"/>
          </w:tcPr>
          <w:p w14:paraId="7FEE7C11" w14:textId="77777777" w:rsidR="005B00C2" w:rsidRPr="00C779BE" w:rsidRDefault="005B00C2" w:rsidP="0000371F">
            <w:pPr>
              <w:pStyle w:val="TableBodyText"/>
              <w:jc w:val="center"/>
            </w:pPr>
            <w:r w:rsidRPr="00C779BE">
              <w:t>%</w:t>
            </w:r>
          </w:p>
        </w:tc>
      </w:tr>
      <w:tr w:rsidR="005B00C2" w:rsidRPr="00C779BE" w14:paraId="6074FEFC" w14:textId="77777777" w:rsidTr="0008421C">
        <w:trPr>
          <w:trHeight w:val="20"/>
        </w:trPr>
        <w:tc>
          <w:tcPr>
            <w:tcW w:w="4320" w:type="dxa"/>
            <w:vMerge/>
            <w:shd w:val="clear" w:color="auto" w:fill="auto"/>
            <w:vAlign w:val="center"/>
          </w:tcPr>
          <w:p w14:paraId="43C81044" w14:textId="77777777" w:rsidR="005B00C2" w:rsidRPr="00C779BE" w:rsidRDefault="005B00C2" w:rsidP="0000371F">
            <w:pPr>
              <w:pStyle w:val="TableBodyText"/>
            </w:pPr>
          </w:p>
        </w:tc>
        <w:tc>
          <w:tcPr>
            <w:tcW w:w="2354" w:type="dxa"/>
            <w:shd w:val="clear" w:color="auto" w:fill="auto"/>
          </w:tcPr>
          <w:p w14:paraId="6D24E8ED" w14:textId="77777777" w:rsidR="005B00C2" w:rsidRPr="00C779BE" w:rsidRDefault="005B00C2" w:rsidP="0000371F">
            <w:pPr>
              <w:pStyle w:val="TableBodyText"/>
            </w:pPr>
            <w:r w:rsidRPr="00C779BE">
              <w:t>Power &amp; Signal Elements</w:t>
            </w:r>
          </w:p>
        </w:tc>
        <w:tc>
          <w:tcPr>
            <w:tcW w:w="1483" w:type="dxa"/>
            <w:shd w:val="clear" w:color="auto" w:fill="auto"/>
          </w:tcPr>
          <w:p w14:paraId="3C08BF57" w14:textId="77777777" w:rsidR="005B00C2" w:rsidRPr="00C779BE" w:rsidRDefault="005B00C2" w:rsidP="0000371F">
            <w:pPr>
              <w:pStyle w:val="TableBodyText"/>
              <w:jc w:val="center"/>
            </w:pPr>
            <w:r w:rsidRPr="00C779BE">
              <w:t>X</w:t>
            </w:r>
          </w:p>
        </w:tc>
        <w:tc>
          <w:tcPr>
            <w:tcW w:w="1491" w:type="dxa"/>
            <w:shd w:val="clear" w:color="auto" w:fill="auto"/>
            <w:vAlign w:val="center"/>
          </w:tcPr>
          <w:p w14:paraId="36A12E2B" w14:textId="77777777" w:rsidR="005B00C2" w:rsidRPr="00C779BE" w:rsidRDefault="005B00C2" w:rsidP="0000371F">
            <w:pPr>
              <w:pStyle w:val="TableBodyText"/>
              <w:jc w:val="center"/>
            </w:pPr>
            <w:r w:rsidRPr="00C779BE">
              <w:t>%</w:t>
            </w:r>
          </w:p>
        </w:tc>
      </w:tr>
      <w:tr w:rsidR="005B00C2" w:rsidRPr="00C779BE" w14:paraId="35C6577C" w14:textId="77777777" w:rsidTr="0008421C">
        <w:trPr>
          <w:trHeight w:val="20"/>
        </w:trPr>
        <w:tc>
          <w:tcPr>
            <w:tcW w:w="4320" w:type="dxa"/>
            <w:vMerge/>
            <w:shd w:val="clear" w:color="auto" w:fill="auto"/>
            <w:vAlign w:val="center"/>
          </w:tcPr>
          <w:p w14:paraId="036701D0" w14:textId="77777777" w:rsidR="005B00C2" w:rsidRPr="00C779BE" w:rsidRDefault="005B00C2" w:rsidP="0000371F">
            <w:pPr>
              <w:pStyle w:val="TableBodyText"/>
            </w:pPr>
          </w:p>
        </w:tc>
        <w:tc>
          <w:tcPr>
            <w:tcW w:w="2354" w:type="dxa"/>
            <w:shd w:val="clear" w:color="auto" w:fill="auto"/>
          </w:tcPr>
          <w:p w14:paraId="21BD2A22" w14:textId="77777777" w:rsidR="005B00C2" w:rsidRPr="00C779BE" w:rsidRDefault="005B00C2" w:rsidP="0000371F">
            <w:pPr>
              <w:pStyle w:val="TableBodyText"/>
            </w:pPr>
            <w:r w:rsidRPr="00C779BE">
              <w:t>Track Elements</w:t>
            </w:r>
          </w:p>
        </w:tc>
        <w:tc>
          <w:tcPr>
            <w:tcW w:w="1483" w:type="dxa"/>
            <w:shd w:val="clear" w:color="auto" w:fill="auto"/>
          </w:tcPr>
          <w:p w14:paraId="71061C36" w14:textId="77777777" w:rsidR="005B00C2" w:rsidRPr="00C779BE" w:rsidRDefault="005B00C2" w:rsidP="0000371F">
            <w:pPr>
              <w:pStyle w:val="TableBodyText"/>
              <w:jc w:val="center"/>
            </w:pPr>
            <w:r w:rsidRPr="00C779BE">
              <w:t>X</w:t>
            </w:r>
          </w:p>
        </w:tc>
        <w:tc>
          <w:tcPr>
            <w:tcW w:w="1491" w:type="dxa"/>
            <w:shd w:val="clear" w:color="auto" w:fill="auto"/>
            <w:vAlign w:val="center"/>
          </w:tcPr>
          <w:p w14:paraId="127536DC" w14:textId="77777777" w:rsidR="005B00C2" w:rsidRPr="00C779BE" w:rsidRDefault="005B00C2" w:rsidP="0000371F">
            <w:pPr>
              <w:pStyle w:val="TableBodyText"/>
              <w:jc w:val="center"/>
            </w:pPr>
            <w:r w:rsidRPr="00C779BE">
              <w:t>%</w:t>
            </w:r>
          </w:p>
        </w:tc>
      </w:tr>
      <w:tr w:rsidR="005B00C2" w:rsidRPr="00C779BE" w14:paraId="2F843F68" w14:textId="77777777" w:rsidTr="000C0E09">
        <w:tc>
          <w:tcPr>
            <w:tcW w:w="9648" w:type="dxa"/>
            <w:gridSpan w:val="4"/>
            <w:shd w:val="clear" w:color="auto" w:fill="auto"/>
            <w:vAlign w:val="center"/>
          </w:tcPr>
          <w:p w14:paraId="1517076B" w14:textId="77777777" w:rsidR="005B00C2" w:rsidRPr="0000371F" w:rsidRDefault="005B00C2" w:rsidP="0000371F">
            <w:pPr>
              <w:pStyle w:val="TableBodyText"/>
              <w:rPr>
                <w:b/>
                <w:bCs/>
              </w:rPr>
            </w:pPr>
            <w:r w:rsidRPr="0000371F">
              <w:rPr>
                <w:b/>
                <w:bCs/>
              </w:rPr>
              <w:t>Facilities</w:t>
            </w:r>
          </w:p>
        </w:tc>
      </w:tr>
      <w:tr w:rsidR="005B00C2" w:rsidRPr="00C779BE" w14:paraId="0AA41436" w14:textId="77777777" w:rsidTr="0008421C">
        <w:trPr>
          <w:trHeight w:val="144"/>
        </w:trPr>
        <w:tc>
          <w:tcPr>
            <w:tcW w:w="4320" w:type="dxa"/>
            <w:vMerge w:val="restart"/>
            <w:shd w:val="clear" w:color="auto" w:fill="auto"/>
            <w:vAlign w:val="center"/>
          </w:tcPr>
          <w:p w14:paraId="7F8140B5" w14:textId="77777777" w:rsidR="005B00C2" w:rsidRPr="00C779BE" w:rsidRDefault="005B00C2" w:rsidP="0000371F">
            <w:pPr>
              <w:pStyle w:val="TableBodyText"/>
            </w:pPr>
            <w:r w:rsidRPr="00C779BE">
              <w:t>Condition - % of facilities with a condition rating below 3.0 on the FTA Transit Economic Requirements Model (TERM) Scale</w:t>
            </w:r>
          </w:p>
        </w:tc>
        <w:tc>
          <w:tcPr>
            <w:tcW w:w="2354" w:type="dxa"/>
            <w:shd w:val="clear" w:color="auto" w:fill="auto"/>
          </w:tcPr>
          <w:p w14:paraId="1C9C6E58" w14:textId="77777777" w:rsidR="005B00C2" w:rsidRPr="00C779BE" w:rsidRDefault="005B00C2" w:rsidP="0000371F">
            <w:pPr>
              <w:pStyle w:val="TableBodyText"/>
            </w:pPr>
            <w:r w:rsidRPr="00C779BE">
              <w:t>Administration</w:t>
            </w:r>
          </w:p>
        </w:tc>
        <w:tc>
          <w:tcPr>
            <w:tcW w:w="1483" w:type="dxa"/>
            <w:shd w:val="clear" w:color="auto" w:fill="auto"/>
            <w:vAlign w:val="center"/>
          </w:tcPr>
          <w:p w14:paraId="3841F2EC" w14:textId="77777777" w:rsidR="005B00C2" w:rsidRPr="00C779BE" w:rsidRDefault="005B00C2" w:rsidP="0000371F">
            <w:pPr>
              <w:pStyle w:val="TableBodyText"/>
              <w:jc w:val="center"/>
            </w:pPr>
            <w:r w:rsidRPr="00C779BE">
              <w:t>n/a</w:t>
            </w:r>
          </w:p>
        </w:tc>
        <w:tc>
          <w:tcPr>
            <w:tcW w:w="1491" w:type="dxa"/>
            <w:shd w:val="clear" w:color="auto" w:fill="auto"/>
          </w:tcPr>
          <w:p w14:paraId="5511101D" w14:textId="77777777" w:rsidR="005B00C2" w:rsidRPr="00C779BE" w:rsidRDefault="005B00C2" w:rsidP="0000371F">
            <w:pPr>
              <w:pStyle w:val="TableBodyText"/>
              <w:jc w:val="center"/>
            </w:pPr>
            <w:r w:rsidRPr="00C779BE">
              <w:t>%</w:t>
            </w:r>
          </w:p>
        </w:tc>
      </w:tr>
      <w:tr w:rsidR="005B00C2" w:rsidRPr="00C779BE" w14:paraId="75489B5A" w14:textId="77777777" w:rsidTr="0008421C">
        <w:trPr>
          <w:trHeight w:val="144"/>
        </w:trPr>
        <w:tc>
          <w:tcPr>
            <w:tcW w:w="4320" w:type="dxa"/>
            <w:vMerge/>
            <w:shd w:val="clear" w:color="auto" w:fill="auto"/>
            <w:vAlign w:val="center"/>
          </w:tcPr>
          <w:p w14:paraId="53A80FC4" w14:textId="77777777" w:rsidR="005B00C2" w:rsidRPr="00C779BE" w:rsidRDefault="005B00C2" w:rsidP="0000371F">
            <w:pPr>
              <w:pStyle w:val="TableBodyText"/>
            </w:pPr>
          </w:p>
        </w:tc>
        <w:tc>
          <w:tcPr>
            <w:tcW w:w="2354" w:type="dxa"/>
            <w:shd w:val="clear" w:color="auto" w:fill="auto"/>
          </w:tcPr>
          <w:p w14:paraId="7171BC39" w14:textId="77777777" w:rsidR="005B00C2" w:rsidRPr="00C779BE" w:rsidRDefault="005B00C2" w:rsidP="0000371F">
            <w:pPr>
              <w:pStyle w:val="TableBodyText"/>
            </w:pPr>
            <w:r w:rsidRPr="00C779BE">
              <w:t>Maintenance</w:t>
            </w:r>
          </w:p>
        </w:tc>
        <w:tc>
          <w:tcPr>
            <w:tcW w:w="1483" w:type="dxa"/>
            <w:shd w:val="clear" w:color="auto" w:fill="auto"/>
          </w:tcPr>
          <w:p w14:paraId="334ED7BC" w14:textId="77777777" w:rsidR="005B00C2" w:rsidRPr="00C779BE" w:rsidRDefault="005B00C2" w:rsidP="0000371F">
            <w:pPr>
              <w:pStyle w:val="TableBodyText"/>
              <w:jc w:val="center"/>
            </w:pPr>
            <w:r w:rsidRPr="00C779BE">
              <w:t>n/a</w:t>
            </w:r>
          </w:p>
        </w:tc>
        <w:tc>
          <w:tcPr>
            <w:tcW w:w="1491" w:type="dxa"/>
            <w:shd w:val="clear" w:color="auto" w:fill="auto"/>
          </w:tcPr>
          <w:p w14:paraId="72B7190A" w14:textId="77777777" w:rsidR="005B00C2" w:rsidRPr="00C779BE" w:rsidRDefault="005B00C2" w:rsidP="0000371F">
            <w:pPr>
              <w:pStyle w:val="TableBodyText"/>
              <w:jc w:val="center"/>
            </w:pPr>
            <w:r w:rsidRPr="00C779BE">
              <w:t>%</w:t>
            </w:r>
          </w:p>
        </w:tc>
      </w:tr>
      <w:tr w:rsidR="005B00C2" w:rsidRPr="00C779BE" w14:paraId="57E40CD0" w14:textId="77777777" w:rsidTr="0008421C">
        <w:trPr>
          <w:trHeight w:val="144"/>
        </w:trPr>
        <w:tc>
          <w:tcPr>
            <w:tcW w:w="4320" w:type="dxa"/>
            <w:vMerge/>
            <w:shd w:val="clear" w:color="auto" w:fill="auto"/>
            <w:vAlign w:val="center"/>
          </w:tcPr>
          <w:p w14:paraId="7D7CBC4F" w14:textId="77777777" w:rsidR="005B00C2" w:rsidRPr="00C779BE" w:rsidRDefault="005B00C2" w:rsidP="0000371F">
            <w:pPr>
              <w:pStyle w:val="TableBodyText"/>
            </w:pPr>
          </w:p>
        </w:tc>
        <w:tc>
          <w:tcPr>
            <w:tcW w:w="2354" w:type="dxa"/>
            <w:shd w:val="clear" w:color="auto" w:fill="auto"/>
          </w:tcPr>
          <w:p w14:paraId="35512334" w14:textId="77777777" w:rsidR="005B00C2" w:rsidRPr="00C779BE" w:rsidRDefault="005B00C2" w:rsidP="0000371F">
            <w:pPr>
              <w:pStyle w:val="TableBodyText"/>
            </w:pPr>
            <w:r w:rsidRPr="00C779BE">
              <w:t>Parking Structures</w:t>
            </w:r>
          </w:p>
        </w:tc>
        <w:tc>
          <w:tcPr>
            <w:tcW w:w="1483" w:type="dxa"/>
            <w:shd w:val="clear" w:color="auto" w:fill="auto"/>
          </w:tcPr>
          <w:p w14:paraId="04C04927" w14:textId="77777777" w:rsidR="005B00C2" w:rsidRPr="00C779BE" w:rsidRDefault="005B00C2" w:rsidP="0000371F">
            <w:pPr>
              <w:pStyle w:val="TableBodyText"/>
              <w:jc w:val="center"/>
            </w:pPr>
            <w:r w:rsidRPr="00C779BE">
              <w:t>n/a</w:t>
            </w:r>
          </w:p>
        </w:tc>
        <w:tc>
          <w:tcPr>
            <w:tcW w:w="1491" w:type="dxa"/>
            <w:shd w:val="clear" w:color="auto" w:fill="auto"/>
          </w:tcPr>
          <w:p w14:paraId="5FC306AD" w14:textId="77777777" w:rsidR="005B00C2" w:rsidRPr="00C779BE" w:rsidRDefault="005B00C2" w:rsidP="0000371F">
            <w:pPr>
              <w:pStyle w:val="TableBodyText"/>
              <w:jc w:val="center"/>
            </w:pPr>
            <w:r w:rsidRPr="00C779BE">
              <w:t>%</w:t>
            </w:r>
          </w:p>
        </w:tc>
      </w:tr>
      <w:tr w:rsidR="005B00C2" w:rsidRPr="00C779BE" w14:paraId="3356E3D1" w14:textId="77777777" w:rsidTr="0008421C">
        <w:trPr>
          <w:trHeight w:val="144"/>
        </w:trPr>
        <w:tc>
          <w:tcPr>
            <w:tcW w:w="4320" w:type="dxa"/>
            <w:vMerge/>
            <w:shd w:val="clear" w:color="auto" w:fill="auto"/>
            <w:vAlign w:val="center"/>
          </w:tcPr>
          <w:p w14:paraId="62CC6BF7" w14:textId="77777777" w:rsidR="005B00C2" w:rsidRPr="00C779BE" w:rsidRDefault="005B00C2" w:rsidP="0000371F">
            <w:pPr>
              <w:pStyle w:val="TableBodyText"/>
            </w:pPr>
          </w:p>
        </w:tc>
        <w:tc>
          <w:tcPr>
            <w:tcW w:w="2354" w:type="dxa"/>
            <w:shd w:val="clear" w:color="auto" w:fill="auto"/>
          </w:tcPr>
          <w:p w14:paraId="5756CBDB" w14:textId="77777777" w:rsidR="005B00C2" w:rsidRPr="00C779BE" w:rsidRDefault="005B00C2" w:rsidP="0000371F">
            <w:pPr>
              <w:pStyle w:val="TableBodyText"/>
            </w:pPr>
            <w:r w:rsidRPr="00C779BE">
              <w:t>Passenger Facilities</w:t>
            </w:r>
          </w:p>
        </w:tc>
        <w:tc>
          <w:tcPr>
            <w:tcW w:w="1483" w:type="dxa"/>
            <w:shd w:val="clear" w:color="auto" w:fill="auto"/>
          </w:tcPr>
          <w:p w14:paraId="37D76454" w14:textId="77777777" w:rsidR="005B00C2" w:rsidRPr="00C779BE" w:rsidRDefault="005B00C2" w:rsidP="0000371F">
            <w:pPr>
              <w:pStyle w:val="TableBodyText"/>
              <w:jc w:val="center"/>
            </w:pPr>
            <w:r w:rsidRPr="00C779BE">
              <w:t>n/a</w:t>
            </w:r>
          </w:p>
        </w:tc>
        <w:tc>
          <w:tcPr>
            <w:tcW w:w="1491" w:type="dxa"/>
            <w:shd w:val="clear" w:color="auto" w:fill="auto"/>
          </w:tcPr>
          <w:p w14:paraId="5D30C733" w14:textId="77777777" w:rsidR="005B00C2" w:rsidRPr="00C779BE" w:rsidRDefault="005B00C2" w:rsidP="0000371F">
            <w:pPr>
              <w:pStyle w:val="TableBodyText"/>
              <w:jc w:val="center"/>
            </w:pPr>
            <w:r w:rsidRPr="00C779BE">
              <w:t>%</w:t>
            </w:r>
          </w:p>
        </w:tc>
      </w:tr>
      <w:tr w:rsidR="005B00C2" w:rsidRPr="00C779BE" w14:paraId="317BAB01" w14:textId="77777777" w:rsidTr="0008421C">
        <w:trPr>
          <w:trHeight w:val="144"/>
        </w:trPr>
        <w:tc>
          <w:tcPr>
            <w:tcW w:w="4320" w:type="dxa"/>
            <w:vMerge/>
            <w:shd w:val="clear" w:color="auto" w:fill="auto"/>
            <w:vAlign w:val="center"/>
          </w:tcPr>
          <w:p w14:paraId="276E9F2C" w14:textId="77777777" w:rsidR="005B00C2" w:rsidRPr="00C779BE" w:rsidRDefault="005B00C2" w:rsidP="0000371F">
            <w:pPr>
              <w:pStyle w:val="TableBodyText"/>
            </w:pPr>
          </w:p>
        </w:tc>
        <w:tc>
          <w:tcPr>
            <w:tcW w:w="2354" w:type="dxa"/>
            <w:shd w:val="clear" w:color="auto" w:fill="auto"/>
          </w:tcPr>
          <w:p w14:paraId="59DD1115" w14:textId="77777777" w:rsidR="005B00C2" w:rsidRPr="00C779BE" w:rsidRDefault="005B00C2" w:rsidP="0000371F">
            <w:pPr>
              <w:pStyle w:val="TableBodyText"/>
            </w:pPr>
            <w:r w:rsidRPr="00C779BE">
              <w:t>Shelter</w:t>
            </w:r>
          </w:p>
        </w:tc>
        <w:tc>
          <w:tcPr>
            <w:tcW w:w="1483" w:type="dxa"/>
            <w:shd w:val="clear" w:color="auto" w:fill="auto"/>
          </w:tcPr>
          <w:p w14:paraId="10E53204" w14:textId="77777777" w:rsidR="005B00C2" w:rsidRPr="00C779BE" w:rsidRDefault="005B00C2" w:rsidP="0000371F">
            <w:pPr>
              <w:pStyle w:val="TableBodyText"/>
              <w:jc w:val="center"/>
            </w:pPr>
            <w:r w:rsidRPr="00C779BE">
              <w:t>n/a</w:t>
            </w:r>
          </w:p>
        </w:tc>
        <w:tc>
          <w:tcPr>
            <w:tcW w:w="1491" w:type="dxa"/>
            <w:shd w:val="clear" w:color="auto" w:fill="auto"/>
          </w:tcPr>
          <w:p w14:paraId="43BC7FB2" w14:textId="77777777" w:rsidR="005B00C2" w:rsidRPr="00C779BE" w:rsidRDefault="005B00C2" w:rsidP="0000371F">
            <w:pPr>
              <w:pStyle w:val="TableBodyText"/>
              <w:jc w:val="center"/>
            </w:pPr>
            <w:r w:rsidRPr="00C779BE">
              <w:t>%</w:t>
            </w:r>
          </w:p>
        </w:tc>
      </w:tr>
      <w:tr w:rsidR="005B00C2" w:rsidRPr="00C779BE" w14:paraId="0A444174" w14:textId="77777777" w:rsidTr="0008421C">
        <w:trPr>
          <w:trHeight w:val="144"/>
        </w:trPr>
        <w:tc>
          <w:tcPr>
            <w:tcW w:w="4320" w:type="dxa"/>
            <w:vMerge/>
            <w:shd w:val="clear" w:color="auto" w:fill="auto"/>
            <w:vAlign w:val="center"/>
          </w:tcPr>
          <w:p w14:paraId="705C08F2" w14:textId="77777777" w:rsidR="005B00C2" w:rsidRPr="00C779BE" w:rsidRDefault="005B00C2" w:rsidP="0000371F">
            <w:pPr>
              <w:pStyle w:val="TableBodyText"/>
            </w:pPr>
          </w:p>
        </w:tc>
        <w:tc>
          <w:tcPr>
            <w:tcW w:w="2354" w:type="dxa"/>
            <w:shd w:val="clear" w:color="auto" w:fill="auto"/>
          </w:tcPr>
          <w:p w14:paraId="15D025FA" w14:textId="77777777" w:rsidR="005B00C2" w:rsidRPr="00C779BE" w:rsidRDefault="005B00C2" w:rsidP="0000371F">
            <w:pPr>
              <w:pStyle w:val="TableBodyText"/>
            </w:pPr>
            <w:r w:rsidRPr="00C779BE">
              <w:t>Storage</w:t>
            </w:r>
          </w:p>
        </w:tc>
        <w:tc>
          <w:tcPr>
            <w:tcW w:w="1483" w:type="dxa"/>
            <w:shd w:val="clear" w:color="auto" w:fill="auto"/>
          </w:tcPr>
          <w:p w14:paraId="6D4D973F" w14:textId="77777777" w:rsidR="005B00C2" w:rsidRPr="00C779BE" w:rsidRDefault="005B00C2" w:rsidP="0000371F">
            <w:pPr>
              <w:pStyle w:val="TableBodyText"/>
              <w:jc w:val="center"/>
            </w:pPr>
            <w:r w:rsidRPr="00C779BE">
              <w:t>n/a</w:t>
            </w:r>
          </w:p>
        </w:tc>
        <w:tc>
          <w:tcPr>
            <w:tcW w:w="1491" w:type="dxa"/>
            <w:shd w:val="clear" w:color="auto" w:fill="auto"/>
          </w:tcPr>
          <w:p w14:paraId="54B04B44" w14:textId="77777777" w:rsidR="005B00C2" w:rsidRPr="00C779BE" w:rsidRDefault="005B00C2" w:rsidP="0000371F">
            <w:pPr>
              <w:pStyle w:val="TableBodyText"/>
              <w:jc w:val="center"/>
            </w:pPr>
            <w:r w:rsidRPr="00C779BE">
              <w:t>%</w:t>
            </w:r>
          </w:p>
        </w:tc>
      </w:tr>
      <w:tr w:rsidR="005B00C2" w:rsidRPr="00C779BE" w14:paraId="2F324EAF" w14:textId="77777777" w:rsidTr="0008421C">
        <w:trPr>
          <w:trHeight w:val="144"/>
        </w:trPr>
        <w:tc>
          <w:tcPr>
            <w:tcW w:w="4320" w:type="dxa"/>
            <w:vMerge/>
            <w:shd w:val="clear" w:color="auto" w:fill="auto"/>
            <w:vAlign w:val="center"/>
          </w:tcPr>
          <w:p w14:paraId="778FB922" w14:textId="77777777" w:rsidR="005B00C2" w:rsidRPr="00C779BE" w:rsidRDefault="005B00C2" w:rsidP="0000371F">
            <w:pPr>
              <w:pStyle w:val="TableBodyText"/>
            </w:pPr>
          </w:p>
        </w:tc>
        <w:tc>
          <w:tcPr>
            <w:tcW w:w="2354" w:type="dxa"/>
            <w:shd w:val="clear" w:color="auto" w:fill="auto"/>
          </w:tcPr>
          <w:p w14:paraId="5FBE3DD1" w14:textId="77777777" w:rsidR="005B00C2" w:rsidRPr="00C779BE" w:rsidRDefault="005B00C2" w:rsidP="0000371F">
            <w:pPr>
              <w:pStyle w:val="TableBodyText"/>
            </w:pPr>
            <w:r w:rsidRPr="00C779BE">
              <w:t>Etc.</w:t>
            </w:r>
          </w:p>
        </w:tc>
        <w:tc>
          <w:tcPr>
            <w:tcW w:w="1483" w:type="dxa"/>
            <w:shd w:val="clear" w:color="auto" w:fill="auto"/>
          </w:tcPr>
          <w:p w14:paraId="20566D7E" w14:textId="77777777" w:rsidR="005B00C2" w:rsidRPr="00C779BE" w:rsidRDefault="005B00C2" w:rsidP="0000371F">
            <w:pPr>
              <w:pStyle w:val="TableBodyText"/>
              <w:jc w:val="center"/>
            </w:pPr>
            <w:r w:rsidRPr="00C779BE">
              <w:t>n/a</w:t>
            </w:r>
          </w:p>
        </w:tc>
        <w:tc>
          <w:tcPr>
            <w:tcW w:w="1491" w:type="dxa"/>
            <w:shd w:val="clear" w:color="auto" w:fill="auto"/>
            <w:vAlign w:val="center"/>
          </w:tcPr>
          <w:p w14:paraId="2EB34A33" w14:textId="77777777" w:rsidR="005B00C2" w:rsidRPr="00C779BE" w:rsidRDefault="005B00C2" w:rsidP="0000371F">
            <w:pPr>
              <w:pStyle w:val="TableBodyText"/>
              <w:jc w:val="center"/>
            </w:pPr>
            <w:r w:rsidRPr="00C779BE">
              <w:t>%</w:t>
            </w:r>
          </w:p>
        </w:tc>
      </w:tr>
    </w:tbl>
    <w:p w14:paraId="38016658" w14:textId="77777777" w:rsidR="005B00C2" w:rsidRDefault="005B00C2" w:rsidP="005B00C2">
      <w:pPr>
        <w:tabs>
          <w:tab w:val="left" w:pos="2250"/>
        </w:tabs>
        <w:rPr>
          <w:rFonts w:cs="Calibri"/>
          <w:bCs/>
          <w:color w:val="000000"/>
          <w:kern w:val="36"/>
          <w:szCs w:val="24"/>
        </w:rPr>
      </w:pPr>
    </w:p>
    <w:p w14:paraId="28BFFE7C" w14:textId="3754BFE9" w:rsidR="005B00C2" w:rsidRDefault="005B00C2" w:rsidP="005B00C2">
      <w:pPr>
        <w:tabs>
          <w:tab w:val="left" w:pos="2250"/>
        </w:tabs>
        <w:rPr>
          <w:rFonts w:cs="Calibri"/>
          <w:bCs/>
          <w:color w:val="000000"/>
          <w:kern w:val="36"/>
          <w:szCs w:val="24"/>
        </w:rPr>
      </w:pPr>
      <w:r>
        <w:rPr>
          <w:rFonts w:cs="Calibri"/>
          <w:bCs/>
          <w:color w:val="000000"/>
          <w:kern w:val="36"/>
          <w:szCs w:val="24"/>
        </w:rPr>
        <w:t xml:space="preserve">The MPO’s TAM targets reflect the targets established by </w:t>
      </w:r>
      <w:r w:rsidRPr="008450A2">
        <w:rPr>
          <w:rFonts w:cs="Calibri"/>
          <w:bCs/>
          <w:color w:val="000000"/>
          <w:kern w:val="36"/>
          <w:szCs w:val="24"/>
          <w:highlight w:val="yellow"/>
        </w:rPr>
        <w:t xml:space="preserve">list names of individual transit </w:t>
      </w:r>
      <w:r w:rsidRPr="005A4B08">
        <w:rPr>
          <w:rFonts w:cs="Calibri"/>
          <w:bCs/>
          <w:color w:val="000000"/>
          <w:kern w:val="36"/>
          <w:szCs w:val="24"/>
          <w:highlight w:val="yellow"/>
        </w:rPr>
        <w:t xml:space="preserve">providers(s) and/or </w:t>
      </w:r>
      <w:r>
        <w:rPr>
          <w:rFonts w:cs="Calibri"/>
          <w:bCs/>
          <w:color w:val="000000"/>
          <w:kern w:val="36"/>
          <w:szCs w:val="24"/>
          <w:highlight w:val="yellow"/>
        </w:rPr>
        <w:t xml:space="preserve">contained in the FDOT </w:t>
      </w:r>
      <w:r w:rsidRPr="005A4B08">
        <w:rPr>
          <w:rFonts w:cs="Calibri"/>
          <w:bCs/>
          <w:color w:val="000000"/>
          <w:kern w:val="36"/>
          <w:szCs w:val="24"/>
          <w:highlight w:val="yellow"/>
        </w:rPr>
        <w:t>Group TAM Plan</w:t>
      </w:r>
      <w:r>
        <w:rPr>
          <w:rFonts w:cs="Calibri"/>
          <w:bCs/>
          <w:color w:val="000000"/>
          <w:kern w:val="36"/>
          <w:szCs w:val="24"/>
        </w:rPr>
        <w:t>. In establishing the MPO’s TAM targets, [</w:t>
      </w:r>
      <w:r w:rsidRPr="007E16DA">
        <w:rPr>
          <w:rFonts w:cs="Calibri"/>
          <w:kern w:val="28"/>
          <w:szCs w:val="24"/>
          <w:highlight w:val="yellow"/>
        </w:rPr>
        <w:t>insert MPO name</w:t>
      </w:r>
      <w:r w:rsidRPr="007E16DA">
        <w:rPr>
          <w:rFonts w:cs="Calibri"/>
          <w:kern w:val="28"/>
          <w:szCs w:val="24"/>
        </w:rPr>
        <w:t>]</w:t>
      </w:r>
      <w:r>
        <w:rPr>
          <w:rFonts w:cs="Calibri"/>
          <w:bCs/>
          <w:color w:val="000000"/>
          <w:kern w:val="36"/>
          <w:szCs w:val="24"/>
        </w:rPr>
        <w:t xml:space="preserve"> considered several factors</w:t>
      </w:r>
      <w:r w:rsidR="002A29E3">
        <w:rPr>
          <w:rFonts w:cs="Calibri"/>
          <w:bCs/>
          <w:color w:val="000000"/>
          <w:kern w:val="36"/>
          <w:szCs w:val="24"/>
        </w:rPr>
        <w:t xml:space="preserve">. </w:t>
      </w:r>
      <w:r>
        <w:rPr>
          <w:rFonts w:cs="Calibri"/>
          <w:bCs/>
          <w:color w:val="000000"/>
          <w:kern w:val="36"/>
          <w:szCs w:val="24"/>
          <w:highlight w:val="yellow"/>
        </w:rPr>
        <w:t>Include</w:t>
      </w:r>
      <w:r w:rsidRPr="009A48E5">
        <w:rPr>
          <w:rFonts w:cs="Calibri"/>
          <w:bCs/>
          <w:color w:val="000000"/>
          <w:kern w:val="36"/>
          <w:szCs w:val="24"/>
          <w:highlight w:val="yellow"/>
        </w:rPr>
        <w:t xml:space="preserve"> discussion of how the MPO established regional targets </w:t>
      </w:r>
      <w:r>
        <w:rPr>
          <w:rFonts w:cs="Calibri"/>
          <w:bCs/>
          <w:color w:val="000000"/>
          <w:kern w:val="36"/>
          <w:szCs w:val="24"/>
          <w:highlight w:val="yellow"/>
        </w:rPr>
        <w:t xml:space="preserve">based on </w:t>
      </w:r>
      <w:r w:rsidRPr="009A48E5">
        <w:rPr>
          <w:rFonts w:cs="Calibri"/>
          <w:bCs/>
          <w:color w:val="000000"/>
          <w:kern w:val="36"/>
          <w:szCs w:val="24"/>
          <w:highlight w:val="yellow"/>
        </w:rPr>
        <w:t xml:space="preserve">the individual provider </w:t>
      </w:r>
      <w:r>
        <w:rPr>
          <w:rFonts w:cs="Calibri"/>
          <w:bCs/>
          <w:color w:val="000000"/>
          <w:kern w:val="36"/>
          <w:szCs w:val="24"/>
          <w:highlight w:val="yellow"/>
        </w:rPr>
        <w:t xml:space="preserve">and/or Group TAM Plan </w:t>
      </w:r>
      <w:r w:rsidRPr="009A48E5">
        <w:rPr>
          <w:rFonts w:cs="Calibri"/>
          <w:bCs/>
          <w:color w:val="000000"/>
          <w:kern w:val="36"/>
          <w:szCs w:val="24"/>
          <w:highlight w:val="yellow"/>
        </w:rPr>
        <w:t xml:space="preserve">targets; for example, </w:t>
      </w:r>
      <w:r>
        <w:rPr>
          <w:rFonts w:cs="Calibri"/>
          <w:bCs/>
          <w:color w:val="000000"/>
          <w:kern w:val="36"/>
          <w:szCs w:val="24"/>
          <w:highlight w:val="yellow"/>
        </w:rPr>
        <w:t xml:space="preserve">if there are multiple providers </w:t>
      </w:r>
      <w:r w:rsidRPr="009A48E5">
        <w:rPr>
          <w:rFonts w:cs="Calibri"/>
          <w:bCs/>
          <w:color w:val="000000"/>
          <w:kern w:val="36"/>
          <w:szCs w:val="24"/>
          <w:highlight w:val="yellow"/>
        </w:rPr>
        <w:t>did the MPO weight targets by the relative size of each transit provider’s assets?</w:t>
      </w:r>
      <w:r>
        <w:rPr>
          <w:rFonts w:cs="Calibri"/>
          <w:bCs/>
          <w:color w:val="000000"/>
          <w:kern w:val="36"/>
          <w:szCs w:val="24"/>
        </w:rPr>
        <w:t xml:space="preserve"> </w:t>
      </w:r>
    </w:p>
    <w:p w14:paraId="68929D95" w14:textId="15A8B706" w:rsidR="005B00C2" w:rsidRDefault="005B00C2" w:rsidP="005B00C2">
      <w:pPr>
        <w:rPr>
          <w:rFonts w:cs="Calibri"/>
          <w:bCs/>
          <w:color w:val="000000"/>
          <w:kern w:val="36"/>
          <w:szCs w:val="24"/>
        </w:rPr>
      </w:pPr>
      <w:r w:rsidRPr="00904649">
        <w:rPr>
          <w:rFonts w:cs="Calibri"/>
          <w:bCs/>
          <w:color w:val="000000"/>
          <w:kern w:val="36"/>
          <w:szCs w:val="24"/>
          <w:highlight w:val="yellow"/>
        </w:rPr>
        <w:t>[</w:t>
      </w:r>
      <w:r>
        <w:rPr>
          <w:rFonts w:cs="Calibri"/>
          <w:bCs/>
          <w:color w:val="000000"/>
          <w:kern w:val="36"/>
          <w:szCs w:val="24"/>
          <w:highlight w:val="yellow"/>
        </w:rPr>
        <w:t>END OF OPTION B</w:t>
      </w:r>
      <w:r w:rsidRPr="00904649">
        <w:rPr>
          <w:rFonts w:cs="Calibri"/>
          <w:bCs/>
          <w:color w:val="000000"/>
          <w:kern w:val="36"/>
          <w:szCs w:val="24"/>
          <w:highlight w:val="yellow"/>
        </w:rPr>
        <w:t xml:space="preserve">. Continue </w:t>
      </w:r>
      <w:r>
        <w:rPr>
          <w:rFonts w:cs="Calibri"/>
          <w:bCs/>
          <w:color w:val="000000"/>
          <w:kern w:val="36"/>
          <w:szCs w:val="24"/>
          <w:highlight w:val="yellow"/>
        </w:rPr>
        <w:t xml:space="preserve">below at </w:t>
      </w:r>
      <w:r w:rsidRPr="00904649">
        <w:rPr>
          <w:rFonts w:cs="Calibri"/>
          <w:bCs/>
          <w:color w:val="000000"/>
          <w:kern w:val="36"/>
          <w:szCs w:val="24"/>
          <w:highlight w:val="yellow"/>
        </w:rPr>
        <w:t>“</w:t>
      </w:r>
      <w:r>
        <w:rPr>
          <w:rFonts w:cs="Calibri"/>
          <w:bCs/>
          <w:color w:val="000000"/>
          <w:kern w:val="36"/>
          <w:szCs w:val="24"/>
          <w:highlight w:val="yellow"/>
        </w:rPr>
        <w:t>6</w:t>
      </w:r>
      <w:r w:rsidRPr="00904649">
        <w:rPr>
          <w:rFonts w:cs="Calibri"/>
          <w:bCs/>
          <w:color w:val="000000"/>
          <w:kern w:val="36"/>
          <w:szCs w:val="24"/>
          <w:highlight w:val="yellow"/>
        </w:rPr>
        <w:t>.</w:t>
      </w:r>
      <w:r>
        <w:rPr>
          <w:rFonts w:cs="Calibri"/>
          <w:bCs/>
          <w:color w:val="000000"/>
          <w:kern w:val="36"/>
          <w:szCs w:val="24"/>
          <w:highlight w:val="yellow"/>
        </w:rPr>
        <w:t>3</w:t>
      </w:r>
      <w:r w:rsidRPr="00904649">
        <w:rPr>
          <w:rFonts w:cs="Calibri"/>
          <w:bCs/>
          <w:color w:val="000000"/>
          <w:kern w:val="36"/>
          <w:szCs w:val="24"/>
          <w:highlight w:val="yellow"/>
        </w:rPr>
        <w:t xml:space="preserve"> </w:t>
      </w:r>
      <w:r>
        <w:rPr>
          <w:rFonts w:cs="Calibri"/>
          <w:bCs/>
          <w:color w:val="000000"/>
          <w:kern w:val="36"/>
          <w:szCs w:val="24"/>
          <w:highlight w:val="yellow"/>
        </w:rPr>
        <w:t xml:space="preserve">Transit Asset Management Investments </w:t>
      </w:r>
      <w:r w:rsidRPr="00904649">
        <w:rPr>
          <w:rFonts w:cs="Calibri"/>
          <w:bCs/>
          <w:color w:val="000000"/>
          <w:kern w:val="36"/>
          <w:szCs w:val="24"/>
          <w:highlight w:val="yellow"/>
        </w:rPr>
        <w:t xml:space="preserve">in the </w:t>
      </w:r>
      <w:r>
        <w:rPr>
          <w:rFonts w:cs="Calibri"/>
          <w:bCs/>
          <w:color w:val="000000"/>
          <w:kern w:val="36"/>
          <w:szCs w:val="24"/>
          <w:highlight w:val="yellow"/>
        </w:rPr>
        <w:t>TIP</w:t>
      </w:r>
      <w:r w:rsidR="002A29E3" w:rsidRPr="00904649">
        <w:rPr>
          <w:rFonts w:cs="Calibri"/>
          <w:bCs/>
          <w:color w:val="000000"/>
          <w:kern w:val="36"/>
          <w:szCs w:val="24"/>
          <w:highlight w:val="yellow"/>
        </w:rPr>
        <w:t>.”</w:t>
      </w:r>
      <w:r w:rsidRPr="00904649">
        <w:rPr>
          <w:rFonts w:cs="Calibri"/>
          <w:bCs/>
          <w:color w:val="000000"/>
          <w:kern w:val="36"/>
          <w:szCs w:val="24"/>
          <w:highlight w:val="yellow"/>
        </w:rPr>
        <w:t>]</w:t>
      </w:r>
    </w:p>
    <w:p w14:paraId="5BB4425B" w14:textId="7D2DAE80" w:rsidR="005B00C2" w:rsidRPr="006350FE" w:rsidRDefault="005B00C2" w:rsidP="005B00C2">
      <w:pPr>
        <w:pStyle w:val="Heading2"/>
        <w:keepLines/>
        <w:spacing w:before="0"/>
      </w:pPr>
      <w:bookmarkStart w:id="37" w:name="_Toc97743209"/>
      <w:bookmarkStart w:id="38" w:name="_Toc126264206"/>
      <w:r w:rsidRPr="006350FE">
        <w:t xml:space="preserve">6.3 Transit Asset Management </w:t>
      </w:r>
      <w:r>
        <w:t xml:space="preserve">Investments </w:t>
      </w:r>
      <w:r w:rsidRPr="006350FE">
        <w:t>in the TIP</w:t>
      </w:r>
      <w:bookmarkEnd w:id="37"/>
      <w:bookmarkEnd w:id="38"/>
    </w:p>
    <w:p w14:paraId="2D62861C" w14:textId="1C3DC693" w:rsidR="005B00C2" w:rsidRDefault="005B00C2" w:rsidP="005B00C2">
      <w:pPr>
        <w:tabs>
          <w:tab w:val="left" w:pos="2250"/>
        </w:tabs>
        <w:rPr>
          <w:rFonts w:cs="Calibri"/>
          <w:bCs/>
          <w:color w:val="000000"/>
          <w:kern w:val="36"/>
          <w:szCs w:val="24"/>
        </w:rPr>
      </w:pPr>
      <w:r w:rsidRPr="007E16DA">
        <w:rPr>
          <w:rFonts w:cs="Calibri"/>
          <w:bCs/>
          <w:color w:val="000000"/>
          <w:kern w:val="36"/>
          <w:szCs w:val="24"/>
        </w:rPr>
        <w:t>The [</w:t>
      </w:r>
      <w:r w:rsidRPr="007E16DA">
        <w:rPr>
          <w:rFonts w:cs="Calibri"/>
          <w:bCs/>
          <w:color w:val="000000"/>
          <w:kern w:val="36"/>
          <w:szCs w:val="24"/>
          <w:highlight w:val="yellow"/>
        </w:rPr>
        <w:t>insert MPO name</w:t>
      </w:r>
      <w:r w:rsidRPr="007E16DA">
        <w:rPr>
          <w:rFonts w:cs="Calibri"/>
          <w:bCs/>
          <w:color w:val="000000"/>
          <w:kern w:val="36"/>
          <w:szCs w:val="24"/>
        </w:rPr>
        <w:t>] TIP was developed and is managed in cooperation with [</w:t>
      </w:r>
      <w:r w:rsidRPr="007E16DA">
        <w:rPr>
          <w:rFonts w:cs="Calibri"/>
          <w:bCs/>
          <w:color w:val="000000"/>
          <w:kern w:val="36"/>
          <w:szCs w:val="24"/>
          <w:highlight w:val="yellow"/>
        </w:rPr>
        <w:t>insert name(s) of public transportation providers(s)</w:t>
      </w:r>
      <w:r w:rsidRPr="007E16DA">
        <w:rPr>
          <w:rFonts w:cs="Calibri"/>
          <w:bCs/>
          <w:color w:val="000000"/>
          <w:kern w:val="36"/>
          <w:szCs w:val="24"/>
        </w:rPr>
        <w:t>]</w:t>
      </w:r>
      <w:r w:rsidR="002A29E3">
        <w:rPr>
          <w:rFonts w:cs="Calibri"/>
          <w:bCs/>
          <w:color w:val="000000"/>
          <w:kern w:val="36"/>
          <w:szCs w:val="24"/>
        </w:rPr>
        <w:t xml:space="preserve">. </w:t>
      </w:r>
      <w:r w:rsidRPr="007E16DA">
        <w:rPr>
          <w:rFonts w:cs="Calibri"/>
          <w:bCs/>
          <w:color w:val="000000"/>
          <w:kern w:val="36"/>
          <w:szCs w:val="24"/>
        </w:rPr>
        <w:t>It reflects the investment priorities established in the [</w:t>
      </w:r>
      <w:r w:rsidRPr="007E16DA">
        <w:rPr>
          <w:rFonts w:cs="Calibri"/>
          <w:bCs/>
          <w:color w:val="000000"/>
          <w:kern w:val="36"/>
          <w:szCs w:val="24"/>
          <w:highlight w:val="yellow"/>
        </w:rPr>
        <w:t>insert name</w:t>
      </w:r>
      <w:r>
        <w:rPr>
          <w:rFonts w:cs="Calibri"/>
          <w:bCs/>
          <w:color w:val="000000"/>
          <w:kern w:val="36"/>
          <w:szCs w:val="24"/>
          <w:highlight w:val="yellow"/>
        </w:rPr>
        <w:t xml:space="preserve"> and year</w:t>
      </w:r>
      <w:r w:rsidRPr="007E16DA">
        <w:rPr>
          <w:rFonts w:cs="Calibri"/>
          <w:bCs/>
          <w:color w:val="000000"/>
          <w:kern w:val="36"/>
          <w:szCs w:val="24"/>
          <w:highlight w:val="yellow"/>
        </w:rPr>
        <w:t xml:space="preserve"> of the current LRTP</w:t>
      </w:r>
      <w:r w:rsidRPr="007E16DA">
        <w:rPr>
          <w:rFonts w:cs="Calibri"/>
          <w:bCs/>
          <w:color w:val="000000"/>
          <w:kern w:val="36"/>
          <w:szCs w:val="24"/>
        </w:rPr>
        <w:t xml:space="preserve">]. </w:t>
      </w:r>
    </w:p>
    <w:p w14:paraId="37BFACF9" w14:textId="77777777" w:rsidR="005B00C2" w:rsidRDefault="005B00C2" w:rsidP="005B00C2">
      <w:pPr>
        <w:tabs>
          <w:tab w:val="left" w:pos="2250"/>
        </w:tabs>
        <w:rPr>
          <w:rFonts w:cs="Calibri"/>
          <w:bCs/>
          <w:color w:val="000000"/>
          <w:kern w:val="36"/>
          <w:szCs w:val="24"/>
        </w:rPr>
      </w:pPr>
      <w:r>
        <w:rPr>
          <w:rFonts w:cs="Calibri"/>
          <w:bCs/>
          <w:color w:val="000000"/>
          <w:kern w:val="36"/>
          <w:szCs w:val="24"/>
          <w:highlight w:val="yellow"/>
        </w:rPr>
        <w:t>[</w:t>
      </w:r>
      <w:r w:rsidRPr="002C3E43">
        <w:rPr>
          <w:rFonts w:cs="Calibri"/>
          <w:bCs/>
          <w:color w:val="000000"/>
          <w:kern w:val="36"/>
          <w:szCs w:val="24"/>
          <w:highlight w:val="yellow"/>
        </w:rPr>
        <w:t xml:space="preserve">The TIP document must include a written narrative describing the anticipated effect of the TIP toward achieving the targets, linking investment priorities to those performance targets. MPOs could address this </w:t>
      </w:r>
      <w:r w:rsidRPr="002C3E43">
        <w:rPr>
          <w:rFonts w:cs="Calibri"/>
          <w:bCs/>
          <w:color w:val="000000"/>
          <w:kern w:val="36"/>
          <w:szCs w:val="24"/>
          <w:highlight w:val="yellow"/>
        </w:rPr>
        <w:lastRenderedPageBreak/>
        <w:t xml:space="preserve">requirement by describing how the projects in the TIP were determined, </w:t>
      </w:r>
      <w:r>
        <w:rPr>
          <w:rFonts w:cs="Calibri"/>
          <w:bCs/>
          <w:color w:val="000000"/>
          <w:kern w:val="36"/>
          <w:szCs w:val="24"/>
          <w:highlight w:val="yellow"/>
        </w:rPr>
        <w:t>including how performance targets were considered in this process. This section also could discuss</w:t>
      </w:r>
      <w:r w:rsidRPr="002C3E43">
        <w:rPr>
          <w:rFonts w:cs="Calibri"/>
          <w:bCs/>
          <w:color w:val="000000"/>
          <w:kern w:val="36"/>
          <w:szCs w:val="24"/>
          <w:highlight w:val="yellow"/>
        </w:rPr>
        <w:t xml:space="preserve"> how the TIP implements goals, objectives, strategies, and investment priorities from other performance-based plans and processes (for example, the </w:t>
      </w:r>
      <w:r>
        <w:rPr>
          <w:rFonts w:cs="Calibri"/>
          <w:bCs/>
          <w:color w:val="000000"/>
          <w:kern w:val="36"/>
          <w:szCs w:val="24"/>
          <w:highlight w:val="yellow"/>
        </w:rPr>
        <w:t>Group TAM plan or individual provider TAM plan(s))</w:t>
      </w:r>
      <w:r w:rsidRPr="002C3E43">
        <w:rPr>
          <w:rFonts w:cs="Calibri"/>
          <w:bCs/>
          <w:color w:val="000000"/>
          <w:kern w:val="36"/>
          <w:szCs w:val="24"/>
          <w:highlight w:val="yellow"/>
        </w:rPr>
        <w:t xml:space="preserve">. MPOs are required to describe the anticipated effect of the collective program of project activities, not </w:t>
      </w:r>
      <w:r>
        <w:rPr>
          <w:rFonts w:cs="Calibri"/>
          <w:bCs/>
          <w:color w:val="000000"/>
          <w:kern w:val="36"/>
          <w:szCs w:val="24"/>
          <w:highlight w:val="yellow"/>
        </w:rPr>
        <w:t xml:space="preserve">the impact </w:t>
      </w:r>
      <w:r w:rsidRPr="002C3E43">
        <w:rPr>
          <w:rFonts w:cs="Calibri"/>
          <w:bCs/>
          <w:color w:val="000000"/>
          <w:kern w:val="36"/>
          <w:szCs w:val="24"/>
          <w:highlight w:val="yellow"/>
        </w:rPr>
        <w:t>of individual projects in the TIP.</w:t>
      </w:r>
      <w:r>
        <w:rPr>
          <w:rFonts w:cs="Calibri"/>
          <w:bCs/>
          <w:color w:val="000000"/>
          <w:kern w:val="36"/>
          <w:szCs w:val="24"/>
        </w:rPr>
        <w:t>]</w:t>
      </w:r>
    </w:p>
    <w:p w14:paraId="4F5BAD44" w14:textId="1FE5B39C" w:rsidR="005B00C2" w:rsidRPr="008E15CA" w:rsidRDefault="005B00C2" w:rsidP="005B00C2">
      <w:pPr>
        <w:tabs>
          <w:tab w:val="left" w:pos="2250"/>
        </w:tabs>
        <w:rPr>
          <w:rFonts w:cs="Calibri"/>
          <w:kern w:val="28"/>
          <w:szCs w:val="24"/>
        </w:rPr>
      </w:pPr>
      <w:r w:rsidRPr="008B5C0F">
        <w:rPr>
          <w:rFonts w:cs="Calibri"/>
          <w:bCs/>
          <w:color w:val="000000"/>
          <w:kern w:val="36"/>
          <w:szCs w:val="24"/>
        </w:rPr>
        <w:t xml:space="preserve">FTA funding, as programmed by the region’s transit providers and FDOT, </w:t>
      </w:r>
      <w:r>
        <w:rPr>
          <w:rFonts w:cs="Calibri"/>
          <w:bCs/>
          <w:color w:val="000000"/>
          <w:kern w:val="36"/>
          <w:szCs w:val="24"/>
        </w:rPr>
        <w:t xml:space="preserve">is used for </w:t>
      </w:r>
      <w:r w:rsidRPr="008B5C0F">
        <w:rPr>
          <w:rFonts w:cs="Calibri"/>
          <w:bCs/>
          <w:color w:val="000000"/>
          <w:kern w:val="36"/>
          <w:szCs w:val="24"/>
        </w:rPr>
        <w:t xml:space="preserve">programs </w:t>
      </w:r>
      <w:r>
        <w:rPr>
          <w:rFonts w:cs="Calibri"/>
          <w:bCs/>
          <w:color w:val="000000"/>
          <w:kern w:val="36"/>
          <w:szCs w:val="24"/>
        </w:rPr>
        <w:t xml:space="preserve">and products </w:t>
      </w:r>
      <w:r w:rsidRPr="008B5C0F">
        <w:rPr>
          <w:rFonts w:cs="Calibri"/>
          <w:bCs/>
          <w:color w:val="000000"/>
          <w:kern w:val="36"/>
          <w:szCs w:val="24"/>
        </w:rPr>
        <w:t>to improve the condition of the region’s transit assets</w:t>
      </w:r>
      <w:r w:rsidR="002A29E3">
        <w:rPr>
          <w:rFonts w:cs="Calibri"/>
          <w:bCs/>
          <w:color w:val="000000"/>
          <w:kern w:val="36"/>
          <w:szCs w:val="24"/>
        </w:rPr>
        <w:t xml:space="preserve">. </w:t>
      </w:r>
      <w:r w:rsidRPr="007E16DA">
        <w:rPr>
          <w:rFonts w:cs="Calibri"/>
          <w:kern w:val="28"/>
          <w:szCs w:val="24"/>
        </w:rPr>
        <w:t>The focus of [</w:t>
      </w:r>
      <w:r w:rsidRPr="001103A3">
        <w:rPr>
          <w:rFonts w:cs="Calibri"/>
          <w:kern w:val="28"/>
          <w:szCs w:val="24"/>
          <w:highlight w:val="yellow"/>
        </w:rPr>
        <w:t>insert MPO name</w:t>
      </w:r>
      <w:r w:rsidRPr="007E16DA">
        <w:rPr>
          <w:rFonts w:cs="Calibri"/>
          <w:kern w:val="28"/>
          <w:szCs w:val="24"/>
        </w:rPr>
        <w:t xml:space="preserve">]’s investments that </w:t>
      </w:r>
      <w:r>
        <w:rPr>
          <w:rFonts w:cs="Calibri"/>
          <w:kern w:val="28"/>
          <w:szCs w:val="24"/>
        </w:rPr>
        <w:t xml:space="preserve">address transit state of good repair include </w:t>
      </w:r>
      <w:r w:rsidRPr="007E16DA">
        <w:rPr>
          <w:rFonts w:cs="Calibri"/>
          <w:kern w:val="28"/>
          <w:szCs w:val="24"/>
        </w:rPr>
        <w:t>[</w:t>
      </w:r>
      <w:r w:rsidRPr="008E15CA">
        <w:rPr>
          <w:rFonts w:cs="Calibri"/>
          <w:kern w:val="28"/>
          <w:szCs w:val="24"/>
          <w:highlight w:val="yellow"/>
        </w:rPr>
        <w:t xml:space="preserve">list projects, programs, and strategies funded in the TIP that address </w:t>
      </w:r>
      <w:r>
        <w:rPr>
          <w:rFonts w:cs="Calibri"/>
          <w:kern w:val="28"/>
          <w:szCs w:val="24"/>
          <w:highlight w:val="yellow"/>
        </w:rPr>
        <w:t xml:space="preserve">transit equipment, vehicles, infrastructure, or facilities </w:t>
      </w:r>
      <w:r w:rsidRPr="008E15CA">
        <w:rPr>
          <w:rFonts w:cs="Calibri"/>
          <w:kern w:val="28"/>
          <w:szCs w:val="24"/>
          <w:highlight w:val="yellow"/>
        </w:rPr>
        <w:t xml:space="preserve">in the MPO area, such as those in the following categories; list project selection criteria for the TIP consistent with the </w:t>
      </w:r>
      <w:r>
        <w:rPr>
          <w:rFonts w:cs="Calibri"/>
          <w:kern w:val="28"/>
          <w:szCs w:val="24"/>
          <w:highlight w:val="yellow"/>
        </w:rPr>
        <w:t xml:space="preserve">transit asset </w:t>
      </w:r>
      <w:r w:rsidRPr="008E15CA">
        <w:rPr>
          <w:rFonts w:cs="Calibri"/>
          <w:kern w:val="28"/>
          <w:szCs w:val="24"/>
          <w:highlight w:val="yellow"/>
        </w:rPr>
        <w:t>performance measures</w:t>
      </w:r>
      <w:r w:rsidR="002A29E3">
        <w:rPr>
          <w:rFonts w:cs="Calibri"/>
          <w:kern w:val="28"/>
          <w:szCs w:val="24"/>
          <w:highlight w:val="yellow"/>
        </w:rPr>
        <w:t xml:space="preserve">. </w:t>
      </w:r>
      <w:r>
        <w:rPr>
          <w:rFonts w:cs="Calibri"/>
          <w:kern w:val="28"/>
          <w:szCs w:val="24"/>
          <w:highlight w:val="yellow"/>
        </w:rPr>
        <w:t>These may include:</w:t>
      </w:r>
    </w:p>
    <w:p w14:paraId="0B12D742" w14:textId="77777777" w:rsidR="005B00C2" w:rsidRDefault="005B00C2" w:rsidP="0000371F">
      <w:pPr>
        <w:pStyle w:val="ListBullet"/>
        <w:rPr>
          <w:rFonts w:eastAsia="Calibri"/>
          <w:highlight w:val="yellow"/>
        </w:rPr>
      </w:pPr>
      <w:r>
        <w:rPr>
          <w:rFonts w:eastAsia="Calibri"/>
          <w:highlight w:val="yellow"/>
        </w:rPr>
        <w:t>Bus and other vehicle purchases and replacements</w:t>
      </w:r>
    </w:p>
    <w:p w14:paraId="6CD8B260" w14:textId="77777777" w:rsidR="005B00C2" w:rsidRPr="002E1F33" w:rsidRDefault="005B00C2" w:rsidP="0000371F">
      <w:pPr>
        <w:pStyle w:val="ListBullet"/>
        <w:rPr>
          <w:rFonts w:eastAsia="Calibri"/>
          <w:highlight w:val="yellow"/>
        </w:rPr>
      </w:pPr>
      <w:r>
        <w:rPr>
          <w:rFonts w:eastAsia="Calibri"/>
          <w:highlight w:val="yellow"/>
        </w:rPr>
        <w:t>Equipment purchases and replacements</w:t>
      </w:r>
    </w:p>
    <w:p w14:paraId="503FFDF1" w14:textId="77777777" w:rsidR="005B00C2" w:rsidRDefault="005B00C2" w:rsidP="0000371F">
      <w:pPr>
        <w:pStyle w:val="ListBullet"/>
        <w:rPr>
          <w:rFonts w:eastAsia="Calibri"/>
          <w:highlight w:val="yellow"/>
        </w:rPr>
      </w:pPr>
      <w:r>
        <w:rPr>
          <w:rFonts w:eastAsia="Calibri"/>
          <w:highlight w:val="yellow"/>
        </w:rPr>
        <w:t>Retrofits</w:t>
      </w:r>
    </w:p>
    <w:p w14:paraId="41FDE423" w14:textId="77777777" w:rsidR="005B00C2" w:rsidRDefault="005B00C2" w:rsidP="0000371F">
      <w:pPr>
        <w:pStyle w:val="ListBullet"/>
        <w:rPr>
          <w:rFonts w:eastAsia="Calibri"/>
          <w:highlight w:val="yellow"/>
        </w:rPr>
      </w:pPr>
      <w:r>
        <w:rPr>
          <w:highlight w:val="yellow"/>
        </w:rPr>
        <w:t>Repair, rehabilitation, and replacement of t</w:t>
      </w:r>
      <w:r>
        <w:rPr>
          <w:rFonts w:eastAsia="Calibri"/>
          <w:highlight w:val="yellow"/>
        </w:rPr>
        <w:t>ransit facilities</w:t>
      </w:r>
    </w:p>
    <w:p w14:paraId="4425E789" w14:textId="16A1B5E2" w:rsidR="005B00C2" w:rsidRPr="0008421C" w:rsidRDefault="005B00C2" w:rsidP="0000371F">
      <w:pPr>
        <w:pStyle w:val="ListBullet"/>
        <w:rPr>
          <w:rFonts w:eastAsia="Calibri"/>
          <w:highlight w:val="yellow"/>
        </w:rPr>
      </w:pPr>
      <w:r>
        <w:rPr>
          <w:highlight w:val="yellow"/>
        </w:rPr>
        <w:t xml:space="preserve">Repair, rehabilitation, and replacement of </w:t>
      </w:r>
      <w:r>
        <w:rPr>
          <w:rFonts w:eastAsia="Calibri"/>
          <w:highlight w:val="yellow"/>
        </w:rPr>
        <w:t>transit infrastructure</w:t>
      </w:r>
      <w:r w:rsidRPr="00EF607C">
        <w:rPr>
          <w:rFonts w:eastAsia="Calibri"/>
        </w:rPr>
        <w:t>]</w:t>
      </w:r>
    </w:p>
    <w:p w14:paraId="7D303DEB" w14:textId="77777777" w:rsidR="005B00C2" w:rsidRDefault="005B00C2" w:rsidP="00053163">
      <w:pPr>
        <w:pBdr>
          <w:top w:val="single" w:sz="4" w:space="1" w:color="auto"/>
          <w:left w:val="single" w:sz="4" w:space="4" w:color="auto"/>
          <w:bottom w:val="single" w:sz="4" w:space="1" w:color="auto"/>
          <w:right w:val="single" w:sz="4" w:space="4" w:color="auto"/>
        </w:pBdr>
        <w:jc w:val="left"/>
        <w:rPr>
          <w:rFonts w:eastAsia="Calibri" w:cs="Calibri"/>
          <w:kern w:val="28"/>
          <w:szCs w:val="24"/>
        </w:rPr>
      </w:pPr>
      <w:r w:rsidRPr="00053163">
        <w:rPr>
          <w:rFonts w:eastAsia="Calibri" w:cs="Calibri"/>
          <w:kern w:val="28"/>
          <w:szCs w:val="24"/>
        </w:rPr>
        <w:t>Example below is from the Hillsborough MPO TIP:</w:t>
      </w:r>
      <w:r w:rsidRPr="00053163">
        <w:rPr>
          <w:rStyle w:val="FootnoteReference"/>
          <w:rFonts w:eastAsia="Calibri" w:cs="Calibri"/>
          <w:kern w:val="28"/>
          <w:szCs w:val="24"/>
        </w:rPr>
        <w:footnoteReference w:id="13"/>
      </w:r>
    </w:p>
    <w:p w14:paraId="3EC467B1" w14:textId="5F578F5D" w:rsidR="005B00C2" w:rsidRPr="0082157F" w:rsidRDefault="005B00C2" w:rsidP="00053163">
      <w:pPr>
        <w:pBdr>
          <w:top w:val="single" w:sz="4" w:space="1" w:color="auto"/>
          <w:left w:val="single" w:sz="4" w:space="4" w:color="auto"/>
          <w:bottom w:val="single" w:sz="4" w:space="1" w:color="auto"/>
          <w:right w:val="single" w:sz="4" w:space="4" w:color="auto"/>
        </w:pBdr>
        <w:tabs>
          <w:tab w:val="left" w:pos="2250"/>
        </w:tabs>
        <w:rPr>
          <w:rFonts w:cs="Calibri"/>
          <w:bCs/>
          <w:i/>
          <w:color w:val="000000"/>
          <w:kern w:val="36"/>
          <w:szCs w:val="24"/>
        </w:rPr>
      </w:pPr>
      <w:r w:rsidRPr="0082157F">
        <w:rPr>
          <w:rFonts w:cs="Calibri"/>
          <w:bCs/>
          <w:i/>
          <w:color w:val="000000"/>
          <w:kern w:val="36"/>
          <w:szCs w:val="24"/>
        </w:rPr>
        <w:t xml:space="preserve">The Hillsborough MPO TIP was developed and is managed in cooperation with HART, TBARTA, and the Hillsborough County Sunshine Line. It reflects the investment priorities established in the It’s Time Hillsborough: 2045 Plan. FTA funding, as programmed by the region’s transit providers and FDOT, is used for programs and products to improve the condition of the region’s transit assets. The focus of Hillsborough </w:t>
      </w:r>
      <w:r w:rsidR="00E765E2">
        <w:rPr>
          <w:rFonts w:cs="Calibri"/>
          <w:bCs/>
          <w:i/>
          <w:color w:val="000000"/>
          <w:kern w:val="36"/>
          <w:szCs w:val="24"/>
        </w:rPr>
        <w:t>T</w:t>
      </w:r>
      <w:r w:rsidRPr="0082157F">
        <w:rPr>
          <w:rFonts w:cs="Calibri"/>
          <w:bCs/>
          <w:i/>
          <w:color w:val="000000"/>
          <w:kern w:val="36"/>
          <w:szCs w:val="24"/>
        </w:rPr>
        <w:t>PO’s investments that address transit state of good repair include:</w:t>
      </w:r>
    </w:p>
    <w:p w14:paraId="0FCACCF1" w14:textId="21B4447C" w:rsidR="005B00C2" w:rsidRPr="00A93691" w:rsidRDefault="005B00C2" w:rsidP="00053163">
      <w:pPr>
        <w:pStyle w:val="ListParagraph"/>
        <w:numPr>
          <w:ilvl w:val="0"/>
          <w:numId w:val="40"/>
        </w:numPr>
        <w:pBdr>
          <w:top w:val="single" w:sz="4" w:space="1" w:color="auto"/>
          <w:left w:val="single" w:sz="4" w:space="4" w:color="auto"/>
          <w:bottom w:val="single" w:sz="4" w:space="1" w:color="auto"/>
          <w:right w:val="single" w:sz="4" w:space="4" w:color="auto"/>
        </w:pBdr>
        <w:tabs>
          <w:tab w:val="left" w:pos="2250"/>
        </w:tabs>
        <w:spacing w:after="120"/>
        <w:ind w:left="360"/>
        <w:rPr>
          <w:rFonts w:cs="Calibri"/>
          <w:bCs/>
          <w:i/>
          <w:color w:val="000000"/>
          <w:kern w:val="36"/>
          <w:szCs w:val="24"/>
        </w:rPr>
      </w:pPr>
      <w:r w:rsidRPr="00A93691">
        <w:rPr>
          <w:rFonts w:cs="Calibri"/>
          <w:bCs/>
          <w:i/>
          <w:color w:val="000000"/>
          <w:kern w:val="36"/>
          <w:szCs w:val="24"/>
        </w:rPr>
        <w:t xml:space="preserve">Compressed Natural Gas (CNG) </w:t>
      </w:r>
      <w:r w:rsidR="008D4DA7">
        <w:rPr>
          <w:rFonts w:cs="Calibri"/>
          <w:bCs/>
          <w:i/>
          <w:color w:val="000000"/>
          <w:kern w:val="36"/>
          <w:szCs w:val="24"/>
        </w:rPr>
        <w:t>Vehicle Purchases</w:t>
      </w:r>
    </w:p>
    <w:p w14:paraId="7224F2A5" w14:textId="77777777" w:rsidR="005B00C2" w:rsidRPr="00A93691" w:rsidRDefault="005B00C2" w:rsidP="00053163">
      <w:pPr>
        <w:pStyle w:val="ListParagraph"/>
        <w:numPr>
          <w:ilvl w:val="0"/>
          <w:numId w:val="40"/>
        </w:numPr>
        <w:pBdr>
          <w:top w:val="single" w:sz="4" w:space="1" w:color="auto"/>
          <w:left w:val="single" w:sz="4" w:space="4" w:color="auto"/>
          <w:bottom w:val="single" w:sz="4" w:space="1" w:color="auto"/>
          <w:right w:val="single" w:sz="4" w:space="4" w:color="auto"/>
        </w:pBdr>
        <w:tabs>
          <w:tab w:val="left" w:pos="2250"/>
        </w:tabs>
        <w:spacing w:after="120"/>
        <w:ind w:left="360"/>
        <w:rPr>
          <w:rFonts w:cs="Calibri"/>
          <w:bCs/>
          <w:i/>
          <w:color w:val="000000"/>
          <w:kern w:val="36"/>
          <w:szCs w:val="24"/>
        </w:rPr>
      </w:pPr>
      <w:r w:rsidRPr="00A93691">
        <w:rPr>
          <w:rFonts w:cs="Calibri"/>
          <w:bCs/>
          <w:i/>
          <w:color w:val="000000"/>
          <w:kern w:val="36"/>
          <w:szCs w:val="24"/>
        </w:rPr>
        <w:t>Marion Transfer Center Infrastructure Improvements</w:t>
      </w:r>
    </w:p>
    <w:p w14:paraId="0E7D8D85" w14:textId="68A1FE50" w:rsidR="005B00C2" w:rsidRDefault="005B00C2" w:rsidP="00053163">
      <w:pPr>
        <w:pStyle w:val="ListParagraph"/>
        <w:numPr>
          <w:ilvl w:val="0"/>
          <w:numId w:val="40"/>
        </w:numPr>
        <w:pBdr>
          <w:top w:val="single" w:sz="4" w:space="1" w:color="auto"/>
          <w:left w:val="single" w:sz="4" w:space="4" w:color="auto"/>
          <w:bottom w:val="single" w:sz="4" w:space="1" w:color="auto"/>
          <w:right w:val="single" w:sz="4" w:space="4" w:color="auto"/>
        </w:pBdr>
        <w:tabs>
          <w:tab w:val="left" w:pos="2250"/>
        </w:tabs>
        <w:spacing w:after="120"/>
        <w:ind w:left="360"/>
        <w:rPr>
          <w:rFonts w:cs="Calibri"/>
          <w:bCs/>
          <w:i/>
          <w:color w:val="000000"/>
          <w:kern w:val="36"/>
          <w:szCs w:val="24"/>
        </w:rPr>
      </w:pPr>
      <w:r w:rsidRPr="00A93691">
        <w:rPr>
          <w:rFonts w:cs="Calibri"/>
          <w:bCs/>
          <w:i/>
          <w:color w:val="000000"/>
          <w:kern w:val="36"/>
          <w:szCs w:val="24"/>
        </w:rPr>
        <w:t>Bus Replacements with CNG Conversion</w:t>
      </w:r>
    </w:p>
    <w:p w14:paraId="29A623F2" w14:textId="2498926F" w:rsidR="00E22BD3" w:rsidRDefault="00E22BD3" w:rsidP="00053163">
      <w:pPr>
        <w:pStyle w:val="ListParagraph"/>
        <w:numPr>
          <w:ilvl w:val="0"/>
          <w:numId w:val="40"/>
        </w:numPr>
        <w:pBdr>
          <w:top w:val="single" w:sz="4" w:space="1" w:color="auto"/>
          <w:left w:val="single" w:sz="4" w:space="4" w:color="auto"/>
          <w:bottom w:val="single" w:sz="4" w:space="1" w:color="auto"/>
          <w:right w:val="single" w:sz="4" w:space="4" w:color="auto"/>
        </w:pBdr>
        <w:tabs>
          <w:tab w:val="left" w:pos="2250"/>
        </w:tabs>
        <w:spacing w:after="120"/>
        <w:ind w:left="360"/>
        <w:rPr>
          <w:rFonts w:cs="Calibri"/>
          <w:bCs/>
          <w:i/>
          <w:color w:val="000000"/>
          <w:kern w:val="36"/>
          <w:szCs w:val="24"/>
        </w:rPr>
      </w:pPr>
      <w:r>
        <w:rPr>
          <w:rFonts w:cs="Calibri"/>
          <w:bCs/>
          <w:i/>
          <w:color w:val="000000"/>
          <w:kern w:val="36"/>
          <w:szCs w:val="24"/>
        </w:rPr>
        <w:t>Heavy Maintenance Facility replacement</w:t>
      </w:r>
    </w:p>
    <w:p w14:paraId="0C36619A" w14:textId="72A77572" w:rsidR="00E22BD3" w:rsidRPr="00A93691" w:rsidRDefault="00E22BD3" w:rsidP="00053163">
      <w:pPr>
        <w:pStyle w:val="ListParagraph"/>
        <w:numPr>
          <w:ilvl w:val="0"/>
          <w:numId w:val="40"/>
        </w:numPr>
        <w:pBdr>
          <w:top w:val="single" w:sz="4" w:space="1" w:color="auto"/>
          <w:left w:val="single" w:sz="4" w:space="4" w:color="auto"/>
          <w:bottom w:val="single" w:sz="4" w:space="1" w:color="auto"/>
          <w:right w:val="single" w:sz="4" w:space="4" w:color="auto"/>
        </w:pBdr>
        <w:tabs>
          <w:tab w:val="left" w:pos="2250"/>
        </w:tabs>
        <w:spacing w:after="120"/>
        <w:ind w:left="360"/>
        <w:rPr>
          <w:rFonts w:cs="Calibri"/>
          <w:bCs/>
          <w:i/>
          <w:color w:val="000000"/>
          <w:kern w:val="36"/>
          <w:szCs w:val="24"/>
        </w:rPr>
      </w:pPr>
      <w:r>
        <w:rPr>
          <w:rFonts w:cs="Calibri"/>
          <w:bCs/>
          <w:i/>
          <w:color w:val="000000"/>
          <w:kern w:val="36"/>
          <w:szCs w:val="24"/>
        </w:rPr>
        <w:t>Satellite Maintenance Facility replacement</w:t>
      </w:r>
    </w:p>
    <w:p w14:paraId="01AAD840" w14:textId="1BB404B1" w:rsidR="005B00C2" w:rsidRPr="00A93691" w:rsidRDefault="00CD7AB0" w:rsidP="00053163">
      <w:pPr>
        <w:pStyle w:val="ListParagraph"/>
        <w:numPr>
          <w:ilvl w:val="0"/>
          <w:numId w:val="40"/>
        </w:numPr>
        <w:pBdr>
          <w:top w:val="single" w:sz="4" w:space="1" w:color="auto"/>
          <w:left w:val="single" w:sz="4" w:space="4" w:color="auto"/>
          <w:bottom w:val="single" w:sz="4" w:space="1" w:color="auto"/>
          <w:right w:val="single" w:sz="4" w:space="4" w:color="auto"/>
        </w:pBdr>
        <w:tabs>
          <w:tab w:val="left" w:pos="2250"/>
        </w:tabs>
        <w:spacing w:after="120"/>
        <w:ind w:left="360"/>
        <w:rPr>
          <w:rFonts w:cs="Calibri"/>
          <w:bCs/>
          <w:i/>
          <w:color w:val="000000"/>
          <w:kern w:val="36"/>
          <w:szCs w:val="24"/>
        </w:rPr>
      </w:pPr>
      <w:r>
        <w:rPr>
          <w:rFonts w:cs="Calibri"/>
          <w:bCs/>
          <w:i/>
          <w:color w:val="000000"/>
          <w:kern w:val="36"/>
          <w:szCs w:val="24"/>
        </w:rPr>
        <w:t>Bus Mid-Life Overhaul</w:t>
      </w:r>
    </w:p>
    <w:p w14:paraId="1236B3D1" w14:textId="77777777" w:rsidR="005B00C2" w:rsidRPr="00A93691" w:rsidRDefault="005B00C2" w:rsidP="00053163">
      <w:pPr>
        <w:pStyle w:val="ListParagraph"/>
        <w:numPr>
          <w:ilvl w:val="0"/>
          <w:numId w:val="40"/>
        </w:numPr>
        <w:pBdr>
          <w:top w:val="single" w:sz="4" w:space="1" w:color="auto"/>
          <w:left w:val="single" w:sz="4" w:space="4" w:color="auto"/>
          <w:bottom w:val="single" w:sz="4" w:space="1" w:color="auto"/>
          <w:right w:val="single" w:sz="4" w:space="4" w:color="auto"/>
        </w:pBdr>
        <w:tabs>
          <w:tab w:val="left" w:pos="2250"/>
        </w:tabs>
        <w:ind w:left="360"/>
        <w:rPr>
          <w:rFonts w:cs="Calibri"/>
          <w:bCs/>
          <w:i/>
          <w:color w:val="000000"/>
          <w:kern w:val="36"/>
          <w:szCs w:val="24"/>
        </w:rPr>
      </w:pPr>
      <w:r w:rsidRPr="00A93691">
        <w:rPr>
          <w:rFonts w:cs="Calibri"/>
          <w:bCs/>
          <w:i/>
          <w:color w:val="000000"/>
          <w:kern w:val="36"/>
          <w:szCs w:val="24"/>
        </w:rPr>
        <w:t>CAD-AVL System Replacement</w:t>
      </w:r>
    </w:p>
    <w:p w14:paraId="579D24FB" w14:textId="2D1081BC" w:rsidR="005B00C2" w:rsidRDefault="005B00C2" w:rsidP="005B00C2">
      <w:pPr>
        <w:tabs>
          <w:tab w:val="left" w:pos="2250"/>
        </w:tabs>
        <w:rPr>
          <w:rFonts w:cs="Calibri"/>
          <w:kern w:val="28"/>
          <w:szCs w:val="24"/>
        </w:rPr>
      </w:pPr>
      <w:r w:rsidRPr="008A2DFD">
        <w:rPr>
          <w:rFonts w:cs="Calibri"/>
          <w:bCs/>
          <w:color w:val="000000"/>
          <w:kern w:val="36"/>
          <w:szCs w:val="24"/>
        </w:rPr>
        <w:t xml:space="preserve">Transit asset condition and state of good repair </w:t>
      </w:r>
      <w:r w:rsidRPr="008A2DFD">
        <w:rPr>
          <w:rFonts w:cs="Calibri"/>
          <w:kern w:val="28"/>
          <w:szCs w:val="24"/>
        </w:rPr>
        <w:t>is a consideration in the methodology [</w:t>
      </w:r>
      <w:r w:rsidRPr="008A2DFD">
        <w:rPr>
          <w:rFonts w:cs="Calibri"/>
          <w:kern w:val="28"/>
          <w:szCs w:val="24"/>
          <w:highlight w:val="yellow"/>
        </w:rPr>
        <w:t>insert MPO name</w:t>
      </w:r>
      <w:r w:rsidRPr="008A2DFD">
        <w:rPr>
          <w:rFonts w:cs="Calibri"/>
          <w:kern w:val="28"/>
          <w:szCs w:val="24"/>
        </w:rPr>
        <w:t>] uses to select projects for inclusion in the TIP</w:t>
      </w:r>
      <w:r w:rsidR="002A29E3">
        <w:rPr>
          <w:rFonts w:cs="Calibri"/>
          <w:kern w:val="28"/>
          <w:szCs w:val="24"/>
        </w:rPr>
        <w:t xml:space="preserve">. </w:t>
      </w:r>
      <w:r w:rsidRPr="008A2DFD">
        <w:rPr>
          <w:szCs w:val="24"/>
        </w:rPr>
        <w:t>The TIP includes specific investment priorities that support all of the MPO’s goals, including transit state of good repair, using a prioritization and project selection process established in the LRTP</w:t>
      </w:r>
      <w:r w:rsidR="002A29E3">
        <w:rPr>
          <w:szCs w:val="24"/>
        </w:rPr>
        <w:t xml:space="preserve">. </w:t>
      </w:r>
      <w:r w:rsidRPr="008A2DFD">
        <w:rPr>
          <w:rFonts w:cs="Calibri"/>
          <w:bCs/>
          <w:color w:val="000000"/>
          <w:kern w:val="36"/>
          <w:szCs w:val="24"/>
        </w:rPr>
        <w:t>This process evaluates projects that, once implemented, are anticipated to improve transit state of good repair in the MPO’s planning area</w:t>
      </w:r>
      <w:r w:rsidR="002A29E3">
        <w:rPr>
          <w:rFonts w:cs="Calibri"/>
          <w:bCs/>
          <w:color w:val="000000"/>
          <w:kern w:val="36"/>
          <w:szCs w:val="24"/>
        </w:rPr>
        <w:t xml:space="preserve">. </w:t>
      </w:r>
      <w:r>
        <w:rPr>
          <w:rFonts w:cs="Calibri"/>
          <w:kern w:val="28"/>
          <w:szCs w:val="24"/>
        </w:rPr>
        <w:t>This prioritization process considers factors such as [</w:t>
      </w:r>
      <w:r w:rsidRPr="00005FB4">
        <w:rPr>
          <w:rFonts w:cs="Calibri"/>
          <w:kern w:val="28"/>
          <w:szCs w:val="24"/>
          <w:highlight w:val="yellow"/>
        </w:rPr>
        <w:t xml:space="preserve">include </w:t>
      </w:r>
      <w:r w:rsidRPr="00A3161F">
        <w:rPr>
          <w:rFonts w:cs="Calibri"/>
          <w:kern w:val="28"/>
          <w:szCs w:val="24"/>
          <w:highlight w:val="yellow"/>
        </w:rPr>
        <w:t>examples</w:t>
      </w:r>
      <w:r w:rsidR="002A29E3">
        <w:rPr>
          <w:rFonts w:cs="Calibri"/>
          <w:kern w:val="28"/>
          <w:szCs w:val="24"/>
          <w:highlight w:val="yellow"/>
        </w:rPr>
        <w:t xml:space="preserve">. </w:t>
      </w:r>
      <w:r w:rsidRPr="00A3161F">
        <w:rPr>
          <w:rFonts w:cs="Calibri"/>
          <w:kern w:val="28"/>
          <w:szCs w:val="24"/>
          <w:highlight w:val="yellow"/>
        </w:rPr>
        <w:t xml:space="preserve">Add </w:t>
      </w:r>
      <w:r w:rsidRPr="008A2DFD">
        <w:rPr>
          <w:rFonts w:cs="Calibri"/>
          <w:kern w:val="28"/>
          <w:szCs w:val="24"/>
          <w:highlight w:val="yellow"/>
        </w:rPr>
        <w:t xml:space="preserve">language specific to the MPO’s consideration of transit state of good repair in the TIP </w:t>
      </w:r>
      <w:r w:rsidRPr="008A2DFD">
        <w:rPr>
          <w:rFonts w:cs="Calibri"/>
          <w:kern w:val="28"/>
          <w:szCs w:val="24"/>
          <w:highlight w:val="yellow"/>
        </w:rPr>
        <w:lastRenderedPageBreak/>
        <w:t>project selection process</w:t>
      </w:r>
      <w:r w:rsidR="002A29E3">
        <w:rPr>
          <w:rFonts w:cs="Calibri"/>
          <w:kern w:val="28"/>
          <w:szCs w:val="24"/>
          <w:highlight w:val="yellow"/>
        </w:rPr>
        <w:t xml:space="preserve">. </w:t>
      </w:r>
      <w:r w:rsidRPr="008A2DFD">
        <w:rPr>
          <w:rFonts w:cs="Calibri"/>
          <w:kern w:val="28"/>
          <w:szCs w:val="24"/>
          <w:highlight w:val="yellow"/>
        </w:rPr>
        <w:t>If applicable, note any data-driven, performance-based elements, scoring criteria, goals established in the LRTP, etc.</w:t>
      </w:r>
      <w:r w:rsidRPr="008A2DFD">
        <w:rPr>
          <w:rFonts w:cs="Calibri"/>
          <w:kern w:val="28"/>
          <w:szCs w:val="24"/>
        </w:rPr>
        <w:t>]</w:t>
      </w:r>
    </w:p>
    <w:p w14:paraId="42A089AD" w14:textId="6D4DCC0E" w:rsidR="005B00C2" w:rsidRPr="004B0657" w:rsidRDefault="005B00C2" w:rsidP="005B00C2">
      <w:pPr>
        <w:tabs>
          <w:tab w:val="left" w:pos="2250"/>
        </w:tabs>
        <w:rPr>
          <w:rFonts w:cs="Calibri"/>
          <w:kern w:val="28"/>
          <w:szCs w:val="24"/>
          <w:highlight w:val="yellow"/>
        </w:rPr>
      </w:pPr>
      <w:r>
        <w:rPr>
          <w:rFonts w:cs="Calibri"/>
          <w:kern w:val="28"/>
          <w:szCs w:val="24"/>
          <w:highlight w:val="yellow"/>
        </w:rPr>
        <w:t xml:space="preserve">Example: </w:t>
      </w:r>
      <w:r w:rsidRPr="004B0657">
        <w:rPr>
          <w:rFonts w:cs="Calibri"/>
          <w:kern w:val="28"/>
          <w:szCs w:val="24"/>
          <w:highlight w:val="yellow"/>
        </w:rPr>
        <w:t xml:space="preserve">The TIP </w:t>
      </w:r>
      <w:r>
        <w:rPr>
          <w:rFonts w:cs="Calibri"/>
          <w:kern w:val="28"/>
          <w:szCs w:val="24"/>
          <w:highlight w:val="yellow"/>
        </w:rPr>
        <w:t>devotes resources to projects that will maintain and improve transit state of good repair</w:t>
      </w:r>
      <w:r w:rsidR="002A29E3">
        <w:rPr>
          <w:rFonts w:cs="Calibri"/>
          <w:kern w:val="28"/>
          <w:szCs w:val="24"/>
          <w:highlight w:val="yellow"/>
        </w:rPr>
        <w:t xml:space="preserve">. </w:t>
      </w:r>
      <w:r>
        <w:rPr>
          <w:rFonts w:cs="Calibri"/>
          <w:kern w:val="28"/>
          <w:szCs w:val="24"/>
          <w:highlight w:val="yellow"/>
        </w:rPr>
        <w:t xml:space="preserve">Investments in transit assets in the TIP </w:t>
      </w:r>
      <w:r w:rsidRPr="004B0657">
        <w:rPr>
          <w:rFonts w:cs="Calibri"/>
          <w:kern w:val="28"/>
          <w:szCs w:val="24"/>
          <w:highlight w:val="yellow"/>
        </w:rPr>
        <w:t xml:space="preserve">include $xx million for </w:t>
      </w:r>
      <w:r>
        <w:rPr>
          <w:rFonts w:cs="Calibri"/>
          <w:kern w:val="28"/>
          <w:szCs w:val="24"/>
          <w:highlight w:val="yellow"/>
        </w:rPr>
        <w:t xml:space="preserve">vehicle purchases and </w:t>
      </w:r>
      <w:r w:rsidRPr="004B0657">
        <w:rPr>
          <w:rFonts w:cs="Calibri"/>
          <w:kern w:val="28"/>
          <w:szCs w:val="24"/>
          <w:highlight w:val="yellow"/>
        </w:rPr>
        <w:t xml:space="preserve">$xx million for </w:t>
      </w:r>
      <w:r>
        <w:rPr>
          <w:rFonts w:cs="Calibri"/>
          <w:kern w:val="28"/>
          <w:szCs w:val="24"/>
          <w:highlight w:val="yellow"/>
        </w:rPr>
        <w:t>facility improvements</w:t>
      </w:r>
      <w:r w:rsidRPr="004B0657">
        <w:rPr>
          <w:rFonts w:cs="Calibri"/>
          <w:kern w:val="28"/>
          <w:szCs w:val="24"/>
          <w:highlight w:val="yellow"/>
        </w:rPr>
        <w:t>.]</w:t>
      </w:r>
    </w:p>
    <w:p w14:paraId="23CE792E" w14:textId="5C9A2F38" w:rsidR="005B00C2" w:rsidRDefault="005B00C2" w:rsidP="005B00C2">
      <w:pPr>
        <w:tabs>
          <w:tab w:val="left" w:pos="2250"/>
        </w:tabs>
        <w:rPr>
          <w:rFonts w:cs="Calibri"/>
          <w:bCs/>
          <w:color w:val="000000"/>
          <w:kern w:val="36"/>
          <w:szCs w:val="24"/>
        </w:rPr>
      </w:pPr>
      <w:r w:rsidRPr="007E16DA">
        <w:rPr>
          <w:rFonts w:cs="Calibri"/>
          <w:kern w:val="28"/>
          <w:szCs w:val="24"/>
        </w:rPr>
        <w:t>The [</w:t>
      </w:r>
      <w:r w:rsidRPr="002E1F33">
        <w:rPr>
          <w:rFonts w:cs="Calibri"/>
          <w:kern w:val="28"/>
          <w:szCs w:val="24"/>
          <w:highlight w:val="yellow"/>
        </w:rPr>
        <w:t>insert MPO name</w:t>
      </w:r>
      <w:r w:rsidRPr="007E16DA">
        <w:rPr>
          <w:rFonts w:cs="Calibri"/>
          <w:kern w:val="28"/>
          <w:szCs w:val="24"/>
        </w:rPr>
        <w:t>] TIP has been evaluated and the anticipated effect of the overall program is that, once implemented, progress wil</w:t>
      </w:r>
      <w:r>
        <w:rPr>
          <w:rFonts w:cs="Calibri"/>
          <w:kern w:val="28"/>
          <w:szCs w:val="24"/>
        </w:rPr>
        <w:t xml:space="preserve">l be made towards achieving the TAM </w:t>
      </w:r>
      <w:r w:rsidRPr="007E16DA">
        <w:rPr>
          <w:rFonts w:cs="Calibri"/>
          <w:kern w:val="28"/>
          <w:szCs w:val="24"/>
        </w:rPr>
        <w:t>performance targets</w:t>
      </w:r>
      <w:r w:rsidR="002A29E3">
        <w:rPr>
          <w:rFonts w:cs="Calibri"/>
          <w:kern w:val="28"/>
          <w:szCs w:val="24"/>
        </w:rPr>
        <w:t xml:space="preserve">. </w:t>
      </w:r>
      <w:r w:rsidRPr="008B5C0F">
        <w:rPr>
          <w:rFonts w:cs="Calibri"/>
          <w:bCs/>
          <w:color w:val="000000"/>
          <w:kern w:val="36"/>
          <w:szCs w:val="24"/>
        </w:rPr>
        <w:t>The [</w:t>
      </w:r>
      <w:r w:rsidRPr="00005FB4">
        <w:rPr>
          <w:rFonts w:cs="Calibri"/>
          <w:bCs/>
          <w:color w:val="000000"/>
          <w:kern w:val="36"/>
          <w:szCs w:val="24"/>
          <w:highlight w:val="yellow"/>
        </w:rPr>
        <w:t>insert MPO name</w:t>
      </w:r>
      <w:r w:rsidRPr="008B5C0F">
        <w:rPr>
          <w:rFonts w:cs="Calibri"/>
          <w:bCs/>
          <w:color w:val="000000"/>
          <w:kern w:val="36"/>
          <w:szCs w:val="24"/>
        </w:rPr>
        <w:t>] will continue to coordinate with the [</w:t>
      </w:r>
      <w:r w:rsidRPr="00005FB4">
        <w:rPr>
          <w:rFonts w:cs="Calibri"/>
          <w:bCs/>
          <w:color w:val="000000"/>
          <w:kern w:val="36"/>
          <w:szCs w:val="24"/>
          <w:highlight w:val="yellow"/>
        </w:rPr>
        <w:t>insert name(s) of transit provider(s</w:t>
      </w:r>
      <w:r w:rsidRPr="008B5C0F">
        <w:rPr>
          <w:rFonts w:cs="Calibri"/>
          <w:bCs/>
          <w:color w:val="000000"/>
          <w:kern w:val="36"/>
          <w:szCs w:val="24"/>
        </w:rPr>
        <w:t xml:space="preserve">)] to </w:t>
      </w:r>
      <w:r>
        <w:rPr>
          <w:rFonts w:cs="Calibri"/>
          <w:bCs/>
          <w:color w:val="000000"/>
          <w:kern w:val="36"/>
          <w:szCs w:val="24"/>
        </w:rPr>
        <w:t xml:space="preserve">maintain </w:t>
      </w:r>
      <w:r w:rsidRPr="008B5C0F">
        <w:rPr>
          <w:rFonts w:cs="Calibri"/>
          <w:bCs/>
          <w:color w:val="000000"/>
          <w:kern w:val="36"/>
          <w:szCs w:val="24"/>
        </w:rPr>
        <w:t>the region’s transit assets in a state of good repair.</w:t>
      </w:r>
    </w:p>
    <w:p w14:paraId="430BB08E" w14:textId="3E53ABA2" w:rsidR="005B00C2" w:rsidRDefault="005B00C2" w:rsidP="005B00C2">
      <w:pPr>
        <w:rPr>
          <w:rFonts w:cs="Calibri"/>
          <w:bCs/>
          <w:color w:val="000000"/>
          <w:kern w:val="36"/>
          <w:szCs w:val="24"/>
        </w:rPr>
      </w:pPr>
      <w:r w:rsidRPr="008B5C0F">
        <w:rPr>
          <w:rFonts w:cs="Calibri"/>
          <w:bCs/>
          <w:color w:val="000000"/>
          <w:kern w:val="36"/>
          <w:szCs w:val="24"/>
        </w:rPr>
        <w:t>For more information on th</w:t>
      </w:r>
      <w:r>
        <w:rPr>
          <w:rFonts w:cs="Calibri"/>
          <w:bCs/>
          <w:color w:val="000000"/>
          <w:kern w:val="36"/>
          <w:szCs w:val="24"/>
        </w:rPr>
        <w:t>ese</w:t>
      </w:r>
      <w:r w:rsidRPr="008B5C0F">
        <w:rPr>
          <w:rFonts w:cs="Calibri"/>
          <w:bCs/>
          <w:color w:val="000000"/>
          <w:kern w:val="36"/>
          <w:szCs w:val="24"/>
        </w:rPr>
        <w:t xml:space="preserve"> </w:t>
      </w:r>
      <w:r>
        <w:rPr>
          <w:rFonts w:cs="Calibri"/>
          <w:bCs/>
          <w:color w:val="000000"/>
          <w:kern w:val="36"/>
          <w:szCs w:val="24"/>
        </w:rPr>
        <w:t>programs and project</w:t>
      </w:r>
      <w:r w:rsidRPr="008B5C0F">
        <w:rPr>
          <w:rFonts w:cs="Calibri"/>
          <w:bCs/>
          <w:color w:val="000000"/>
          <w:kern w:val="36"/>
          <w:szCs w:val="24"/>
        </w:rPr>
        <w:t>s, see [</w:t>
      </w:r>
      <w:r w:rsidRPr="008401C1">
        <w:rPr>
          <w:rFonts w:cs="Calibri"/>
          <w:bCs/>
          <w:color w:val="000000"/>
          <w:kern w:val="36"/>
          <w:szCs w:val="24"/>
          <w:highlight w:val="yellow"/>
        </w:rPr>
        <w:t>insert name of TIP section that discusses transit projects and investments].</w:t>
      </w:r>
    </w:p>
    <w:p w14:paraId="3280FF12" w14:textId="77777777" w:rsidR="005B00C2" w:rsidRDefault="005B00C2" w:rsidP="00053163">
      <w:pPr>
        <w:pBdr>
          <w:top w:val="single" w:sz="4" w:space="1" w:color="auto"/>
          <w:left w:val="single" w:sz="4" w:space="4" w:color="auto"/>
          <w:bottom w:val="single" w:sz="4" w:space="1" w:color="auto"/>
          <w:right w:val="single" w:sz="4" w:space="4" w:color="auto"/>
        </w:pBdr>
        <w:tabs>
          <w:tab w:val="left" w:pos="2250"/>
        </w:tabs>
        <w:rPr>
          <w:rFonts w:cs="Calibri"/>
          <w:kern w:val="28"/>
          <w:szCs w:val="24"/>
        </w:rPr>
      </w:pPr>
      <w:r w:rsidRPr="00053163">
        <w:rPr>
          <w:rFonts w:cs="Calibri"/>
          <w:kern w:val="28"/>
          <w:szCs w:val="24"/>
        </w:rPr>
        <w:t>Example below is from the River to Sea TPO TIP:</w:t>
      </w:r>
      <w:r w:rsidRPr="00053163">
        <w:rPr>
          <w:rStyle w:val="FootnoteReference"/>
          <w:rFonts w:cs="Calibri"/>
          <w:kern w:val="28"/>
          <w:szCs w:val="24"/>
        </w:rPr>
        <w:footnoteReference w:id="14"/>
      </w:r>
    </w:p>
    <w:p w14:paraId="19C613F5" w14:textId="5E11C1A5" w:rsidR="005B00C2" w:rsidRPr="00003949" w:rsidRDefault="005B00C2" w:rsidP="00053163">
      <w:pPr>
        <w:pBdr>
          <w:top w:val="single" w:sz="4" w:space="1" w:color="auto"/>
          <w:left w:val="single" w:sz="4" w:space="4" w:color="auto"/>
          <w:bottom w:val="single" w:sz="4" w:space="1" w:color="auto"/>
          <w:right w:val="single" w:sz="4" w:space="4" w:color="auto"/>
        </w:pBdr>
        <w:tabs>
          <w:tab w:val="left" w:pos="2250"/>
        </w:tabs>
        <w:rPr>
          <w:rFonts w:cs="Calibri"/>
          <w:bCs/>
          <w:i/>
          <w:color w:val="000000"/>
          <w:kern w:val="36"/>
          <w:szCs w:val="24"/>
        </w:rPr>
      </w:pPr>
      <w:r w:rsidRPr="00003949">
        <w:rPr>
          <w:rFonts w:cs="Calibri"/>
          <w:bCs/>
          <w:i/>
          <w:color w:val="000000"/>
          <w:kern w:val="36"/>
          <w:szCs w:val="24"/>
        </w:rPr>
        <w:t>The River to Sea TPO FY 202</w:t>
      </w:r>
      <w:r w:rsidR="00A0729D">
        <w:rPr>
          <w:rFonts w:cs="Calibri"/>
          <w:bCs/>
          <w:i/>
          <w:color w:val="000000"/>
          <w:kern w:val="36"/>
          <w:szCs w:val="24"/>
        </w:rPr>
        <w:t>2</w:t>
      </w:r>
      <w:r w:rsidRPr="00003949">
        <w:rPr>
          <w:rFonts w:cs="Calibri"/>
          <w:bCs/>
          <w:i/>
          <w:color w:val="000000"/>
          <w:kern w:val="36"/>
          <w:szCs w:val="24"/>
        </w:rPr>
        <w:t>/2</w:t>
      </w:r>
      <w:r w:rsidR="00A0729D">
        <w:rPr>
          <w:rFonts w:cs="Calibri"/>
          <w:bCs/>
          <w:i/>
          <w:color w:val="000000"/>
          <w:kern w:val="36"/>
          <w:szCs w:val="24"/>
        </w:rPr>
        <w:t>3</w:t>
      </w:r>
      <w:r w:rsidRPr="00003949">
        <w:rPr>
          <w:rFonts w:cs="Calibri"/>
          <w:bCs/>
          <w:i/>
          <w:color w:val="000000"/>
          <w:kern w:val="36"/>
          <w:szCs w:val="24"/>
        </w:rPr>
        <w:t xml:space="preserve"> to FY 202</w:t>
      </w:r>
      <w:r w:rsidR="001D4791">
        <w:rPr>
          <w:rFonts w:cs="Calibri"/>
          <w:bCs/>
          <w:i/>
          <w:color w:val="000000"/>
          <w:kern w:val="36"/>
          <w:szCs w:val="24"/>
        </w:rPr>
        <w:t>6</w:t>
      </w:r>
      <w:r w:rsidRPr="00003949">
        <w:rPr>
          <w:rFonts w:cs="Calibri"/>
          <w:bCs/>
          <w:i/>
          <w:color w:val="000000"/>
          <w:kern w:val="36"/>
          <w:szCs w:val="24"/>
        </w:rPr>
        <w:t>/2</w:t>
      </w:r>
      <w:r w:rsidR="001D4791">
        <w:rPr>
          <w:rFonts w:cs="Calibri"/>
          <w:bCs/>
          <w:i/>
          <w:color w:val="000000"/>
          <w:kern w:val="36"/>
          <w:szCs w:val="24"/>
        </w:rPr>
        <w:t>7</w:t>
      </w:r>
      <w:r w:rsidRPr="00003949">
        <w:rPr>
          <w:rFonts w:cs="Calibri"/>
          <w:bCs/>
          <w:i/>
          <w:color w:val="000000"/>
          <w:kern w:val="36"/>
          <w:szCs w:val="24"/>
        </w:rPr>
        <w:t xml:space="preserve"> TIP was developed and is managed in cooperation with Flagler County Public Transit (FCPT), Votran, and SunRail. It reflects the investment priorities established in Connect 2045. The investments addressing transit state of good repair are included in Section VI - Transit &amp; Transportation Disadvantaged Projects. Projects in this section of the TIP include the funding of equipment, vehicles, infrastructure, maintenance, and/or facilities in the TPO planning area. </w:t>
      </w:r>
    </w:p>
    <w:p w14:paraId="78D44204" w14:textId="16CD1A7A" w:rsidR="007E4156" w:rsidRPr="00A00F74" w:rsidRDefault="00A00F74" w:rsidP="00053163">
      <w:pPr>
        <w:pBdr>
          <w:top w:val="single" w:sz="4" w:space="1" w:color="auto"/>
          <w:left w:val="single" w:sz="4" w:space="4" w:color="auto"/>
          <w:bottom w:val="single" w:sz="4" w:space="1" w:color="auto"/>
          <w:right w:val="single" w:sz="4" w:space="4" w:color="auto"/>
        </w:pBdr>
        <w:tabs>
          <w:tab w:val="left" w:pos="2250"/>
        </w:tabs>
        <w:rPr>
          <w:rFonts w:cs="Calibri"/>
          <w:bCs/>
          <w:i/>
          <w:iCs/>
          <w:color w:val="000000"/>
          <w:kern w:val="36"/>
          <w:szCs w:val="24"/>
        </w:rPr>
      </w:pPr>
      <w:r w:rsidRPr="0000371F">
        <w:rPr>
          <w:i/>
          <w:iCs/>
          <w:szCs w:val="24"/>
        </w:rPr>
        <w:t>Votran updated their Transit Development Plan (TDP) in August of 2021 and FCPT is currently updating their TDP. The River to Sea TPO will play a role in supporting these updates and monitoring potential changes that may impact transit planning, operations, capital asset management and state of good repair.</w:t>
      </w:r>
    </w:p>
    <w:p w14:paraId="791DF90C" w14:textId="557D6C5F" w:rsidR="005B00C2" w:rsidRDefault="005B00C2" w:rsidP="00053163">
      <w:pPr>
        <w:pBdr>
          <w:top w:val="single" w:sz="4" w:space="1" w:color="auto"/>
          <w:left w:val="single" w:sz="4" w:space="4" w:color="auto"/>
          <w:bottom w:val="single" w:sz="4" w:space="1" w:color="auto"/>
          <w:right w:val="single" w:sz="4" w:space="4" w:color="auto"/>
        </w:pBdr>
        <w:tabs>
          <w:tab w:val="left" w:pos="2250"/>
        </w:tabs>
        <w:rPr>
          <w:rFonts w:cs="Calibri"/>
          <w:bCs/>
          <w:i/>
          <w:color w:val="000000"/>
          <w:kern w:val="36"/>
          <w:szCs w:val="24"/>
        </w:rPr>
      </w:pPr>
      <w:r w:rsidRPr="00003949">
        <w:rPr>
          <w:rFonts w:cs="Calibri"/>
          <w:bCs/>
          <w:i/>
          <w:color w:val="000000"/>
          <w:kern w:val="36"/>
          <w:szCs w:val="24"/>
        </w:rPr>
        <w:t>Transit asset condition and state of good repair is a consideration in the methodology used by the public transit providers and the River to Sea TPO to select projects for inclusion in the TIP. As such, the TIP includes specific investment priorities that support all of the TPO’s goals, including transit state of good repair, using priorities established in the LRTP. This includes the allocation of 30% of the Transportation Management Area (TMA)</w:t>
      </w:r>
      <w:r w:rsidR="00912CD9">
        <w:rPr>
          <w:rFonts w:cs="Calibri"/>
          <w:bCs/>
          <w:i/>
          <w:color w:val="000000"/>
          <w:kern w:val="36"/>
          <w:szCs w:val="24"/>
        </w:rPr>
        <w:t xml:space="preserve"> SU</w:t>
      </w:r>
      <w:r w:rsidRPr="00003949">
        <w:rPr>
          <w:rFonts w:cs="Calibri"/>
          <w:bCs/>
          <w:i/>
          <w:color w:val="000000"/>
          <w:kern w:val="36"/>
          <w:szCs w:val="24"/>
        </w:rPr>
        <w:t xml:space="preserve"> funding available to the TPO to support the replacement of capital assets. The River to Sea TPO evaluates, </w:t>
      </w:r>
      <w:r w:rsidR="00C35C98" w:rsidRPr="00003949">
        <w:rPr>
          <w:rFonts w:cs="Calibri"/>
          <w:bCs/>
          <w:i/>
          <w:color w:val="000000"/>
          <w:kern w:val="36"/>
          <w:szCs w:val="24"/>
        </w:rPr>
        <w:t>prioritizes,</w:t>
      </w:r>
      <w:r w:rsidRPr="00003949">
        <w:rPr>
          <w:rFonts w:cs="Calibri"/>
          <w:bCs/>
          <w:i/>
          <w:color w:val="000000"/>
          <w:kern w:val="36"/>
          <w:szCs w:val="24"/>
        </w:rPr>
        <w:t xml:space="preserve"> and funds transit projects that, once implemented, are anticipated to improve state of good repair in the TPO’s planning area. The TPO’s goal of supporting local transit providers to achieve transit asset condition targets is linked to this investment plan, and the process used to prioritize the projects within the TIP is consistent with federal requirement</w:t>
      </w:r>
      <w:r>
        <w:rPr>
          <w:rFonts w:cs="Calibri"/>
          <w:bCs/>
          <w:i/>
          <w:color w:val="000000"/>
          <w:kern w:val="36"/>
          <w:szCs w:val="24"/>
        </w:rPr>
        <w:t>s.</w:t>
      </w:r>
    </w:p>
    <w:p w14:paraId="0DE84649" w14:textId="77777777" w:rsidR="005B00C2" w:rsidRPr="009A48E5" w:rsidRDefault="005B00C2" w:rsidP="005B00C2">
      <w:pPr>
        <w:tabs>
          <w:tab w:val="left" w:pos="2250"/>
        </w:tabs>
        <w:rPr>
          <w:rFonts w:cs="Calibri"/>
          <w:kern w:val="28"/>
          <w:szCs w:val="24"/>
          <w:highlight w:val="yellow"/>
        </w:rPr>
      </w:pPr>
      <w:r w:rsidRPr="009A48E5">
        <w:rPr>
          <w:rFonts w:cs="Calibri"/>
          <w:kern w:val="28"/>
          <w:szCs w:val="24"/>
          <w:highlight w:val="yellow"/>
        </w:rPr>
        <w:t xml:space="preserve">Additional text that could be added </w:t>
      </w:r>
      <w:r>
        <w:rPr>
          <w:rFonts w:cs="Calibri"/>
          <w:kern w:val="28"/>
          <w:szCs w:val="24"/>
          <w:highlight w:val="yellow"/>
        </w:rPr>
        <w:t xml:space="preserve">to reflect </w:t>
      </w:r>
      <w:r w:rsidRPr="009A48E5">
        <w:rPr>
          <w:rFonts w:cs="Calibri"/>
          <w:kern w:val="28"/>
          <w:szCs w:val="24"/>
          <w:highlight w:val="yellow"/>
        </w:rPr>
        <w:t>Tier II provider</w:t>
      </w:r>
      <w:r>
        <w:rPr>
          <w:rFonts w:cs="Calibri"/>
          <w:kern w:val="28"/>
          <w:szCs w:val="24"/>
          <w:highlight w:val="yellow"/>
        </w:rPr>
        <w:t>s</w:t>
      </w:r>
      <w:r w:rsidRPr="009A48E5">
        <w:rPr>
          <w:rFonts w:cs="Calibri"/>
          <w:kern w:val="28"/>
          <w:szCs w:val="24"/>
          <w:highlight w:val="yellow"/>
        </w:rPr>
        <w:t xml:space="preserve"> participating in the Group TAM Plan:</w:t>
      </w:r>
    </w:p>
    <w:p w14:paraId="22DD1AFD" w14:textId="24780A3C" w:rsidR="005B00C2" w:rsidRPr="008450A2" w:rsidRDefault="005B00C2" w:rsidP="005B00C2">
      <w:pPr>
        <w:tabs>
          <w:tab w:val="left" w:pos="2250"/>
        </w:tabs>
        <w:rPr>
          <w:rFonts w:cs="Calibri"/>
          <w:bCs/>
          <w:i/>
          <w:color w:val="000000"/>
          <w:kern w:val="36"/>
          <w:szCs w:val="24"/>
        </w:rPr>
      </w:pPr>
      <w:r w:rsidRPr="009A48E5">
        <w:rPr>
          <w:rFonts w:cstheme="minorHAnsi"/>
        </w:rPr>
        <w:t>Investment decisions for asset replacement in the FDOT Group TAM Plan inventory are made with the goal to maintain or improve the percentage of vehicles, equipment, and facilities in an adequate or better condition</w:t>
      </w:r>
      <w:r w:rsidR="00C35C98">
        <w:rPr>
          <w:rFonts w:cstheme="minorHAnsi"/>
        </w:rPr>
        <w:t xml:space="preserve">. </w:t>
      </w:r>
      <w:r w:rsidRPr="009A48E5">
        <w:rPr>
          <w:rFonts w:cstheme="minorHAnsi"/>
        </w:rPr>
        <w:t>FDOT and its subrecipient transit providers will monitor all assets for unsafe conditions</w:t>
      </w:r>
      <w:r w:rsidR="00C35C98">
        <w:rPr>
          <w:rFonts w:cstheme="minorHAnsi"/>
        </w:rPr>
        <w:t xml:space="preserve">. </w:t>
      </w:r>
      <w:r w:rsidRPr="009A48E5">
        <w:rPr>
          <w:rFonts w:cstheme="minorHAnsi"/>
        </w:rPr>
        <w:t xml:space="preserve">Identifying an </w:t>
      </w:r>
      <w:r w:rsidRPr="00423B25">
        <w:rPr>
          <w:rFonts w:cstheme="minorHAnsi"/>
        </w:rPr>
        <w:t>opportunity to improve the safety of an asset, however, does not necessarily indicate an unsafe condition</w:t>
      </w:r>
      <w:r w:rsidR="00C35C98" w:rsidRPr="00423B25">
        <w:rPr>
          <w:rFonts w:cstheme="minorHAnsi"/>
        </w:rPr>
        <w:t xml:space="preserve">. </w:t>
      </w:r>
      <w:r w:rsidRPr="00423B25">
        <w:rPr>
          <w:rFonts w:cstheme="minorHAnsi"/>
        </w:rPr>
        <w:t xml:space="preserve">If an unacceptable safety risk associated with an asset is identified, that asset will be ranked with higher </w:t>
      </w:r>
      <w:r w:rsidRPr="00423B25">
        <w:rPr>
          <w:rFonts w:cstheme="minorHAnsi"/>
        </w:rPr>
        <w:lastRenderedPageBreak/>
        <w:t>investment priority to the extent practicable</w:t>
      </w:r>
      <w:r w:rsidR="00C35C98" w:rsidRPr="00423B25">
        <w:rPr>
          <w:rFonts w:cstheme="minorHAnsi"/>
        </w:rPr>
        <w:t xml:space="preserve">. </w:t>
      </w:r>
      <w:r w:rsidRPr="00423B25">
        <w:rPr>
          <w:rFonts w:cstheme="minorHAnsi"/>
        </w:rPr>
        <w:t>The subrecipients prioritize the rehabilitation and replacement of vehicles that provide transit service over non-revenue vehicles and facilities.</w:t>
      </w:r>
    </w:p>
    <w:p w14:paraId="176125CB" w14:textId="2C2D73A5" w:rsidR="005B00C2" w:rsidRDefault="005B00C2" w:rsidP="005B00C2">
      <w:pPr>
        <w:spacing w:after="200" w:line="276" w:lineRule="auto"/>
        <w:jc w:val="left"/>
        <w:rPr>
          <w:b/>
          <w:caps/>
          <w:kern w:val="28"/>
          <w:sz w:val="36"/>
          <w:szCs w:val="36"/>
        </w:rPr>
      </w:pPr>
    </w:p>
    <w:p w14:paraId="04F393F9" w14:textId="6B46BAC3" w:rsidR="005B00C2" w:rsidRPr="007E16DA" w:rsidRDefault="005B00C2" w:rsidP="005B00C2">
      <w:pPr>
        <w:pStyle w:val="Heading1"/>
      </w:pPr>
      <w:bookmarkStart w:id="39" w:name="_7_-_Transit"/>
      <w:bookmarkStart w:id="40" w:name="_Toc97743210"/>
      <w:bookmarkStart w:id="41" w:name="_Toc126264207"/>
      <w:bookmarkEnd w:id="39"/>
      <w:r>
        <w:t>7 - Transit Safety Performance</w:t>
      </w:r>
      <w:bookmarkEnd w:id="40"/>
      <w:bookmarkEnd w:id="41"/>
    </w:p>
    <w:p w14:paraId="0F8065EA" w14:textId="40474407" w:rsidR="005B00C2" w:rsidRDefault="005B00C2" w:rsidP="005B00C2">
      <w:pPr>
        <w:pStyle w:val="BodyText"/>
      </w:pPr>
      <w:r>
        <w:t>FTA</w:t>
      </w:r>
      <w:r w:rsidR="0050155E">
        <w:t xml:space="preserve">’s Public Transportation Agency Safety Plan (PTASP) regulations </w:t>
      </w:r>
      <w:r>
        <w:t>established transit safety performance management requirements</w:t>
      </w:r>
      <w:r w:rsidR="0050155E">
        <w:t xml:space="preserve"> for </w:t>
      </w:r>
      <w:r>
        <w:t xml:space="preserve">providers </w:t>
      </w:r>
      <w:r w:rsidRPr="009915CB">
        <w:t xml:space="preserve">of public transportation systems that receive federal financial assistance under 49 U.S.C. Chapter 53. </w:t>
      </w:r>
    </w:p>
    <w:p w14:paraId="4BD28D29" w14:textId="5F4C8F88" w:rsidR="005B00C2" w:rsidRPr="001663EF" w:rsidRDefault="005B00C2" w:rsidP="005B00C2">
      <w:pPr>
        <w:pStyle w:val="BodyText"/>
        <w:rPr>
          <w:szCs w:val="24"/>
        </w:rPr>
      </w:pPr>
      <w:r>
        <w:rPr>
          <w:szCs w:val="24"/>
        </w:rPr>
        <w:t xml:space="preserve">The </w:t>
      </w:r>
      <w:r w:rsidR="0050155E">
        <w:rPr>
          <w:szCs w:val="24"/>
        </w:rPr>
        <w:t xml:space="preserve">regulations </w:t>
      </w:r>
      <w:r>
        <w:rPr>
          <w:szCs w:val="24"/>
        </w:rPr>
        <w:t>appl</w:t>
      </w:r>
      <w:r w:rsidR="0050155E">
        <w:rPr>
          <w:szCs w:val="24"/>
        </w:rPr>
        <w:t>y</w:t>
      </w:r>
      <w:r>
        <w:rPr>
          <w:szCs w:val="24"/>
        </w:rPr>
        <w:t xml:space="preserve"> to all </w:t>
      </w:r>
      <w:r w:rsidRPr="00846FAF">
        <w:rPr>
          <w:szCs w:val="24"/>
        </w:rPr>
        <w:t>operat</w:t>
      </w:r>
      <w:r>
        <w:rPr>
          <w:szCs w:val="24"/>
        </w:rPr>
        <w:t>ors</w:t>
      </w:r>
      <w:r w:rsidRPr="00846FAF">
        <w:rPr>
          <w:szCs w:val="24"/>
        </w:rPr>
        <w:t xml:space="preserve"> </w:t>
      </w:r>
      <w:r>
        <w:rPr>
          <w:szCs w:val="24"/>
        </w:rPr>
        <w:t xml:space="preserve">of </w:t>
      </w:r>
      <w:r w:rsidRPr="00846FAF">
        <w:rPr>
          <w:szCs w:val="24"/>
        </w:rPr>
        <w:t xml:space="preserve">public transportation </w:t>
      </w:r>
      <w:r>
        <w:rPr>
          <w:szCs w:val="24"/>
        </w:rPr>
        <w:t>that</w:t>
      </w:r>
      <w:r w:rsidRPr="00846FAF">
        <w:rPr>
          <w:szCs w:val="24"/>
        </w:rPr>
        <w:t xml:space="preserve"> are a recipient or sub-recipient of </w:t>
      </w:r>
      <w:r>
        <w:rPr>
          <w:szCs w:val="24"/>
        </w:rPr>
        <w:t xml:space="preserve">FTA </w:t>
      </w:r>
      <w:r w:rsidRPr="00846FAF">
        <w:rPr>
          <w:szCs w:val="24"/>
        </w:rPr>
        <w:t xml:space="preserve">Urbanized Area Formula Grant Program funds under 49 U.S.C. </w:t>
      </w:r>
      <w:r>
        <w:rPr>
          <w:szCs w:val="24"/>
        </w:rPr>
        <w:t xml:space="preserve">Section </w:t>
      </w:r>
      <w:r w:rsidRPr="00846FAF">
        <w:rPr>
          <w:szCs w:val="24"/>
        </w:rPr>
        <w:t>5307</w:t>
      </w:r>
      <w:r>
        <w:rPr>
          <w:szCs w:val="24"/>
        </w:rPr>
        <w:t xml:space="preserve">, or that </w:t>
      </w:r>
      <w:r w:rsidRPr="00846FAF">
        <w:rPr>
          <w:szCs w:val="24"/>
        </w:rPr>
        <w:t>operate a rail transit system that is subject to FTA’s State Safety Oversight Program</w:t>
      </w:r>
      <w:r>
        <w:rPr>
          <w:szCs w:val="24"/>
        </w:rPr>
        <w:t xml:space="preserve">. </w:t>
      </w:r>
      <w:r w:rsidRPr="006202A9">
        <w:rPr>
          <w:szCs w:val="24"/>
        </w:rPr>
        <w:t xml:space="preserve">The </w:t>
      </w:r>
      <w:r w:rsidR="0050155E">
        <w:rPr>
          <w:szCs w:val="24"/>
        </w:rPr>
        <w:t xml:space="preserve">PTASP regulations </w:t>
      </w:r>
      <w:r w:rsidRPr="006202A9">
        <w:rPr>
          <w:szCs w:val="24"/>
        </w:rPr>
        <w:t>do not apply to certain modes of transit service that are subject to the safety jurisdiction of another Federal agency, including passenger ferry operations regulated by the United States Coast Guard, and commuter rail operations that are regulated by the Federal Railroad Administration.</w:t>
      </w:r>
    </w:p>
    <w:p w14:paraId="677E3EDA" w14:textId="66BA3E3B" w:rsidR="005B00C2" w:rsidRDefault="005B00C2" w:rsidP="005B00C2">
      <w:pPr>
        <w:pStyle w:val="BodyText"/>
        <w:rPr>
          <w:szCs w:val="24"/>
        </w:rPr>
      </w:pPr>
      <w:r>
        <w:rPr>
          <w:szCs w:val="24"/>
        </w:rPr>
        <w:t xml:space="preserve">The PTASP must include performance targets for the performance measures established by FTA in the </w:t>
      </w:r>
      <w:r w:rsidRPr="00342667">
        <w:rPr>
          <w:szCs w:val="24"/>
        </w:rPr>
        <w:t>National Public Transportation Safety Plan</w:t>
      </w:r>
      <w:r>
        <w:rPr>
          <w:szCs w:val="24"/>
        </w:rPr>
        <w:t>, which was published on January 28, 2017</w:t>
      </w:r>
      <w:r w:rsidR="00C35C98">
        <w:rPr>
          <w:szCs w:val="24"/>
        </w:rPr>
        <w:t xml:space="preserve">. </w:t>
      </w:r>
      <w:r>
        <w:rPr>
          <w:szCs w:val="24"/>
        </w:rPr>
        <w:t>The t</w:t>
      </w:r>
      <w:r w:rsidRPr="00342667">
        <w:rPr>
          <w:szCs w:val="24"/>
        </w:rPr>
        <w:t>ransit safety performance measures are</w:t>
      </w:r>
      <w:r>
        <w:rPr>
          <w:szCs w:val="24"/>
        </w:rPr>
        <w:t>:</w:t>
      </w:r>
    </w:p>
    <w:p w14:paraId="713E0CAE" w14:textId="77777777" w:rsidR="005B00C2" w:rsidRDefault="005B00C2" w:rsidP="0000371F">
      <w:pPr>
        <w:pStyle w:val="ListBullet"/>
      </w:pPr>
      <w:r>
        <w:t>Total number of reportable fatalities and rate per total vehicle revenue miles by mode.</w:t>
      </w:r>
    </w:p>
    <w:p w14:paraId="74796718" w14:textId="77777777" w:rsidR="005B00C2" w:rsidRDefault="005B00C2" w:rsidP="0000371F">
      <w:pPr>
        <w:pStyle w:val="ListBullet"/>
      </w:pPr>
      <w:r>
        <w:t>Total number of reportable injuries and rate per total vehicle revenue miles by mode.</w:t>
      </w:r>
    </w:p>
    <w:p w14:paraId="7074F588" w14:textId="77777777" w:rsidR="005B00C2" w:rsidRDefault="005B00C2" w:rsidP="0000371F">
      <w:pPr>
        <w:pStyle w:val="ListBullet"/>
      </w:pPr>
      <w:r>
        <w:t>Total number of reportable safety events and rate per total vehicle revenue miles by mode.</w:t>
      </w:r>
    </w:p>
    <w:p w14:paraId="51FC5F50" w14:textId="77777777" w:rsidR="005B00C2" w:rsidRDefault="005B00C2" w:rsidP="0000371F">
      <w:pPr>
        <w:pStyle w:val="ListBullet"/>
      </w:pPr>
      <w:r>
        <w:t>System reliability – mean distance between major mechanical failures by mode.</w:t>
      </w:r>
    </w:p>
    <w:p w14:paraId="59E1521C" w14:textId="11F24D9B" w:rsidR="005B00C2" w:rsidRPr="00494297" w:rsidRDefault="005B00C2" w:rsidP="005B00C2">
      <w:pPr>
        <w:pStyle w:val="BodyText"/>
        <w:rPr>
          <w:szCs w:val="24"/>
        </w:rPr>
      </w:pPr>
      <w:r w:rsidRPr="00494297">
        <w:rPr>
          <w:szCs w:val="24"/>
        </w:rPr>
        <w:t xml:space="preserve">In Florida, each Section 5307 </w:t>
      </w:r>
      <w:r>
        <w:rPr>
          <w:szCs w:val="24"/>
        </w:rPr>
        <w:t>or</w:t>
      </w:r>
      <w:r w:rsidRPr="00494297">
        <w:rPr>
          <w:szCs w:val="24"/>
        </w:rPr>
        <w:t xml:space="preserve"> 5311 </w:t>
      </w:r>
      <w:r w:rsidR="00DF270A">
        <w:rPr>
          <w:szCs w:val="24"/>
        </w:rPr>
        <w:t xml:space="preserve">public transportation </w:t>
      </w:r>
      <w:r w:rsidRPr="00494297">
        <w:rPr>
          <w:szCs w:val="24"/>
        </w:rPr>
        <w:t>provider must develop a System Safety Program Plan (SSPP) under Chapter 14-90, Florida Administrative Code. FDOT technical guidance recommends that Florida’s transit agencies revise their existing SSPPs to be compliant with the new FTA PTASP requirements.</w:t>
      </w:r>
      <w:r w:rsidRPr="007E0550">
        <w:rPr>
          <w:szCs w:val="24"/>
          <w:vertAlign w:val="superscript"/>
        </w:rPr>
        <w:footnoteReference w:id="15"/>
      </w:r>
      <w:r w:rsidRPr="00494297">
        <w:rPr>
          <w:szCs w:val="24"/>
        </w:rPr>
        <w:t xml:space="preserve">   </w:t>
      </w:r>
    </w:p>
    <w:p w14:paraId="3417D20A" w14:textId="64A6F295" w:rsidR="005B00C2" w:rsidRDefault="005B00C2" w:rsidP="005B00C2">
      <w:pPr>
        <w:pStyle w:val="BodyText"/>
      </w:pPr>
      <w:r>
        <w:t xml:space="preserve">Each </w:t>
      </w:r>
      <w:r w:rsidR="00E55CB7">
        <w:t xml:space="preserve">public transportation </w:t>
      </w:r>
      <w:r>
        <w:t xml:space="preserve">provider that is subject to the </w:t>
      </w:r>
      <w:r w:rsidR="0050155E">
        <w:t xml:space="preserve">PTASP regulations </w:t>
      </w:r>
      <w:r w:rsidRPr="007D49F7">
        <w:t xml:space="preserve">must certify </w:t>
      </w:r>
      <w:r>
        <w:t xml:space="preserve">that its SSPP meets the requirements for </w:t>
      </w:r>
      <w:r w:rsidRPr="007D49F7">
        <w:t xml:space="preserve">a </w:t>
      </w:r>
      <w:r>
        <w:t>PTASP, including transit safety targets for the federally required measures</w:t>
      </w:r>
      <w:r w:rsidR="00C35C98">
        <w:t xml:space="preserve">. </w:t>
      </w:r>
      <w:r>
        <w:t xml:space="preserve">Providers were required to certify their initial PTASP and safety targets by </w:t>
      </w:r>
      <w:r>
        <w:rPr>
          <w:szCs w:val="24"/>
        </w:rPr>
        <w:t xml:space="preserve">July 20, 2021. </w:t>
      </w:r>
      <w:r>
        <w:t xml:space="preserve">Once the public transportation provider establishes safety targets it </w:t>
      </w:r>
      <w:r w:rsidRPr="00A3328B">
        <w:t xml:space="preserve">must make </w:t>
      </w:r>
      <w:r>
        <w:t xml:space="preserve">the targets </w:t>
      </w:r>
      <w:r w:rsidRPr="00A3328B">
        <w:t xml:space="preserve">available to </w:t>
      </w:r>
      <w:r>
        <w:t>M</w:t>
      </w:r>
      <w:r w:rsidRPr="00A3328B">
        <w:t>POs to aid in the planning process</w:t>
      </w:r>
      <w:r>
        <w:t xml:space="preserve">. </w:t>
      </w:r>
      <w:r w:rsidR="008B71B1" w:rsidRPr="007339A4">
        <w:rPr>
          <w:szCs w:val="24"/>
        </w:rPr>
        <w:t xml:space="preserve">MPOs are not required to establish </w:t>
      </w:r>
      <w:r w:rsidR="008B71B1">
        <w:rPr>
          <w:szCs w:val="24"/>
        </w:rPr>
        <w:t xml:space="preserve">transit safety </w:t>
      </w:r>
      <w:r w:rsidR="008B71B1" w:rsidRPr="007339A4">
        <w:rPr>
          <w:szCs w:val="24"/>
        </w:rPr>
        <w:t>targets annually each time the transit provider establishes targets</w:t>
      </w:r>
      <w:r w:rsidR="00C35C98" w:rsidRPr="007339A4">
        <w:rPr>
          <w:szCs w:val="24"/>
        </w:rPr>
        <w:t xml:space="preserve">. </w:t>
      </w:r>
      <w:r w:rsidR="008B71B1" w:rsidRPr="007339A4">
        <w:rPr>
          <w:szCs w:val="24"/>
        </w:rPr>
        <w:t xml:space="preserve">Instead, MPO targets must be established when the MPO updates </w:t>
      </w:r>
      <w:r w:rsidR="008B71B1">
        <w:rPr>
          <w:szCs w:val="24"/>
        </w:rPr>
        <w:t xml:space="preserve">the </w:t>
      </w:r>
      <w:r w:rsidR="008B71B1" w:rsidRPr="007339A4">
        <w:rPr>
          <w:szCs w:val="24"/>
        </w:rPr>
        <w:t>LRTP</w:t>
      </w:r>
      <w:r w:rsidR="00E36D4D">
        <w:rPr>
          <w:szCs w:val="24"/>
        </w:rPr>
        <w:t xml:space="preserve"> (although it is recommended that MPOs reflect the current transit provider targets in their TIPs)</w:t>
      </w:r>
      <w:r w:rsidR="00C35C98" w:rsidRPr="007339A4">
        <w:rPr>
          <w:szCs w:val="24"/>
        </w:rPr>
        <w:t xml:space="preserve">. </w:t>
      </w:r>
      <w:r w:rsidR="008B71B1" w:rsidRPr="007339A4">
        <w:rPr>
          <w:szCs w:val="24"/>
        </w:rPr>
        <w:t xml:space="preserve">When establishing </w:t>
      </w:r>
      <w:r w:rsidR="008B71B1">
        <w:rPr>
          <w:szCs w:val="24"/>
        </w:rPr>
        <w:t>transit safety targets</w:t>
      </w:r>
      <w:r w:rsidR="008B71B1" w:rsidRPr="007339A4">
        <w:rPr>
          <w:szCs w:val="24"/>
        </w:rPr>
        <w:t>, the</w:t>
      </w:r>
      <w:r w:rsidR="008B71B1" w:rsidRPr="007339A4">
        <w:rPr>
          <w:rFonts w:cs="Calibri"/>
          <w:kern w:val="28"/>
          <w:szCs w:val="24"/>
        </w:rPr>
        <w:t xml:space="preserve"> MPO can either agree to program projects that will support the transit provider targets or </w:t>
      </w:r>
      <w:r w:rsidR="008B71B1" w:rsidRPr="007339A4">
        <w:rPr>
          <w:rFonts w:cs="Calibri"/>
          <w:kern w:val="28"/>
          <w:szCs w:val="24"/>
        </w:rPr>
        <w:lastRenderedPageBreak/>
        <w:t xml:space="preserve">establish its own separate regional </w:t>
      </w:r>
      <w:r w:rsidR="008B71B1">
        <w:rPr>
          <w:rFonts w:cs="Calibri"/>
          <w:kern w:val="28"/>
          <w:szCs w:val="24"/>
        </w:rPr>
        <w:t>transit safety t</w:t>
      </w:r>
      <w:r w:rsidR="008B71B1" w:rsidRPr="007339A4">
        <w:rPr>
          <w:rFonts w:cs="Calibri"/>
          <w:kern w:val="28"/>
          <w:szCs w:val="24"/>
        </w:rPr>
        <w:t>argets for the MPO planning area</w:t>
      </w:r>
      <w:r w:rsidR="00C35C98" w:rsidRPr="007339A4">
        <w:rPr>
          <w:rFonts w:cs="Calibri"/>
          <w:kern w:val="28"/>
          <w:szCs w:val="24"/>
        </w:rPr>
        <w:t>.</w:t>
      </w:r>
      <w:r w:rsidR="00C35C98">
        <w:rPr>
          <w:rFonts w:cs="Calibri"/>
          <w:kern w:val="28"/>
          <w:szCs w:val="24"/>
        </w:rPr>
        <w:t xml:space="preserve"> </w:t>
      </w:r>
      <w:r>
        <w:t xml:space="preserve">In addition, the </w:t>
      </w:r>
      <w:r w:rsidRPr="00DE5F75">
        <w:rPr>
          <w:highlight w:val="yellow"/>
        </w:rPr>
        <w:t>[insert MPO name</w:t>
      </w:r>
      <w:r>
        <w:t xml:space="preserve">] must </w:t>
      </w:r>
      <w:r w:rsidRPr="00A3328B">
        <w:t xml:space="preserve">reflect those targets in </w:t>
      </w:r>
      <w:r>
        <w:t>LRTP and TIP updates.</w:t>
      </w:r>
    </w:p>
    <w:p w14:paraId="10E1A99F" w14:textId="768FEEF4" w:rsidR="005B00C2" w:rsidRPr="00EC1479" w:rsidRDefault="005B00C2" w:rsidP="005B00C2">
      <w:pPr>
        <w:pStyle w:val="Heading2"/>
        <w:tabs>
          <w:tab w:val="left" w:pos="2070"/>
        </w:tabs>
        <w:spacing w:before="0"/>
      </w:pPr>
      <w:bookmarkStart w:id="42" w:name="_Toc97743211"/>
      <w:bookmarkStart w:id="43" w:name="_Toc126264208"/>
      <w:r w:rsidRPr="00EC1479">
        <w:t xml:space="preserve">7.1 </w:t>
      </w:r>
      <w:r>
        <w:t>Transit Safety Targets</w:t>
      </w:r>
      <w:bookmarkEnd w:id="42"/>
      <w:bookmarkEnd w:id="43"/>
    </w:p>
    <w:p w14:paraId="3C34E006" w14:textId="0AA69A3F" w:rsidR="005B00C2" w:rsidRDefault="005B00C2" w:rsidP="005B00C2">
      <w:pPr>
        <w:pStyle w:val="BodyText"/>
      </w:pPr>
      <w:r>
        <w:t xml:space="preserve">The following </w:t>
      </w:r>
      <w:r w:rsidR="0054560E">
        <w:t xml:space="preserve">public </w:t>
      </w:r>
      <w:r w:rsidR="00822A8F">
        <w:t xml:space="preserve">transportation </w:t>
      </w:r>
      <w:r>
        <w:t>provider(s) operate in the [</w:t>
      </w:r>
      <w:r w:rsidRPr="007E0550">
        <w:rPr>
          <w:highlight w:val="yellow"/>
        </w:rPr>
        <w:t>insert MPO name</w:t>
      </w:r>
      <w:r>
        <w:t>] planning area: [</w:t>
      </w:r>
      <w:r w:rsidRPr="00096B78">
        <w:rPr>
          <w:highlight w:val="yellow"/>
        </w:rPr>
        <w:t>list providers(s)</w:t>
      </w:r>
      <w:r>
        <w:t>]. Of these, [</w:t>
      </w:r>
      <w:r w:rsidRPr="00096B78">
        <w:rPr>
          <w:highlight w:val="yellow"/>
        </w:rPr>
        <w:t>insert name of provider</w:t>
      </w:r>
      <w:r>
        <w:rPr>
          <w:highlight w:val="yellow"/>
        </w:rPr>
        <w:t>(s)</w:t>
      </w:r>
      <w:r w:rsidRPr="00096B78">
        <w:rPr>
          <w:highlight w:val="yellow"/>
        </w:rPr>
        <w:t xml:space="preserve"> subject to the PTASP requirements</w:t>
      </w:r>
      <w:r>
        <w:t xml:space="preserve">] </w:t>
      </w:r>
      <w:r w:rsidRPr="00096B78">
        <w:rPr>
          <w:highlight w:val="yellow"/>
        </w:rPr>
        <w:t>is/are</w:t>
      </w:r>
      <w:r>
        <w:t xml:space="preserve"> responsible for developing a PTASP and establishing transit safety performance targets annually</w:t>
      </w:r>
      <w:r w:rsidR="00C35C98">
        <w:t xml:space="preserve">. </w:t>
      </w:r>
    </w:p>
    <w:p w14:paraId="538326E9" w14:textId="77777777" w:rsidR="005B00C2" w:rsidRDefault="005B00C2" w:rsidP="005B00C2">
      <w:pPr>
        <w:keepNext/>
        <w:keepLines/>
        <w:rPr>
          <w:rFonts w:cs="Calibri"/>
          <w:kern w:val="28"/>
          <w:szCs w:val="24"/>
        </w:rPr>
      </w:pPr>
      <w:r w:rsidRPr="008450A2">
        <w:rPr>
          <w:rFonts w:cs="Calibri"/>
          <w:kern w:val="28"/>
          <w:szCs w:val="24"/>
          <w:highlight w:val="yellow"/>
        </w:rPr>
        <w:t>Example from River to Sea TPO TIP:</w:t>
      </w:r>
      <w:r>
        <w:rPr>
          <w:rStyle w:val="FootnoteReference"/>
          <w:rFonts w:cs="Calibri"/>
          <w:kern w:val="28"/>
          <w:szCs w:val="24"/>
          <w:highlight w:val="yellow"/>
        </w:rPr>
        <w:footnoteReference w:id="16"/>
      </w:r>
    </w:p>
    <w:p w14:paraId="6978A597" w14:textId="290B82C2" w:rsidR="005B00C2" w:rsidRDefault="005B00C2" w:rsidP="005B00C2">
      <w:pPr>
        <w:pStyle w:val="BodyText"/>
        <w:keepNext/>
        <w:keepLines/>
        <w:rPr>
          <w:i/>
          <w:iCs/>
        </w:rPr>
      </w:pPr>
      <w:r w:rsidRPr="004C3DA5">
        <w:rPr>
          <w:i/>
          <w:iCs/>
        </w:rPr>
        <w:t>The following transit provider(s) operate in the River to Sea TPO planning area: Votran and Flagler County Public Transportation (FCPT) Of these, Votran is responsible for developing a PTASP and establishing transit safety performance targets annually.</w:t>
      </w:r>
    </w:p>
    <w:p w14:paraId="54756FBD" w14:textId="77777777" w:rsidR="005B00C2" w:rsidRPr="00902A8B" w:rsidRDefault="005B00C2" w:rsidP="005B00C2">
      <w:pPr>
        <w:pStyle w:val="Heading3"/>
        <w:spacing w:before="0"/>
      </w:pPr>
      <w:r>
        <w:t>7</w:t>
      </w:r>
      <w:r w:rsidRPr="00902A8B">
        <w:t>.</w:t>
      </w:r>
      <w:r>
        <w:t>1</w:t>
      </w:r>
      <w:r w:rsidRPr="00902A8B">
        <w:t xml:space="preserve">.1 </w:t>
      </w:r>
      <w:r>
        <w:t xml:space="preserve">Transit Agency Safety </w:t>
      </w:r>
      <w:r w:rsidRPr="00902A8B">
        <w:t>Targets</w:t>
      </w:r>
    </w:p>
    <w:p w14:paraId="384C965A" w14:textId="77777777" w:rsidR="005B00C2" w:rsidRPr="008A2DFD" w:rsidRDefault="005B00C2" w:rsidP="005B00C2">
      <w:pPr>
        <w:rPr>
          <w:rFonts w:cs="Calibri"/>
          <w:kern w:val="28"/>
          <w:szCs w:val="24"/>
        </w:rPr>
      </w:pPr>
      <w:r w:rsidRPr="008A2DFD">
        <w:rPr>
          <w:rFonts w:cs="Calibri"/>
          <w:kern w:val="28"/>
          <w:szCs w:val="24"/>
        </w:rPr>
        <w:t>The [</w:t>
      </w:r>
      <w:r w:rsidRPr="008A2DFD">
        <w:rPr>
          <w:rFonts w:cs="Calibri"/>
          <w:kern w:val="28"/>
          <w:szCs w:val="24"/>
          <w:highlight w:val="yellow"/>
        </w:rPr>
        <w:t xml:space="preserve">insert </w:t>
      </w:r>
      <w:r>
        <w:rPr>
          <w:rFonts w:cs="Calibri"/>
          <w:kern w:val="28"/>
          <w:szCs w:val="24"/>
          <w:highlight w:val="yellow"/>
        </w:rPr>
        <w:t xml:space="preserve">name of </w:t>
      </w:r>
      <w:r w:rsidRPr="008A2DFD">
        <w:rPr>
          <w:rFonts w:cs="Calibri"/>
          <w:kern w:val="28"/>
          <w:szCs w:val="24"/>
          <w:highlight w:val="yellow"/>
        </w:rPr>
        <w:t>transit agenc</w:t>
      </w:r>
      <w:r w:rsidRPr="004C3DA5">
        <w:rPr>
          <w:rFonts w:cs="Calibri"/>
          <w:kern w:val="28"/>
          <w:szCs w:val="24"/>
          <w:highlight w:val="yellow"/>
        </w:rPr>
        <w:t>y or agencies</w:t>
      </w:r>
      <w:r w:rsidRPr="008A2DFD">
        <w:rPr>
          <w:rFonts w:cs="Calibri"/>
          <w:kern w:val="28"/>
          <w:szCs w:val="24"/>
        </w:rPr>
        <w:t xml:space="preserve">] </w:t>
      </w:r>
      <w:r>
        <w:rPr>
          <w:rFonts w:cs="Calibri"/>
          <w:kern w:val="28"/>
          <w:szCs w:val="24"/>
        </w:rPr>
        <w:t>established</w:t>
      </w:r>
      <w:r w:rsidRPr="008A2DFD">
        <w:rPr>
          <w:rFonts w:cs="Calibri"/>
          <w:kern w:val="28"/>
          <w:szCs w:val="24"/>
        </w:rPr>
        <w:t xml:space="preserve"> the transit </w:t>
      </w:r>
      <w:r>
        <w:rPr>
          <w:rFonts w:cs="Calibri"/>
          <w:kern w:val="28"/>
          <w:szCs w:val="24"/>
        </w:rPr>
        <w:t>safety</w:t>
      </w:r>
      <w:r w:rsidRPr="008A2DFD">
        <w:rPr>
          <w:rFonts w:cs="Calibri"/>
          <w:kern w:val="28"/>
          <w:szCs w:val="24"/>
        </w:rPr>
        <w:t xml:space="preserve"> targets </w:t>
      </w:r>
      <w:r>
        <w:rPr>
          <w:rFonts w:cs="Calibri"/>
          <w:kern w:val="28"/>
          <w:szCs w:val="24"/>
        </w:rPr>
        <w:t xml:space="preserve">identified in Table 7.1 </w:t>
      </w:r>
      <w:r w:rsidRPr="008A2DFD">
        <w:rPr>
          <w:rFonts w:cs="Calibri"/>
          <w:kern w:val="28"/>
          <w:szCs w:val="24"/>
        </w:rPr>
        <w:t>on [</w:t>
      </w:r>
      <w:r w:rsidRPr="008A2DFD">
        <w:rPr>
          <w:rFonts w:cs="Calibri"/>
          <w:kern w:val="28"/>
          <w:szCs w:val="24"/>
          <w:highlight w:val="yellow"/>
        </w:rPr>
        <w:t>insert date</w:t>
      </w:r>
      <w:r w:rsidRPr="008A2DFD">
        <w:rPr>
          <w:rFonts w:cs="Calibri"/>
          <w:kern w:val="28"/>
          <w:szCs w:val="24"/>
        </w:rPr>
        <w:t>]:</w:t>
      </w:r>
    </w:p>
    <w:p w14:paraId="6D30DBBA" w14:textId="737E4DE7" w:rsidR="005B00C2" w:rsidRPr="004C7DD3" w:rsidRDefault="005B00C2" w:rsidP="005B00C2">
      <w:pPr>
        <w:rPr>
          <w:szCs w:val="24"/>
        </w:rPr>
      </w:pPr>
      <w:r w:rsidRPr="00C3728B">
        <w:rPr>
          <w:rFonts w:cs="Calibri"/>
          <w:kern w:val="28"/>
          <w:szCs w:val="24"/>
          <w:highlight w:val="yellow"/>
        </w:rPr>
        <w:t xml:space="preserve">Include </w:t>
      </w:r>
      <w:r>
        <w:rPr>
          <w:rFonts w:cs="Calibri"/>
          <w:kern w:val="28"/>
          <w:szCs w:val="24"/>
          <w:highlight w:val="yellow"/>
        </w:rPr>
        <w:t>T</w:t>
      </w:r>
      <w:r w:rsidRPr="00C3728B">
        <w:rPr>
          <w:rFonts w:cs="Calibri"/>
          <w:kern w:val="28"/>
          <w:szCs w:val="24"/>
          <w:highlight w:val="yellow"/>
        </w:rPr>
        <w:t xml:space="preserve">able </w:t>
      </w:r>
      <w:r>
        <w:rPr>
          <w:rFonts w:cs="Calibri"/>
          <w:kern w:val="28"/>
          <w:szCs w:val="24"/>
          <w:highlight w:val="yellow"/>
        </w:rPr>
        <w:t>7.1</w:t>
      </w:r>
      <w:r w:rsidRPr="00C3728B">
        <w:rPr>
          <w:rFonts w:cs="Calibri"/>
          <w:kern w:val="28"/>
          <w:szCs w:val="24"/>
          <w:highlight w:val="yellow"/>
        </w:rPr>
        <w:t xml:space="preserve"> </w:t>
      </w:r>
      <w:r w:rsidRPr="00695A84">
        <w:rPr>
          <w:rFonts w:cs="Calibri"/>
          <w:kern w:val="28"/>
          <w:szCs w:val="24"/>
          <w:highlight w:val="yellow"/>
        </w:rPr>
        <w:t xml:space="preserve">to </w:t>
      </w:r>
      <w:r>
        <w:rPr>
          <w:rFonts w:cs="Calibri"/>
          <w:kern w:val="28"/>
          <w:szCs w:val="24"/>
          <w:highlight w:val="yellow"/>
        </w:rPr>
        <w:t>list the tr</w:t>
      </w:r>
      <w:r w:rsidRPr="00695A84">
        <w:rPr>
          <w:rFonts w:cs="Calibri"/>
          <w:kern w:val="28"/>
          <w:szCs w:val="24"/>
          <w:highlight w:val="yellow"/>
        </w:rPr>
        <w:t xml:space="preserve">ansit </w:t>
      </w:r>
      <w:r>
        <w:rPr>
          <w:rFonts w:cs="Calibri"/>
          <w:kern w:val="28"/>
          <w:szCs w:val="24"/>
          <w:highlight w:val="yellow"/>
        </w:rPr>
        <w:t xml:space="preserve">safety </w:t>
      </w:r>
      <w:r w:rsidRPr="00A13086">
        <w:rPr>
          <w:rFonts w:cs="Calibri"/>
          <w:kern w:val="28"/>
          <w:szCs w:val="24"/>
          <w:highlight w:val="yellow"/>
        </w:rPr>
        <w:t>targets</w:t>
      </w:r>
      <w:r>
        <w:rPr>
          <w:rFonts w:cs="Calibri"/>
          <w:kern w:val="28"/>
          <w:szCs w:val="24"/>
          <w:highlight w:val="yellow"/>
        </w:rPr>
        <w:t xml:space="preserve"> established by the transit provider(s). Note that this table is an example; the MPO should adapt the table to their specific situation. If more than one provider in the MPO area established transit safety targets, the MPO may include a separate table for each provider or one table that combines the providers, as shown in the example below. Because transit safety t</w:t>
      </w:r>
      <w:r w:rsidRPr="00C3728B">
        <w:rPr>
          <w:rFonts w:cs="Calibri"/>
          <w:kern w:val="28"/>
          <w:szCs w:val="24"/>
          <w:highlight w:val="yellow"/>
        </w:rPr>
        <w:t>argets are</w:t>
      </w:r>
      <w:r>
        <w:rPr>
          <w:rFonts w:cs="Calibri"/>
          <w:kern w:val="28"/>
          <w:szCs w:val="24"/>
          <w:highlight w:val="yellow"/>
        </w:rPr>
        <w:t xml:space="preserve"> established</w:t>
      </w:r>
      <w:r w:rsidRPr="00C3728B">
        <w:rPr>
          <w:rFonts w:cs="Calibri"/>
          <w:kern w:val="28"/>
          <w:szCs w:val="24"/>
          <w:highlight w:val="yellow"/>
        </w:rPr>
        <w:t xml:space="preserve"> by </w:t>
      </w:r>
      <w:r>
        <w:rPr>
          <w:rFonts w:cs="Calibri"/>
          <w:kern w:val="28"/>
          <w:szCs w:val="24"/>
          <w:highlight w:val="yellow"/>
        </w:rPr>
        <w:t xml:space="preserve">transit mode, the table may include additional modes not shown below or may list fewer modes. Transit providers also choose the units they use to express the fatality rate, injury rate, and safety events rate </w:t>
      </w:r>
      <w:r w:rsidRPr="004C7DD3">
        <w:rPr>
          <w:rFonts w:cs="Calibri"/>
          <w:kern w:val="28"/>
          <w:szCs w:val="24"/>
          <w:highlight w:val="yellow"/>
        </w:rPr>
        <w:t xml:space="preserve">measures. </w:t>
      </w:r>
      <w:r>
        <w:rPr>
          <w:rFonts w:cs="Calibri"/>
          <w:kern w:val="28"/>
          <w:szCs w:val="24"/>
          <w:highlight w:val="yellow"/>
        </w:rPr>
        <w:t>For example, a provider may use total annual vehicle revenue miles (VRM) or per 100,000 VRM. The units should be specified in the table</w:t>
      </w:r>
      <w:r w:rsidR="00C35C98">
        <w:rPr>
          <w:rFonts w:cs="Calibri"/>
          <w:kern w:val="28"/>
          <w:szCs w:val="24"/>
          <w:highlight w:val="yellow"/>
        </w:rPr>
        <w:t xml:space="preserve">. </w:t>
      </w:r>
      <w:r w:rsidRPr="004C7DD3">
        <w:rPr>
          <w:rFonts w:cs="Calibri"/>
          <w:color w:val="000000"/>
          <w:kern w:val="36"/>
          <w:szCs w:val="24"/>
          <w:highlight w:val="yellow"/>
        </w:rPr>
        <w:t xml:space="preserve">The MPO also </w:t>
      </w:r>
      <w:r>
        <w:rPr>
          <w:rFonts w:cs="Calibri"/>
          <w:color w:val="000000"/>
          <w:kern w:val="36"/>
          <w:szCs w:val="24"/>
          <w:highlight w:val="yellow"/>
        </w:rPr>
        <w:t xml:space="preserve">may </w:t>
      </w:r>
      <w:r w:rsidRPr="004C7DD3">
        <w:rPr>
          <w:rFonts w:cs="Calibri"/>
          <w:color w:val="000000"/>
          <w:kern w:val="36"/>
          <w:szCs w:val="24"/>
          <w:highlight w:val="yellow"/>
        </w:rPr>
        <w:t>include relevant details from the provider’s PTASP, as needed.</w:t>
      </w:r>
      <w:r w:rsidRPr="004C7DD3">
        <w:rPr>
          <w:rFonts w:cs="Calibri"/>
          <w:color w:val="000000"/>
          <w:kern w:val="36"/>
          <w:szCs w:val="24"/>
        </w:rPr>
        <w:t xml:space="preserve"> </w:t>
      </w:r>
    </w:p>
    <w:p w14:paraId="066A5108" w14:textId="77777777" w:rsidR="005B00C2" w:rsidRDefault="005B00C2" w:rsidP="005B00C2">
      <w:pPr>
        <w:spacing w:after="120"/>
        <w:rPr>
          <w:rFonts w:cs="Calibri"/>
          <w:kern w:val="28"/>
          <w:szCs w:val="24"/>
        </w:rPr>
      </w:pPr>
      <w:r w:rsidRPr="00342667">
        <w:rPr>
          <w:rFonts w:cs="Arial"/>
          <w:b/>
          <w:szCs w:val="24"/>
        </w:rPr>
        <w:t>Table </w:t>
      </w:r>
      <w:r>
        <w:rPr>
          <w:rFonts w:cs="Arial"/>
          <w:b/>
          <w:szCs w:val="24"/>
        </w:rPr>
        <w:t>7.1</w:t>
      </w:r>
      <w:r w:rsidRPr="00342667">
        <w:rPr>
          <w:rFonts w:cs="Arial"/>
          <w:b/>
          <w:szCs w:val="24"/>
        </w:rPr>
        <w:t xml:space="preserve">. </w:t>
      </w:r>
      <w:r>
        <w:rPr>
          <w:rFonts w:cs="Arial"/>
          <w:b/>
          <w:szCs w:val="24"/>
        </w:rPr>
        <w:t>Transit Safety Performance Targets for [</w:t>
      </w:r>
      <w:r w:rsidRPr="00AB2320">
        <w:rPr>
          <w:rFonts w:cs="Arial"/>
          <w:b/>
          <w:szCs w:val="24"/>
          <w:highlight w:val="yellow"/>
        </w:rPr>
        <w:t>insert names of transit provider(s)</w:t>
      </w:r>
      <w:r>
        <w:rPr>
          <w:rFonts w:cs="Arial"/>
          <w:b/>
          <w:szCs w:val="24"/>
        </w:rPr>
        <w:t>]</w:t>
      </w:r>
    </w:p>
    <w:tbl>
      <w:tblPr>
        <w:tblW w:w="9450"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72" w:type="dxa"/>
          <w:left w:w="72" w:type="dxa"/>
          <w:bottom w:w="72" w:type="dxa"/>
          <w:right w:w="72" w:type="dxa"/>
        </w:tblCellMar>
        <w:tblLook w:val="01E0" w:firstRow="1" w:lastRow="1" w:firstColumn="1" w:lastColumn="1" w:noHBand="0" w:noVBand="0"/>
      </w:tblPr>
      <w:tblGrid>
        <w:gridCol w:w="1604"/>
        <w:gridCol w:w="1108"/>
        <w:gridCol w:w="1108"/>
        <w:gridCol w:w="1108"/>
        <w:gridCol w:w="1108"/>
        <w:gridCol w:w="1108"/>
        <w:gridCol w:w="1108"/>
        <w:gridCol w:w="1198"/>
      </w:tblGrid>
      <w:tr w:rsidR="005B00C2" w:rsidRPr="008A2DFD" w14:paraId="52C2C87D" w14:textId="77777777" w:rsidTr="0000371F">
        <w:trPr>
          <w:tblHeader/>
        </w:trPr>
        <w:tc>
          <w:tcPr>
            <w:tcW w:w="1604" w:type="dxa"/>
            <w:shd w:val="clear" w:color="auto" w:fill="auto"/>
            <w:vAlign w:val="center"/>
          </w:tcPr>
          <w:p w14:paraId="37B34718" w14:textId="77777777" w:rsidR="005B00C2" w:rsidRPr="008A2DFD" w:rsidRDefault="005B00C2" w:rsidP="0000371F">
            <w:pPr>
              <w:pStyle w:val="TableHeadText"/>
            </w:pPr>
            <w:r>
              <w:t>Transit Mode</w:t>
            </w:r>
          </w:p>
        </w:tc>
        <w:tc>
          <w:tcPr>
            <w:tcW w:w="1108" w:type="dxa"/>
            <w:shd w:val="clear" w:color="auto" w:fill="auto"/>
            <w:vAlign w:val="center"/>
          </w:tcPr>
          <w:p w14:paraId="73BB3D7B" w14:textId="77777777" w:rsidR="005B00C2" w:rsidRPr="008A2DFD" w:rsidRDefault="005B00C2" w:rsidP="0000371F">
            <w:pPr>
              <w:pStyle w:val="TableHeadText"/>
              <w:jc w:val="center"/>
            </w:pPr>
            <w:r>
              <w:t>Fatalities (total)</w:t>
            </w:r>
          </w:p>
        </w:tc>
        <w:tc>
          <w:tcPr>
            <w:tcW w:w="1108" w:type="dxa"/>
            <w:vAlign w:val="center"/>
          </w:tcPr>
          <w:p w14:paraId="713288BF" w14:textId="77777777" w:rsidR="005B00C2" w:rsidRPr="008A2DFD" w:rsidRDefault="005B00C2" w:rsidP="0000371F">
            <w:pPr>
              <w:pStyle w:val="TableHeadText"/>
              <w:jc w:val="center"/>
            </w:pPr>
            <w:r>
              <w:t>Fatalities (rate)</w:t>
            </w:r>
          </w:p>
        </w:tc>
        <w:tc>
          <w:tcPr>
            <w:tcW w:w="1108" w:type="dxa"/>
            <w:vAlign w:val="center"/>
          </w:tcPr>
          <w:p w14:paraId="3AB50B56" w14:textId="77777777" w:rsidR="005B00C2" w:rsidRPr="008A2DFD" w:rsidRDefault="005B00C2" w:rsidP="0000371F">
            <w:pPr>
              <w:pStyle w:val="TableHeadText"/>
              <w:jc w:val="center"/>
            </w:pPr>
            <w:r>
              <w:t>Injuries (total)</w:t>
            </w:r>
          </w:p>
        </w:tc>
        <w:tc>
          <w:tcPr>
            <w:tcW w:w="1108" w:type="dxa"/>
            <w:vAlign w:val="center"/>
          </w:tcPr>
          <w:p w14:paraId="4E80B723" w14:textId="77777777" w:rsidR="005B00C2" w:rsidRPr="008A2DFD" w:rsidRDefault="005B00C2" w:rsidP="0000371F">
            <w:pPr>
              <w:pStyle w:val="TableHeadText"/>
              <w:jc w:val="center"/>
            </w:pPr>
            <w:r>
              <w:t>Injuries (rate)</w:t>
            </w:r>
          </w:p>
        </w:tc>
        <w:tc>
          <w:tcPr>
            <w:tcW w:w="1108" w:type="dxa"/>
            <w:vAlign w:val="center"/>
          </w:tcPr>
          <w:p w14:paraId="3AFE8BD6" w14:textId="77777777" w:rsidR="005B00C2" w:rsidRPr="008A2DFD" w:rsidRDefault="005B00C2" w:rsidP="0000371F">
            <w:pPr>
              <w:pStyle w:val="TableHeadText"/>
              <w:jc w:val="center"/>
            </w:pPr>
            <w:r>
              <w:t>Safety Events (total)</w:t>
            </w:r>
          </w:p>
        </w:tc>
        <w:tc>
          <w:tcPr>
            <w:tcW w:w="1108" w:type="dxa"/>
            <w:vAlign w:val="center"/>
          </w:tcPr>
          <w:p w14:paraId="52476D94" w14:textId="77777777" w:rsidR="005B00C2" w:rsidRPr="008A2DFD" w:rsidRDefault="005B00C2" w:rsidP="0000371F">
            <w:pPr>
              <w:pStyle w:val="TableHeadText"/>
              <w:jc w:val="center"/>
            </w:pPr>
            <w:r>
              <w:t>Safety Events (rate)</w:t>
            </w:r>
          </w:p>
        </w:tc>
        <w:tc>
          <w:tcPr>
            <w:tcW w:w="1198" w:type="dxa"/>
            <w:vAlign w:val="center"/>
          </w:tcPr>
          <w:p w14:paraId="1943A2A1" w14:textId="77777777" w:rsidR="005B00C2" w:rsidRPr="008A2DFD" w:rsidRDefault="005B00C2" w:rsidP="0000371F">
            <w:pPr>
              <w:pStyle w:val="TableHeadText"/>
              <w:jc w:val="center"/>
            </w:pPr>
            <w:r>
              <w:t>System Reliability</w:t>
            </w:r>
          </w:p>
        </w:tc>
      </w:tr>
      <w:tr w:rsidR="005B00C2" w:rsidRPr="003639C4" w14:paraId="26C5EC1B" w14:textId="77777777" w:rsidTr="0000371F">
        <w:tc>
          <w:tcPr>
            <w:tcW w:w="9450" w:type="dxa"/>
            <w:gridSpan w:val="8"/>
            <w:shd w:val="clear" w:color="auto" w:fill="auto"/>
            <w:vAlign w:val="center"/>
          </w:tcPr>
          <w:p w14:paraId="159240A0" w14:textId="77777777" w:rsidR="005B00C2" w:rsidRPr="0000371F" w:rsidRDefault="005B00C2" w:rsidP="0000371F">
            <w:pPr>
              <w:pStyle w:val="TableBodyText"/>
              <w:rPr>
                <w:b/>
                <w:bCs/>
              </w:rPr>
            </w:pPr>
            <w:r w:rsidRPr="0000371F">
              <w:rPr>
                <w:b/>
                <w:bCs/>
              </w:rPr>
              <w:t>Transit Provider 1</w:t>
            </w:r>
          </w:p>
        </w:tc>
      </w:tr>
      <w:tr w:rsidR="005B00C2" w:rsidRPr="008A2DFD" w14:paraId="07C8CF5E" w14:textId="77777777" w:rsidTr="0000371F">
        <w:tc>
          <w:tcPr>
            <w:tcW w:w="1604" w:type="dxa"/>
            <w:shd w:val="clear" w:color="auto" w:fill="auto"/>
            <w:vAlign w:val="center"/>
          </w:tcPr>
          <w:p w14:paraId="11FF8135" w14:textId="77777777" w:rsidR="005B00C2" w:rsidRPr="008A2DFD" w:rsidRDefault="005B00C2" w:rsidP="0000371F">
            <w:pPr>
              <w:pStyle w:val="TableBodyText"/>
              <w:rPr>
                <w:bCs/>
              </w:rPr>
            </w:pPr>
            <w:r>
              <w:rPr>
                <w:bCs/>
              </w:rPr>
              <w:t>Fixed Route Bus</w:t>
            </w:r>
          </w:p>
        </w:tc>
        <w:tc>
          <w:tcPr>
            <w:tcW w:w="1108" w:type="dxa"/>
            <w:shd w:val="clear" w:color="auto" w:fill="auto"/>
            <w:vAlign w:val="center"/>
          </w:tcPr>
          <w:p w14:paraId="120C86FA" w14:textId="77777777" w:rsidR="005B00C2" w:rsidRPr="008A2DFD" w:rsidRDefault="005B00C2" w:rsidP="0000371F">
            <w:pPr>
              <w:pStyle w:val="TableBodyText"/>
              <w:jc w:val="center"/>
              <w:rPr>
                <w:bCs/>
              </w:rPr>
            </w:pPr>
          </w:p>
        </w:tc>
        <w:tc>
          <w:tcPr>
            <w:tcW w:w="1108" w:type="dxa"/>
            <w:vAlign w:val="center"/>
          </w:tcPr>
          <w:p w14:paraId="05A2EB8E" w14:textId="77777777" w:rsidR="005B00C2" w:rsidRPr="008A2DFD" w:rsidRDefault="005B00C2" w:rsidP="0000371F">
            <w:pPr>
              <w:pStyle w:val="TableBodyText"/>
              <w:jc w:val="center"/>
              <w:rPr>
                <w:bCs/>
              </w:rPr>
            </w:pPr>
          </w:p>
        </w:tc>
        <w:tc>
          <w:tcPr>
            <w:tcW w:w="1108" w:type="dxa"/>
            <w:vAlign w:val="center"/>
          </w:tcPr>
          <w:p w14:paraId="56336C0B" w14:textId="77777777" w:rsidR="005B00C2" w:rsidRPr="008A2DFD" w:rsidRDefault="005B00C2" w:rsidP="0000371F">
            <w:pPr>
              <w:pStyle w:val="TableBodyText"/>
              <w:jc w:val="center"/>
              <w:rPr>
                <w:bCs/>
              </w:rPr>
            </w:pPr>
          </w:p>
        </w:tc>
        <w:tc>
          <w:tcPr>
            <w:tcW w:w="1108" w:type="dxa"/>
            <w:vAlign w:val="center"/>
          </w:tcPr>
          <w:p w14:paraId="0DC4CA73" w14:textId="77777777" w:rsidR="005B00C2" w:rsidRPr="008A2DFD" w:rsidRDefault="005B00C2" w:rsidP="0000371F">
            <w:pPr>
              <w:pStyle w:val="TableBodyText"/>
              <w:jc w:val="center"/>
              <w:rPr>
                <w:bCs/>
              </w:rPr>
            </w:pPr>
          </w:p>
        </w:tc>
        <w:tc>
          <w:tcPr>
            <w:tcW w:w="1108" w:type="dxa"/>
            <w:vAlign w:val="center"/>
          </w:tcPr>
          <w:p w14:paraId="51975932" w14:textId="77777777" w:rsidR="005B00C2" w:rsidRPr="008A2DFD" w:rsidRDefault="005B00C2" w:rsidP="0000371F">
            <w:pPr>
              <w:pStyle w:val="TableBodyText"/>
              <w:jc w:val="center"/>
              <w:rPr>
                <w:bCs/>
              </w:rPr>
            </w:pPr>
          </w:p>
        </w:tc>
        <w:tc>
          <w:tcPr>
            <w:tcW w:w="1108" w:type="dxa"/>
            <w:vAlign w:val="center"/>
          </w:tcPr>
          <w:p w14:paraId="3645AE94" w14:textId="77777777" w:rsidR="005B00C2" w:rsidRPr="008A2DFD" w:rsidRDefault="005B00C2" w:rsidP="0000371F">
            <w:pPr>
              <w:pStyle w:val="TableBodyText"/>
              <w:jc w:val="center"/>
              <w:rPr>
                <w:bCs/>
              </w:rPr>
            </w:pPr>
          </w:p>
        </w:tc>
        <w:tc>
          <w:tcPr>
            <w:tcW w:w="1198" w:type="dxa"/>
            <w:vAlign w:val="center"/>
          </w:tcPr>
          <w:p w14:paraId="2A472E52" w14:textId="77777777" w:rsidR="005B00C2" w:rsidRPr="008A2DFD" w:rsidRDefault="005B00C2" w:rsidP="0000371F">
            <w:pPr>
              <w:pStyle w:val="TableBodyText"/>
              <w:jc w:val="center"/>
              <w:rPr>
                <w:bCs/>
              </w:rPr>
            </w:pPr>
          </w:p>
        </w:tc>
      </w:tr>
      <w:tr w:rsidR="005B00C2" w:rsidRPr="008A2DFD" w14:paraId="7772C328" w14:textId="77777777" w:rsidTr="0000371F">
        <w:tc>
          <w:tcPr>
            <w:tcW w:w="1604" w:type="dxa"/>
            <w:shd w:val="clear" w:color="auto" w:fill="auto"/>
            <w:vAlign w:val="center"/>
          </w:tcPr>
          <w:p w14:paraId="3DC7F8E1" w14:textId="77777777" w:rsidR="005B00C2" w:rsidRPr="008A2DFD" w:rsidRDefault="005B00C2" w:rsidP="0000371F">
            <w:pPr>
              <w:pStyle w:val="TableBodyText"/>
              <w:rPr>
                <w:bCs/>
              </w:rPr>
            </w:pPr>
            <w:r>
              <w:rPr>
                <w:bCs/>
              </w:rPr>
              <w:t>Community Bus</w:t>
            </w:r>
          </w:p>
        </w:tc>
        <w:tc>
          <w:tcPr>
            <w:tcW w:w="1108" w:type="dxa"/>
            <w:shd w:val="clear" w:color="auto" w:fill="auto"/>
            <w:vAlign w:val="center"/>
          </w:tcPr>
          <w:p w14:paraId="3BA39E44" w14:textId="77777777" w:rsidR="005B00C2" w:rsidRPr="008A2DFD" w:rsidRDefault="005B00C2" w:rsidP="0000371F">
            <w:pPr>
              <w:pStyle w:val="TableBodyText"/>
              <w:jc w:val="center"/>
              <w:rPr>
                <w:bCs/>
              </w:rPr>
            </w:pPr>
          </w:p>
        </w:tc>
        <w:tc>
          <w:tcPr>
            <w:tcW w:w="1108" w:type="dxa"/>
            <w:vAlign w:val="center"/>
          </w:tcPr>
          <w:p w14:paraId="0EFB57F8" w14:textId="77777777" w:rsidR="005B00C2" w:rsidRPr="008A2DFD" w:rsidRDefault="005B00C2" w:rsidP="0000371F">
            <w:pPr>
              <w:pStyle w:val="TableBodyText"/>
              <w:jc w:val="center"/>
              <w:rPr>
                <w:bCs/>
              </w:rPr>
            </w:pPr>
          </w:p>
        </w:tc>
        <w:tc>
          <w:tcPr>
            <w:tcW w:w="1108" w:type="dxa"/>
            <w:vAlign w:val="center"/>
          </w:tcPr>
          <w:p w14:paraId="5B6A8096" w14:textId="77777777" w:rsidR="005B00C2" w:rsidRPr="008A2DFD" w:rsidRDefault="005B00C2" w:rsidP="0000371F">
            <w:pPr>
              <w:pStyle w:val="TableBodyText"/>
              <w:jc w:val="center"/>
              <w:rPr>
                <w:bCs/>
              </w:rPr>
            </w:pPr>
          </w:p>
        </w:tc>
        <w:tc>
          <w:tcPr>
            <w:tcW w:w="1108" w:type="dxa"/>
            <w:vAlign w:val="center"/>
          </w:tcPr>
          <w:p w14:paraId="1FD3DCE0" w14:textId="77777777" w:rsidR="005B00C2" w:rsidRPr="008A2DFD" w:rsidRDefault="005B00C2" w:rsidP="0000371F">
            <w:pPr>
              <w:pStyle w:val="TableBodyText"/>
              <w:jc w:val="center"/>
              <w:rPr>
                <w:bCs/>
              </w:rPr>
            </w:pPr>
          </w:p>
        </w:tc>
        <w:tc>
          <w:tcPr>
            <w:tcW w:w="1108" w:type="dxa"/>
            <w:vAlign w:val="center"/>
          </w:tcPr>
          <w:p w14:paraId="1DCD43CF" w14:textId="77777777" w:rsidR="005B00C2" w:rsidRPr="008A2DFD" w:rsidRDefault="005B00C2" w:rsidP="0000371F">
            <w:pPr>
              <w:pStyle w:val="TableBodyText"/>
              <w:jc w:val="center"/>
              <w:rPr>
                <w:bCs/>
              </w:rPr>
            </w:pPr>
          </w:p>
        </w:tc>
        <w:tc>
          <w:tcPr>
            <w:tcW w:w="1108" w:type="dxa"/>
            <w:vAlign w:val="center"/>
          </w:tcPr>
          <w:p w14:paraId="66AF2C25" w14:textId="77777777" w:rsidR="005B00C2" w:rsidRPr="008A2DFD" w:rsidRDefault="005B00C2" w:rsidP="0000371F">
            <w:pPr>
              <w:pStyle w:val="TableBodyText"/>
              <w:jc w:val="center"/>
              <w:rPr>
                <w:bCs/>
              </w:rPr>
            </w:pPr>
          </w:p>
        </w:tc>
        <w:tc>
          <w:tcPr>
            <w:tcW w:w="1198" w:type="dxa"/>
            <w:vAlign w:val="center"/>
          </w:tcPr>
          <w:p w14:paraId="693D8060" w14:textId="77777777" w:rsidR="005B00C2" w:rsidRPr="008A2DFD" w:rsidRDefault="005B00C2" w:rsidP="0000371F">
            <w:pPr>
              <w:pStyle w:val="TableBodyText"/>
              <w:jc w:val="center"/>
              <w:rPr>
                <w:bCs/>
              </w:rPr>
            </w:pPr>
          </w:p>
        </w:tc>
      </w:tr>
      <w:tr w:rsidR="005B00C2" w:rsidRPr="008A2DFD" w14:paraId="1124D2FF" w14:textId="77777777" w:rsidTr="0000371F">
        <w:tc>
          <w:tcPr>
            <w:tcW w:w="1604" w:type="dxa"/>
            <w:shd w:val="clear" w:color="auto" w:fill="auto"/>
            <w:vAlign w:val="center"/>
          </w:tcPr>
          <w:p w14:paraId="08B5BF09" w14:textId="77777777" w:rsidR="005B00C2" w:rsidRPr="008A2DFD" w:rsidRDefault="005B00C2" w:rsidP="0000371F">
            <w:pPr>
              <w:pStyle w:val="TableBodyText"/>
              <w:rPr>
                <w:bCs/>
              </w:rPr>
            </w:pPr>
            <w:r w:rsidRPr="008A2DFD">
              <w:rPr>
                <w:bCs/>
              </w:rPr>
              <w:lastRenderedPageBreak/>
              <w:t>Etc.</w:t>
            </w:r>
          </w:p>
        </w:tc>
        <w:tc>
          <w:tcPr>
            <w:tcW w:w="1108" w:type="dxa"/>
            <w:shd w:val="clear" w:color="auto" w:fill="auto"/>
            <w:vAlign w:val="center"/>
          </w:tcPr>
          <w:p w14:paraId="3F6E6628" w14:textId="77777777" w:rsidR="005B00C2" w:rsidRPr="008A2DFD" w:rsidRDefault="005B00C2" w:rsidP="0000371F">
            <w:pPr>
              <w:pStyle w:val="TableBodyText"/>
              <w:jc w:val="center"/>
              <w:rPr>
                <w:bCs/>
              </w:rPr>
            </w:pPr>
          </w:p>
        </w:tc>
        <w:tc>
          <w:tcPr>
            <w:tcW w:w="1108" w:type="dxa"/>
            <w:vAlign w:val="center"/>
          </w:tcPr>
          <w:p w14:paraId="0951D49E" w14:textId="77777777" w:rsidR="005B00C2" w:rsidRPr="008A2DFD" w:rsidRDefault="005B00C2" w:rsidP="0000371F">
            <w:pPr>
              <w:pStyle w:val="TableBodyText"/>
              <w:jc w:val="center"/>
              <w:rPr>
                <w:bCs/>
              </w:rPr>
            </w:pPr>
          </w:p>
        </w:tc>
        <w:tc>
          <w:tcPr>
            <w:tcW w:w="1108" w:type="dxa"/>
            <w:vAlign w:val="center"/>
          </w:tcPr>
          <w:p w14:paraId="23565AD6" w14:textId="77777777" w:rsidR="005B00C2" w:rsidRPr="008A2DFD" w:rsidRDefault="005B00C2" w:rsidP="0000371F">
            <w:pPr>
              <w:pStyle w:val="TableBodyText"/>
              <w:jc w:val="center"/>
              <w:rPr>
                <w:bCs/>
              </w:rPr>
            </w:pPr>
          </w:p>
        </w:tc>
        <w:tc>
          <w:tcPr>
            <w:tcW w:w="1108" w:type="dxa"/>
            <w:vAlign w:val="center"/>
          </w:tcPr>
          <w:p w14:paraId="42E78860" w14:textId="77777777" w:rsidR="005B00C2" w:rsidRPr="008A2DFD" w:rsidRDefault="005B00C2" w:rsidP="0000371F">
            <w:pPr>
              <w:pStyle w:val="TableBodyText"/>
              <w:jc w:val="center"/>
              <w:rPr>
                <w:bCs/>
              </w:rPr>
            </w:pPr>
          </w:p>
        </w:tc>
        <w:tc>
          <w:tcPr>
            <w:tcW w:w="1108" w:type="dxa"/>
            <w:vAlign w:val="center"/>
          </w:tcPr>
          <w:p w14:paraId="4767B366" w14:textId="77777777" w:rsidR="005B00C2" w:rsidRPr="008A2DFD" w:rsidRDefault="005B00C2" w:rsidP="0000371F">
            <w:pPr>
              <w:pStyle w:val="TableBodyText"/>
              <w:jc w:val="center"/>
              <w:rPr>
                <w:bCs/>
              </w:rPr>
            </w:pPr>
          </w:p>
        </w:tc>
        <w:tc>
          <w:tcPr>
            <w:tcW w:w="1108" w:type="dxa"/>
            <w:vAlign w:val="center"/>
          </w:tcPr>
          <w:p w14:paraId="705A38CD" w14:textId="77777777" w:rsidR="005B00C2" w:rsidRPr="008A2DFD" w:rsidRDefault="005B00C2" w:rsidP="0000371F">
            <w:pPr>
              <w:pStyle w:val="TableBodyText"/>
              <w:jc w:val="center"/>
              <w:rPr>
                <w:bCs/>
              </w:rPr>
            </w:pPr>
          </w:p>
        </w:tc>
        <w:tc>
          <w:tcPr>
            <w:tcW w:w="1198" w:type="dxa"/>
            <w:vAlign w:val="center"/>
          </w:tcPr>
          <w:p w14:paraId="50420E20" w14:textId="77777777" w:rsidR="005B00C2" w:rsidRPr="008A2DFD" w:rsidRDefault="005B00C2" w:rsidP="0000371F">
            <w:pPr>
              <w:pStyle w:val="TableBodyText"/>
              <w:jc w:val="center"/>
              <w:rPr>
                <w:bCs/>
              </w:rPr>
            </w:pPr>
          </w:p>
        </w:tc>
      </w:tr>
      <w:tr w:rsidR="005B00C2" w:rsidRPr="003639C4" w14:paraId="5D3979F9" w14:textId="77777777" w:rsidTr="0000371F">
        <w:tc>
          <w:tcPr>
            <w:tcW w:w="9450" w:type="dxa"/>
            <w:gridSpan w:val="8"/>
            <w:shd w:val="clear" w:color="auto" w:fill="auto"/>
            <w:vAlign w:val="center"/>
          </w:tcPr>
          <w:p w14:paraId="4CBF2D4B" w14:textId="77777777" w:rsidR="005B00C2" w:rsidRPr="0000371F" w:rsidRDefault="005B00C2" w:rsidP="0000371F">
            <w:pPr>
              <w:pStyle w:val="TableBodyText"/>
              <w:rPr>
                <w:b/>
                <w:bCs/>
              </w:rPr>
            </w:pPr>
            <w:r w:rsidRPr="0000371F">
              <w:rPr>
                <w:b/>
                <w:bCs/>
              </w:rPr>
              <w:t>Transit Provider 2</w:t>
            </w:r>
          </w:p>
        </w:tc>
      </w:tr>
      <w:tr w:rsidR="005B00C2" w:rsidRPr="008A2DFD" w14:paraId="34295ECA" w14:textId="77777777" w:rsidTr="0000371F">
        <w:tc>
          <w:tcPr>
            <w:tcW w:w="1604" w:type="dxa"/>
            <w:shd w:val="clear" w:color="auto" w:fill="auto"/>
            <w:vAlign w:val="center"/>
          </w:tcPr>
          <w:p w14:paraId="01093C99" w14:textId="77777777" w:rsidR="005B00C2" w:rsidRPr="008A2DFD" w:rsidRDefault="005B00C2" w:rsidP="0000371F">
            <w:pPr>
              <w:pStyle w:val="TableBodyText"/>
              <w:rPr>
                <w:bCs/>
              </w:rPr>
            </w:pPr>
            <w:r>
              <w:rPr>
                <w:bCs/>
              </w:rPr>
              <w:t>Fixed Route Bus</w:t>
            </w:r>
          </w:p>
        </w:tc>
        <w:tc>
          <w:tcPr>
            <w:tcW w:w="1108" w:type="dxa"/>
            <w:shd w:val="clear" w:color="auto" w:fill="auto"/>
            <w:vAlign w:val="center"/>
          </w:tcPr>
          <w:p w14:paraId="5A6665B7" w14:textId="77777777" w:rsidR="005B00C2" w:rsidRPr="008A2DFD" w:rsidRDefault="005B00C2" w:rsidP="0000371F">
            <w:pPr>
              <w:pStyle w:val="TableBodyText"/>
              <w:jc w:val="center"/>
              <w:rPr>
                <w:bCs/>
              </w:rPr>
            </w:pPr>
          </w:p>
        </w:tc>
        <w:tc>
          <w:tcPr>
            <w:tcW w:w="1108" w:type="dxa"/>
            <w:vAlign w:val="center"/>
          </w:tcPr>
          <w:p w14:paraId="2558F6CC" w14:textId="77777777" w:rsidR="005B00C2" w:rsidRPr="008A2DFD" w:rsidRDefault="005B00C2" w:rsidP="0000371F">
            <w:pPr>
              <w:pStyle w:val="TableBodyText"/>
              <w:jc w:val="center"/>
              <w:rPr>
                <w:bCs/>
              </w:rPr>
            </w:pPr>
          </w:p>
        </w:tc>
        <w:tc>
          <w:tcPr>
            <w:tcW w:w="1108" w:type="dxa"/>
            <w:vAlign w:val="center"/>
          </w:tcPr>
          <w:p w14:paraId="6100C2D4" w14:textId="77777777" w:rsidR="005B00C2" w:rsidRPr="008A2DFD" w:rsidRDefault="005B00C2" w:rsidP="0000371F">
            <w:pPr>
              <w:pStyle w:val="TableBodyText"/>
              <w:jc w:val="center"/>
              <w:rPr>
                <w:bCs/>
              </w:rPr>
            </w:pPr>
          </w:p>
        </w:tc>
        <w:tc>
          <w:tcPr>
            <w:tcW w:w="1108" w:type="dxa"/>
            <w:vAlign w:val="center"/>
          </w:tcPr>
          <w:p w14:paraId="753F2D3B" w14:textId="77777777" w:rsidR="005B00C2" w:rsidRPr="008A2DFD" w:rsidRDefault="005B00C2" w:rsidP="0000371F">
            <w:pPr>
              <w:pStyle w:val="TableBodyText"/>
              <w:jc w:val="center"/>
              <w:rPr>
                <w:bCs/>
              </w:rPr>
            </w:pPr>
          </w:p>
        </w:tc>
        <w:tc>
          <w:tcPr>
            <w:tcW w:w="1108" w:type="dxa"/>
            <w:vAlign w:val="center"/>
          </w:tcPr>
          <w:p w14:paraId="13B7380F" w14:textId="77777777" w:rsidR="005B00C2" w:rsidRPr="008A2DFD" w:rsidRDefault="005B00C2" w:rsidP="0000371F">
            <w:pPr>
              <w:pStyle w:val="TableBodyText"/>
              <w:jc w:val="center"/>
              <w:rPr>
                <w:bCs/>
              </w:rPr>
            </w:pPr>
          </w:p>
        </w:tc>
        <w:tc>
          <w:tcPr>
            <w:tcW w:w="1108" w:type="dxa"/>
            <w:vAlign w:val="center"/>
          </w:tcPr>
          <w:p w14:paraId="76EE423B" w14:textId="77777777" w:rsidR="005B00C2" w:rsidRPr="008A2DFD" w:rsidRDefault="005B00C2" w:rsidP="0000371F">
            <w:pPr>
              <w:pStyle w:val="TableBodyText"/>
              <w:jc w:val="center"/>
              <w:rPr>
                <w:bCs/>
              </w:rPr>
            </w:pPr>
          </w:p>
        </w:tc>
        <w:tc>
          <w:tcPr>
            <w:tcW w:w="1198" w:type="dxa"/>
            <w:vAlign w:val="center"/>
          </w:tcPr>
          <w:p w14:paraId="2D6FC6C6" w14:textId="77777777" w:rsidR="005B00C2" w:rsidRPr="008A2DFD" w:rsidRDefault="005B00C2" w:rsidP="0000371F">
            <w:pPr>
              <w:pStyle w:val="TableBodyText"/>
              <w:jc w:val="center"/>
              <w:rPr>
                <w:bCs/>
              </w:rPr>
            </w:pPr>
          </w:p>
        </w:tc>
      </w:tr>
      <w:tr w:rsidR="005B00C2" w:rsidRPr="008A2DFD" w14:paraId="2E5AF627" w14:textId="77777777" w:rsidTr="0000371F">
        <w:trPr>
          <w:tblHeader/>
        </w:trPr>
        <w:tc>
          <w:tcPr>
            <w:tcW w:w="1604" w:type="dxa"/>
            <w:shd w:val="clear" w:color="auto" w:fill="auto"/>
            <w:vAlign w:val="center"/>
          </w:tcPr>
          <w:p w14:paraId="32264273" w14:textId="77777777" w:rsidR="005B00C2" w:rsidRPr="008A2DFD" w:rsidRDefault="005B00C2" w:rsidP="0000371F">
            <w:pPr>
              <w:pStyle w:val="TableBodyText"/>
              <w:rPr>
                <w:bCs/>
              </w:rPr>
            </w:pPr>
            <w:r>
              <w:rPr>
                <w:bCs/>
              </w:rPr>
              <w:t>Paratransit</w:t>
            </w:r>
          </w:p>
        </w:tc>
        <w:tc>
          <w:tcPr>
            <w:tcW w:w="1108" w:type="dxa"/>
            <w:shd w:val="clear" w:color="auto" w:fill="auto"/>
            <w:vAlign w:val="center"/>
          </w:tcPr>
          <w:p w14:paraId="00D0122B" w14:textId="77777777" w:rsidR="005B00C2" w:rsidRPr="008A2DFD" w:rsidRDefault="005B00C2" w:rsidP="0000371F">
            <w:pPr>
              <w:pStyle w:val="TableBodyText"/>
              <w:jc w:val="center"/>
              <w:rPr>
                <w:bCs/>
              </w:rPr>
            </w:pPr>
          </w:p>
        </w:tc>
        <w:tc>
          <w:tcPr>
            <w:tcW w:w="1108" w:type="dxa"/>
            <w:vAlign w:val="center"/>
          </w:tcPr>
          <w:p w14:paraId="4955ADAC" w14:textId="77777777" w:rsidR="005B00C2" w:rsidRPr="008A2DFD" w:rsidRDefault="005B00C2" w:rsidP="0000371F">
            <w:pPr>
              <w:pStyle w:val="TableBodyText"/>
              <w:jc w:val="center"/>
              <w:rPr>
                <w:bCs/>
              </w:rPr>
            </w:pPr>
          </w:p>
        </w:tc>
        <w:tc>
          <w:tcPr>
            <w:tcW w:w="1108" w:type="dxa"/>
            <w:vAlign w:val="center"/>
          </w:tcPr>
          <w:p w14:paraId="76F48636" w14:textId="77777777" w:rsidR="005B00C2" w:rsidRPr="008A2DFD" w:rsidRDefault="005B00C2" w:rsidP="0000371F">
            <w:pPr>
              <w:pStyle w:val="TableBodyText"/>
              <w:jc w:val="center"/>
              <w:rPr>
                <w:bCs/>
              </w:rPr>
            </w:pPr>
          </w:p>
        </w:tc>
        <w:tc>
          <w:tcPr>
            <w:tcW w:w="1108" w:type="dxa"/>
            <w:vAlign w:val="center"/>
          </w:tcPr>
          <w:p w14:paraId="1DCDAC0C" w14:textId="77777777" w:rsidR="005B00C2" w:rsidRPr="008A2DFD" w:rsidRDefault="005B00C2" w:rsidP="0000371F">
            <w:pPr>
              <w:pStyle w:val="TableBodyText"/>
              <w:jc w:val="center"/>
              <w:rPr>
                <w:bCs/>
              </w:rPr>
            </w:pPr>
          </w:p>
        </w:tc>
        <w:tc>
          <w:tcPr>
            <w:tcW w:w="1108" w:type="dxa"/>
            <w:vAlign w:val="center"/>
          </w:tcPr>
          <w:p w14:paraId="764E0785" w14:textId="77777777" w:rsidR="005B00C2" w:rsidRPr="008A2DFD" w:rsidRDefault="005B00C2" w:rsidP="0000371F">
            <w:pPr>
              <w:pStyle w:val="TableBodyText"/>
              <w:jc w:val="center"/>
              <w:rPr>
                <w:bCs/>
              </w:rPr>
            </w:pPr>
          </w:p>
        </w:tc>
        <w:tc>
          <w:tcPr>
            <w:tcW w:w="1108" w:type="dxa"/>
            <w:vAlign w:val="center"/>
          </w:tcPr>
          <w:p w14:paraId="2A837E3E" w14:textId="77777777" w:rsidR="005B00C2" w:rsidRPr="008A2DFD" w:rsidRDefault="005B00C2" w:rsidP="0000371F">
            <w:pPr>
              <w:pStyle w:val="TableBodyText"/>
              <w:jc w:val="center"/>
              <w:rPr>
                <w:bCs/>
              </w:rPr>
            </w:pPr>
          </w:p>
        </w:tc>
        <w:tc>
          <w:tcPr>
            <w:tcW w:w="1198" w:type="dxa"/>
            <w:vAlign w:val="center"/>
          </w:tcPr>
          <w:p w14:paraId="118ECCFE" w14:textId="77777777" w:rsidR="005B00C2" w:rsidRPr="008A2DFD" w:rsidRDefault="005B00C2" w:rsidP="0000371F">
            <w:pPr>
              <w:pStyle w:val="TableBodyText"/>
              <w:jc w:val="center"/>
              <w:rPr>
                <w:bCs/>
              </w:rPr>
            </w:pPr>
          </w:p>
        </w:tc>
      </w:tr>
    </w:tbl>
    <w:p w14:paraId="72A213C0" w14:textId="77777777" w:rsidR="005B00C2" w:rsidRDefault="005B00C2" w:rsidP="005B00C2">
      <w:pPr>
        <w:rPr>
          <w:b/>
          <w:bCs/>
        </w:rPr>
      </w:pPr>
    </w:p>
    <w:p w14:paraId="4EDCA7EE" w14:textId="77777777" w:rsidR="005B00C2" w:rsidRPr="00902A8B" w:rsidRDefault="005B00C2" w:rsidP="005B00C2">
      <w:pPr>
        <w:pStyle w:val="Heading3"/>
        <w:spacing w:before="0"/>
      </w:pPr>
      <w:r>
        <w:t>7</w:t>
      </w:r>
      <w:r w:rsidRPr="00902A8B">
        <w:t>.</w:t>
      </w:r>
      <w:r>
        <w:t>1</w:t>
      </w:r>
      <w:r w:rsidRPr="00902A8B">
        <w:t>.</w:t>
      </w:r>
      <w:r>
        <w:t>2</w:t>
      </w:r>
      <w:r w:rsidRPr="00902A8B">
        <w:t xml:space="preserve"> </w:t>
      </w:r>
      <w:r>
        <w:t xml:space="preserve">MPO Transit Safety </w:t>
      </w:r>
      <w:r w:rsidRPr="00902A8B">
        <w:t>Targets</w:t>
      </w:r>
    </w:p>
    <w:p w14:paraId="022346FB" w14:textId="390538EE" w:rsidR="005B00C2" w:rsidRDefault="008B71B1" w:rsidP="005B00C2">
      <w:pPr>
        <w:rPr>
          <w:rFonts w:cs="Calibri"/>
          <w:kern w:val="28"/>
          <w:szCs w:val="24"/>
        </w:rPr>
      </w:pPr>
      <w:r>
        <w:rPr>
          <w:szCs w:val="24"/>
        </w:rPr>
        <w:t xml:space="preserve">As discussed above, </w:t>
      </w:r>
      <w:r w:rsidR="005B00C2" w:rsidRPr="007339A4">
        <w:rPr>
          <w:szCs w:val="24"/>
        </w:rPr>
        <w:t>MPOs are not required to establish</w:t>
      </w:r>
      <w:r w:rsidR="005B00C2">
        <w:rPr>
          <w:szCs w:val="24"/>
        </w:rPr>
        <w:t xml:space="preserve"> transit safety t</w:t>
      </w:r>
      <w:r w:rsidR="005B00C2" w:rsidRPr="007339A4">
        <w:rPr>
          <w:szCs w:val="24"/>
        </w:rPr>
        <w:t>argets annually each time the transit provider establishes targets. Instead, MPO</w:t>
      </w:r>
      <w:r w:rsidR="005B00C2">
        <w:rPr>
          <w:szCs w:val="24"/>
        </w:rPr>
        <w:t xml:space="preserve">’s must revisit </w:t>
      </w:r>
      <w:r w:rsidR="005B00C2" w:rsidRPr="007339A4">
        <w:rPr>
          <w:szCs w:val="24"/>
        </w:rPr>
        <w:t xml:space="preserve">targets </w:t>
      </w:r>
      <w:r w:rsidR="005B00C2">
        <w:rPr>
          <w:szCs w:val="24"/>
        </w:rPr>
        <w:t xml:space="preserve">each time </w:t>
      </w:r>
      <w:r w:rsidR="005B00C2" w:rsidRPr="007339A4">
        <w:rPr>
          <w:szCs w:val="24"/>
        </w:rPr>
        <w:t xml:space="preserve">the MPO updates </w:t>
      </w:r>
      <w:r w:rsidR="005B00C2">
        <w:rPr>
          <w:szCs w:val="24"/>
        </w:rPr>
        <w:t xml:space="preserve">the </w:t>
      </w:r>
      <w:r w:rsidR="005B00C2" w:rsidRPr="007339A4">
        <w:rPr>
          <w:szCs w:val="24"/>
        </w:rPr>
        <w:t xml:space="preserve">LRTP. </w:t>
      </w:r>
      <w:r w:rsidR="005B00C2" w:rsidRPr="007339A4">
        <w:rPr>
          <w:rFonts w:cs="Calibri"/>
          <w:kern w:val="28"/>
          <w:szCs w:val="24"/>
        </w:rPr>
        <w:t>MPO</w:t>
      </w:r>
      <w:r w:rsidR="005B00C2">
        <w:rPr>
          <w:rFonts w:cs="Calibri"/>
          <w:kern w:val="28"/>
          <w:szCs w:val="24"/>
        </w:rPr>
        <w:t>s</w:t>
      </w:r>
      <w:r w:rsidR="005B00C2" w:rsidRPr="007339A4">
        <w:rPr>
          <w:rFonts w:cs="Calibri"/>
          <w:kern w:val="28"/>
          <w:szCs w:val="24"/>
        </w:rPr>
        <w:t xml:space="preserve"> can either agree to program projects that will support the transit provider targets or establish separate regional </w:t>
      </w:r>
      <w:r w:rsidR="005B00C2">
        <w:rPr>
          <w:rFonts w:cs="Calibri"/>
          <w:kern w:val="28"/>
          <w:szCs w:val="24"/>
        </w:rPr>
        <w:t>transit safety t</w:t>
      </w:r>
      <w:r w:rsidR="005B00C2" w:rsidRPr="007339A4">
        <w:rPr>
          <w:rFonts w:cs="Calibri"/>
          <w:kern w:val="28"/>
          <w:szCs w:val="24"/>
        </w:rPr>
        <w:t>argets for the MPO planning area</w:t>
      </w:r>
      <w:r w:rsidR="00C35C98" w:rsidRPr="007339A4">
        <w:rPr>
          <w:rFonts w:cs="Calibri"/>
          <w:kern w:val="28"/>
          <w:szCs w:val="24"/>
        </w:rPr>
        <w:t xml:space="preserve">. </w:t>
      </w:r>
      <w:r w:rsidR="005B00C2" w:rsidRPr="007339A4">
        <w:rPr>
          <w:rFonts w:cs="Calibri"/>
          <w:kern w:val="28"/>
          <w:szCs w:val="24"/>
        </w:rPr>
        <w:t>MPO targets may differ from agency targets, especially if there are multiple transit agencies in the MPO planning area</w:t>
      </w:r>
      <w:r w:rsidR="005B00C2">
        <w:rPr>
          <w:rFonts w:cs="Calibri"/>
          <w:kern w:val="28"/>
          <w:szCs w:val="24"/>
        </w:rPr>
        <w:t>.</w:t>
      </w:r>
    </w:p>
    <w:p w14:paraId="1E66C5C8" w14:textId="39E8027D" w:rsidR="005B00C2" w:rsidRDefault="005B00C2" w:rsidP="005B00C2">
      <w:pPr>
        <w:keepNext/>
        <w:rPr>
          <w:rFonts w:cs="Proxima Nova"/>
          <w:color w:val="000000"/>
          <w:szCs w:val="24"/>
        </w:rPr>
      </w:pPr>
      <w:r w:rsidRPr="00A10F80">
        <w:rPr>
          <w:rFonts w:cs="Proxima Nova"/>
          <w:color w:val="000000"/>
          <w:szCs w:val="24"/>
          <w:highlight w:val="yellow"/>
        </w:rPr>
        <w:t>[Use</w:t>
      </w:r>
      <w:r>
        <w:rPr>
          <w:rFonts w:cs="Proxima Nova"/>
          <w:color w:val="000000"/>
          <w:szCs w:val="24"/>
          <w:highlight w:val="yellow"/>
        </w:rPr>
        <w:t xml:space="preserve"> either Option A or Option B below. </w:t>
      </w:r>
      <w:r w:rsidRPr="00A10F80">
        <w:rPr>
          <w:rFonts w:cs="Proxima Nova"/>
          <w:color w:val="000000"/>
          <w:szCs w:val="24"/>
          <w:highlight w:val="yellow"/>
        </w:rPr>
        <w:t xml:space="preserve">Option A </w:t>
      </w:r>
      <w:r w:rsidR="0054560E">
        <w:rPr>
          <w:rFonts w:cs="Proxima Nova"/>
          <w:color w:val="000000"/>
          <w:szCs w:val="24"/>
          <w:highlight w:val="yellow"/>
        </w:rPr>
        <w:t>is for</w:t>
      </w:r>
      <w:r>
        <w:rPr>
          <w:rFonts w:cs="Proxima Nova"/>
          <w:color w:val="000000"/>
          <w:szCs w:val="24"/>
          <w:highlight w:val="yellow"/>
        </w:rPr>
        <w:t xml:space="preserve"> MPOs that </w:t>
      </w:r>
      <w:r w:rsidRPr="00A10F80">
        <w:rPr>
          <w:rFonts w:cs="Proxima Nova"/>
          <w:color w:val="000000"/>
          <w:szCs w:val="24"/>
          <w:highlight w:val="yellow"/>
        </w:rPr>
        <w:t xml:space="preserve">support all </w:t>
      </w:r>
      <w:r>
        <w:rPr>
          <w:rFonts w:cs="Proxima Nova"/>
          <w:color w:val="000000"/>
          <w:szCs w:val="24"/>
          <w:highlight w:val="yellow"/>
        </w:rPr>
        <w:t>transit agency safety targets</w:t>
      </w:r>
      <w:r w:rsidR="00C35C98" w:rsidRPr="00A10F80">
        <w:rPr>
          <w:rFonts w:cs="Proxima Nova"/>
          <w:color w:val="000000"/>
          <w:szCs w:val="24"/>
          <w:highlight w:val="yellow"/>
        </w:rPr>
        <w:t xml:space="preserve">. </w:t>
      </w:r>
      <w:r>
        <w:rPr>
          <w:rFonts w:cs="Proxima Nova"/>
          <w:color w:val="000000"/>
          <w:szCs w:val="24"/>
          <w:highlight w:val="yellow"/>
        </w:rPr>
        <w:t>O</w:t>
      </w:r>
      <w:r w:rsidRPr="00A10F80">
        <w:rPr>
          <w:rFonts w:cs="Proxima Nova"/>
          <w:color w:val="000000"/>
          <w:szCs w:val="24"/>
          <w:highlight w:val="yellow"/>
        </w:rPr>
        <w:t xml:space="preserve">ption B </w:t>
      </w:r>
      <w:r w:rsidR="0054560E">
        <w:rPr>
          <w:rFonts w:cs="Proxima Nova"/>
          <w:color w:val="000000"/>
          <w:szCs w:val="24"/>
          <w:highlight w:val="yellow"/>
        </w:rPr>
        <w:t xml:space="preserve">is for </w:t>
      </w:r>
      <w:r>
        <w:rPr>
          <w:rFonts w:cs="Proxima Nova"/>
          <w:color w:val="000000"/>
          <w:szCs w:val="24"/>
          <w:highlight w:val="yellow"/>
        </w:rPr>
        <w:t xml:space="preserve">MPOs that </w:t>
      </w:r>
      <w:r w:rsidRPr="00A10F80">
        <w:rPr>
          <w:rFonts w:cs="Proxima Nova"/>
          <w:color w:val="000000"/>
          <w:szCs w:val="24"/>
          <w:highlight w:val="yellow"/>
        </w:rPr>
        <w:t xml:space="preserve">establish </w:t>
      </w:r>
      <w:r>
        <w:rPr>
          <w:rFonts w:cs="Proxima Nova"/>
          <w:color w:val="000000"/>
          <w:szCs w:val="24"/>
          <w:highlight w:val="yellow"/>
        </w:rPr>
        <w:t xml:space="preserve">their </w:t>
      </w:r>
      <w:r w:rsidRPr="00A10F80">
        <w:rPr>
          <w:rFonts w:cs="Proxima Nova"/>
          <w:color w:val="000000"/>
          <w:szCs w:val="24"/>
          <w:highlight w:val="yellow"/>
        </w:rPr>
        <w:t xml:space="preserve">own </w:t>
      </w:r>
      <w:r>
        <w:rPr>
          <w:rFonts w:cs="Proxima Nova"/>
          <w:color w:val="000000"/>
          <w:szCs w:val="24"/>
          <w:highlight w:val="yellow"/>
        </w:rPr>
        <w:t>transit safety t</w:t>
      </w:r>
      <w:r w:rsidRPr="00A10F80">
        <w:rPr>
          <w:rFonts w:cs="Proxima Nova"/>
          <w:color w:val="000000"/>
          <w:szCs w:val="24"/>
          <w:highlight w:val="yellow"/>
        </w:rPr>
        <w:t>argets.]</w:t>
      </w:r>
    </w:p>
    <w:p w14:paraId="30EB0033" w14:textId="77777777" w:rsidR="009F2D4C" w:rsidRDefault="009F2D4C" w:rsidP="005B00C2">
      <w:pPr>
        <w:keepNext/>
        <w:rPr>
          <w:rFonts w:cs="Proxima Nova"/>
          <w:color w:val="000000"/>
          <w:szCs w:val="24"/>
        </w:rPr>
      </w:pPr>
    </w:p>
    <w:p w14:paraId="67BE3EC8" w14:textId="7068448E" w:rsidR="005B00C2" w:rsidRPr="00030F57" w:rsidRDefault="005B00C2" w:rsidP="005B00C2">
      <w:pPr>
        <w:keepNext/>
        <w:rPr>
          <w:rFonts w:cs="Proxima Nova"/>
          <w:color w:val="000000"/>
          <w:szCs w:val="24"/>
        </w:rPr>
      </w:pPr>
      <w:r w:rsidRPr="00030F57">
        <w:rPr>
          <w:rFonts w:cs="Proxima Nova"/>
          <w:color w:val="000000"/>
          <w:szCs w:val="24"/>
          <w:highlight w:val="yellow"/>
        </w:rPr>
        <w:t>[</w:t>
      </w:r>
      <w:r w:rsidRPr="00735CF6">
        <w:rPr>
          <w:rFonts w:cs="Proxima Nova"/>
          <w:color w:val="000000"/>
          <w:szCs w:val="24"/>
          <w:highlight w:val="yellow"/>
        </w:rPr>
        <w:t>OPTION A</w:t>
      </w:r>
      <w:r w:rsidRPr="00030F57">
        <w:rPr>
          <w:rFonts w:cs="Proxima Nova"/>
          <w:color w:val="000000"/>
          <w:szCs w:val="24"/>
          <w:highlight w:val="yellow"/>
        </w:rPr>
        <w:t xml:space="preserve">: </w:t>
      </w:r>
      <w:r w:rsidR="0054560E">
        <w:rPr>
          <w:rFonts w:cs="Proxima Nova"/>
          <w:color w:val="000000"/>
          <w:szCs w:val="24"/>
          <w:highlight w:val="yellow"/>
        </w:rPr>
        <w:t>F</w:t>
      </w:r>
      <w:r w:rsidRPr="00030F57">
        <w:rPr>
          <w:rFonts w:cs="Proxima Nova"/>
          <w:color w:val="000000"/>
          <w:szCs w:val="24"/>
          <w:highlight w:val="yellow"/>
        </w:rPr>
        <w:t xml:space="preserve">or MPO that </w:t>
      </w:r>
      <w:r>
        <w:rPr>
          <w:rFonts w:cs="Proxima Nova"/>
          <w:color w:val="000000"/>
          <w:szCs w:val="24"/>
          <w:highlight w:val="yellow"/>
        </w:rPr>
        <w:t>s</w:t>
      </w:r>
      <w:r w:rsidRPr="00030F57">
        <w:rPr>
          <w:rFonts w:cs="Proxima Nova"/>
          <w:color w:val="000000"/>
          <w:szCs w:val="24"/>
          <w:highlight w:val="yellow"/>
        </w:rPr>
        <w:t xml:space="preserve">upports </w:t>
      </w:r>
      <w:r>
        <w:rPr>
          <w:rFonts w:cs="Proxima Nova"/>
          <w:color w:val="000000"/>
          <w:szCs w:val="24"/>
          <w:highlight w:val="yellow"/>
        </w:rPr>
        <w:t>the transit agency t</w:t>
      </w:r>
      <w:r w:rsidRPr="00030F57">
        <w:rPr>
          <w:rFonts w:cs="Proxima Nova"/>
          <w:color w:val="000000"/>
          <w:szCs w:val="24"/>
          <w:highlight w:val="yellow"/>
        </w:rPr>
        <w:t>argets]</w:t>
      </w:r>
    </w:p>
    <w:p w14:paraId="087B672F" w14:textId="6B1B0168" w:rsidR="005B00C2" w:rsidRDefault="005B00C2" w:rsidP="005B00C2">
      <w:pPr>
        <w:rPr>
          <w:rFonts w:cs="Calibri"/>
          <w:kern w:val="28"/>
          <w:szCs w:val="24"/>
        </w:rPr>
      </w:pPr>
      <w:r w:rsidRPr="006B411F">
        <w:rPr>
          <w:rFonts w:cs="Calibri"/>
          <w:kern w:val="28"/>
          <w:szCs w:val="24"/>
        </w:rPr>
        <w:t>On [</w:t>
      </w:r>
      <w:r w:rsidRPr="00EF1433">
        <w:rPr>
          <w:rFonts w:cs="Calibri"/>
          <w:kern w:val="28"/>
          <w:szCs w:val="24"/>
          <w:highlight w:val="yellow"/>
        </w:rPr>
        <w:t>insert date</w:t>
      </w:r>
      <w:r w:rsidRPr="006B411F">
        <w:rPr>
          <w:rFonts w:cs="Calibri"/>
          <w:kern w:val="28"/>
          <w:szCs w:val="24"/>
        </w:rPr>
        <w:t>], the [</w:t>
      </w:r>
      <w:r w:rsidRPr="00EF1433">
        <w:rPr>
          <w:rFonts w:cs="Calibri"/>
          <w:kern w:val="28"/>
          <w:szCs w:val="24"/>
          <w:highlight w:val="yellow"/>
        </w:rPr>
        <w:t>insert MPO name</w:t>
      </w:r>
      <w:r w:rsidRPr="006B411F">
        <w:rPr>
          <w:rFonts w:cs="Calibri"/>
          <w:kern w:val="28"/>
          <w:szCs w:val="24"/>
        </w:rPr>
        <w:t xml:space="preserve">] agreed to support </w:t>
      </w:r>
      <w:r>
        <w:rPr>
          <w:rFonts w:cs="Calibri"/>
          <w:kern w:val="28"/>
          <w:szCs w:val="24"/>
        </w:rPr>
        <w:t xml:space="preserve">the </w:t>
      </w:r>
      <w:r w:rsidRPr="006B411F">
        <w:rPr>
          <w:rFonts w:cs="Calibri"/>
          <w:kern w:val="28"/>
          <w:szCs w:val="24"/>
        </w:rPr>
        <w:t>[</w:t>
      </w:r>
      <w:r w:rsidRPr="00EF1433">
        <w:rPr>
          <w:rFonts w:cs="Calibri"/>
          <w:kern w:val="28"/>
          <w:szCs w:val="24"/>
          <w:highlight w:val="yellow"/>
        </w:rPr>
        <w:t xml:space="preserve">insert </w:t>
      </w:r>
      <w:r>
        <w:rPr>
          <w:rFonts w:cs="Calibri"/>
          <w:kern w:val="28"/>
          <w:szCs w:val="24"/>
          <w:highlight w:val="yellow"/>
        </w:rPr>
        <w:t>transit agency’s</w:t>
      </w:r>
      <w:r w:rsidRPr="00EF1433">
        <w:rPr>
          <w:rFonts w:cs="Calibri"/>
          <w:kern w:val="28"/>
          <w:szCs w:val="24"/>
          <w:highlight w:val="yellow"/>
        </w:rPr>
        <w:t xml:space="preserve"> name</w:t>
      </w:r>
      <w:r w:rsidRPr="006B411F">
        <w:rPr>
          <w:rFonts w:cs="Calibri"/>
          <w:kern w:val="28"/>
          <w:szCs w:val="24"/>
        </w:rPr>
        <w:t>]</w:t>
      </w:r>
      <w:r>
        <w:rPr>
          <w:rFonts w:cs="Calibri"/>
          <w:kern w:val="28"/>
          <w:szCs w:val="24"/>
        </w:rPr>
        <w:t xml:space="preserve"> transit safety ta</w:t>
      </w:r>
      <w:r w:rsidRPr="006B411F">
        <w:rPr>
          <w:rFonts w:cs="Calibri"/>
          <w:kern w:val="28"/>
          <w:szCs w:val="24"/>
        </w:rPr>
        <w:t xml:space="preserve">rgets, thus agreeing to plan and program projects in the TIP that once implemented, </w:t>
      </w:r>
      <w:r>
        <w:rPr>
          <w:rFonts w:cs="Calibri"/>
          <w:kern w:val="28"/>
          <w:szCs w:val="24"/>
        </w:rPr>
        <w:t xml:space="preserve">are anticipated to </w:t>
      </w:r>
      <w:r w:rsidRPr="006B411F">
        <w:rPr>
          <w:rFonts w:cs="Calibri"/>
          <w:kern w:val="28"/>
          <w:szCs w:val="24"/>
        </w:rPr>
        <w:t xml:space="preserve">make progress toward achieving the </w:t>
      </w:r>
      <w:r>
        <w:rPr>
          <w:rFonts w:cs="Calibri"/>
          <w:kern w:val="28"/>
          <w:szCs w:val="24"/>
        </w:rPr>
        <w:t>provider’s</w:t>
      </w:r>
      <w:r w:rsidRPr="006B411F">
        <w:rPr>
          <w:rFonts w:cs="Calibri"/>
          <w:kern w:val="28"/>
          <w:szCs w:val="24"/>
        </w:rPr>
        <w:t xml:space="preserve"> targets</w:t>
      </w:r>
      <w:r w:rsidR="00C35C98">
        <w:rPr>
          <w:rFonts w:cs="Calibri"/>
          <w:kern w:val="28"/>
          <w:szCs w:val="24"/>
        </w:rPr>
        <w:t xml:space="preserve">. </w:t>
      </w:r>
      <w:r w:rsidRPr="00F57A31">
        <w:rPr>
          <w:rFonts w:cs="Calibri"/>
          <w:bCs/>
          <w:color w:val="000000"/>
          <w:kern w:val="36"/>
          <w:szCs w:val="24"/>
          <w:highlight w:val="yellow"/>
        </w:rPr>
        <w:t xml:space="preserve">[The MPO may discuss the reasoning or analysis behind the decision to support the </w:t>
      </w:r>
      <w:r>
        <w:rPr>
          <w:rFonts w:cs="Calibri"/>
          <w:bCs/>
          <w:color w:val="000000"/>
          <w:kern w:val="36"/>
          <w:szCs w:val="24"/>
          <w:highlight w:val="yellow"/>
        </w:rPr>
        <w:t>transit agency</w:t>
      </w:r>
      <w:r w:rsidRPr="00F57A31">
        <w:rPr>
          <w:rFonts w:cs="Calibri"/>
          <w:bCs/>
          <w:color w:val="000000"/>
          <w:kern w:val="36"/>
          <w:szCs w:val="24"/>
          <w:highlight w:val="yellow"/>
        </w:rPr>
        <w:t xml:space="preserve"> targets.]</w:t>
      </w:r>
    </w:p>
    <w:p w14:paraId="01323877" w14:textId="0D94233A" w:rsidR="005B00C2" w:rsidRDefault="005B00C2" w:rsidP="005B00C2">
      <w:pPr>
        <w:rPr>
          <w:rFonts w:cs="Calibri"/>
          <w:bCs/>
          <w:color w:val="000000"/>
          <w:kern w:val="36"/>
          <w:szCs w:val="24"/>
        </w:rPr>
      </w:pPr>
      <w:r w:rsidRPr="00904649">
        <w:rPr>
          <w:rFonts w:cs="Calibri"/>
          <w:bCs/>
          <w:color w:val="000000"/>
          <w:kern w:val="36"/>
          <w:szCs w:val="24"/>
          <w:highlight w:val="yellow"/>
        </w:rPr>
        <w:t>[</w:t>
      </w:r>
      <w:r>
        <w:rPr>
          <w:rFonts w:cs="Calibri"/>
          <w:bCs/>
          <w:color w:val="000000"/>
          <w:kern w:val="36"/>
          <w:szCs w:val="24"/>
          <w:highlight w:val="yellow"/>
        </w:rPr>
        <w:t>END OF OPTION A</w:t>
      </w:r>
      <w:r w:rsidRPr="00904649">
        <w:rPr>
          <w:rFonts w:cs="Calibri"/>
          <w:bCs/>
          <w:color w:val="000000"/>
          <w:kern w:val="36"/>
          <w:szCs w:val="24"/>
          <w:highlight w:val="yellow"/>
        </w:rPr>
        <w:t xml:space="preserve">. Continue at </w:t>
      </w:r>
      <w:r>
        <w:rPr>
          <w:rFonts w:cs="Calibri"/>
          <w:bCs/>
          <w:color w:val="000000"/>
          <w:kern w:val="36"/>
          <w:szCs w:val="24"/>
          <w:highlight w:val="yellow"/>
        </w:rPr>
        <w:t>s</w:t>
      </w:r>
      <w:r w:rsidRPr="00904649">
        <w:rPr>
          <w:rFonts w:cs="Calibri"/>
          <w:bCs/>
          <w:color w:val="000000"/>
          <w:kern w:val="36"/>
          <w:szCs w:val="24"/>
          <w:highlight w:val="yellow"/>
        </w:rPr>
        <w:t xml:space="preserve">ection </w:t>
      </w:r>
      <w:r>
        <w:rPr>
          <w:rFonts w:cs="Calibri"/>
          <w:bCs/>
          <w:color w:val="000000"/>
          <w:kern w:val="36"/>
          <w:szCs w:val="24"/>
          <w:highlight w:val="yellow"/>
        </w:rPr>
        <w:t>“7.2</w:t>
      </w:r>
      <w:r w:rsidRPr="00904649">
        <w:rPr>
          <w:rFonts w:cs="Calibri"/>
          <w:bCs/>
          <w:color w:val="000000"/>
          <w:kern w:val="36"/>
          <w:szCs w:val="24"/>
          <w:highlight w:val="yellow"/>
        </w:rPr>
        <w:t xml:space="preserve"> </w:t>
      </w:r>
      <w:r>
        <w:rPr>
          <w:rFonts w:cs="Calibri"/>
          <w:bCs/>
          <w:color w:val="000000"/>
          <w:kern w:val="36"/>
          <w:szCs w:val="24"/>
          <w:highlight w:val="yellow"/>
        </w:rPr>
        <w:t xml:space="preserve">Transit Safety Investments </w:t>
      </w:r>
      <w:r w:rsidRPr="00904649">
        <w:rPr>
          <w:rFonts w:cs="Calibri"/>
          <w:bCs/>
          <w:color w:val="000000"/>
          <w:kern w:val="36"/>
          <w:szCs w:val="24"/>
          <w:highlight w:val="yellow"/>
        </w:rPr>
        <w:t xml:space="preserve">in the </w:t>
      </w:r>
      <w:r>
        <w:rPr>
          <w:rFonts w:cs="Calibri"/>
          <w:bCs/>
          <w:color w:val="000000"/>
          <w:kern w:val="36"/>
          <w:szCs w:val="24"/>
          <w:highlight w:val="yellow"/>
        </w:rPr>
        <w:t>TIP</w:t>
      </w:r>
      <w:r w:rsidRPr="00904649">
        <w:rPr>
          <w:rFonts w:cs="Calibri"/>
          <w:bCs/>
          <w:color w:val="000000"/>
          <w:kern w:val="36"/>
          <w:szCs w:val="24"/>
          <w:highlight w:val="yellow"/>
        </w:rPr>
        <w:t>”]</w:t>
      </w:r>
    </w:p>
    <w:p w14:paraId="071832ED" w14:textId="77777777" w:rsidR="009F2D4C" w:rsidRDefault="009F2D4C" w:rsidP="005B00C2">
      <w:pPr>
        <w:rPr>
          <w:rFonts w:cs="Calibri"/>
          <w:bCs/>
          <w:color w:val="000000"/>
          <w:kern w:val="36"/>
          <w:szCs w:val="24"/>
        </w:rPr>
      </w:pPr>
    </w:p>
    <w:p w14:paraId="7EACDE28" w14:textId="20E847BC" w:rsidR="005B00C2" w:rsidRPr="00030F57" w:rsidRDefault="005B00C2" w:rsidP="005B00C2">
      <w:pPr>
        <w:keepNext/>
        <w:rPr>
          <w:rFonts w:cs="Proxima Nova"/>
          <w:color w:val="000000"/>
          <w:szCs w:val="24"/>
          <w:highlight w:val="yellow"/>
        </w:rPr>
      </w:pPr>
      <w:r w:rsidRPr="00030F57">
        <w:rPr>
          <w:rFonts w:cs="Proxima Nova"/>
          <w:color w:val="000000"/>
          <w:szCs w:val="24"/>
          <w:highlight w:val="yellow"/>
        </w:rPr>
        <w:t>[</w:t>
      </w:r>
      <w:r w:rsidRPr="00735CF6">
        <w:rPr>
          <w:rFonts w:cs="Proxima Nova"/>
          <w:color w:val="000000"/>
          <w:szCs w:val="24"/>
          <w:highlight w:val="yellow"/>
        </w:rPr>
        <w:t>OPTION B</w:t>
      </w:r>
      <w:r w:rsidRPr="00030F57">
        <w:rPr>
          <w:rFonts w:cs="Proxima Nova"/>
          <w:color w:val="000000"/>
          <w:szCs w:val="24"/>
          <w:highlight w:val="yellow"/>
        </w:rPr>
        <w:t xml:space="preserve">: </w:t>
      </w:r>
      <w:r w:rsidR="0054560E">
        <w:rPr>
          <w:rFonts w:cs="Proxima Nova"/>
          <w:color w:val="000000"/>
          <w:szCs w:val="24"/>
          <w:highlight w:val="yellow"/>
        </w:rPr>
        <w:t>F</w:t>
      </w:r>
      <w:r w:rsidRPr="00030F57">
        <w:rPr>
          <w:rFonts w:cs="Proxima Nova"/>
          <w:color w:val="000000"/>
          <w:szCs w:val="24"/>
          <w:highlight w:val="yellow"/>
        </w:rPr>
        <w:t xml:space="preserve">or MPO that </w:t>
      </w:r>
      <w:r>
        <w:rPr>
          <w:rFonts w:cs="Proxima Nova"/>
          <w:color w:val="000000"/>
          <w:szCs w:val="24"/>
          <w:highlight w:val="yellow"/>
        </w:rPr>
        <w:t>e</w:t>
      </w:r>
      <w:r w:rsidRPr="00030F57">
        <w:rPr>
          <w:rFonts w:cs="Proxima Nova"/>
          <w:color w:val="000000"/>
          <w:szCs w:val="24"/>
          <w:highlight w:val="yellow"/>
        </w:rPr>
        <w:t xml:space="preserve">stablishes its </w:t>
      </w:r>
      <w:r>
        <w:rPr>
          <w:rFonts w:cs="Proxima Nova"/>
          <w:color w:val="000000"/>
          <w:szCs w:val="24"/>
          <w:highlight w:val="yellow"/>
        </w:rPr>
        <w:t>o</w:t>
      </w:r>
      <w:r w:rsidRPr="00030F57">
        <w:rPr>
          <w:rFonts w:cs="Proxima Nova"/>
          <w:color w:val="000000"/>
          <w:szCs w:val="24"/>
          <w:highlight w:val="yellow"/>
        </w:rPr>
        <w:t xml:space="preserve">wn </w:t>
      </w:r>
      <w:r>
        <w:rPr>
          <w:rFonts w:cs="Proxima Nova"/>
          <w:color w:val="000000"/>
          <w:szCs w:val="24"/>
          <w:highlight w:val="yellow"/>
        </w:rPr>
        <w:t>transit safety t</w:t>
      </w:r>
      <w:r w:rsidRPr="00030F57">
        <w:rPr>
          <w:rFonts w:cs="Proxima Nova"/>
          <w:color w:val="000000"/>
          <w:szCs w:val="24"/>
          <w:highlight w:val="yellow"/>
        </w:rPr>
        <w:t>argets]</w:t>
      </w:r>
    </w:p>
    <w:p w14:paraId="48D395D3" w14:textId="77777777" w:rsidR="005B00C2" w:rsidRDefault="005B00C2" w:rsidP="005B00C2">
      <w:pPr>
        <w:rPr>
          <w:rFonts w:cs="Calibri"/>
          <w:kern w:val="28"/>
          <w:szCs w:val="24"/>
        </w:rPr>
      </w:pPr>
      <w:r w:rsidRPr="008A2DFD">
        <w:rPr>
          <w:rFonts w:cs="Calibri"/>
          <w:kern w:val="28"/>
          <w:szCs w:val="24"/>
        </w:rPr>
        <w:t>On [</w:t>
      </w:r>
      <w:r w:rsidRPr="008A2DFD">
        <w:rPr>
          <w:rFonts w:cs="Calibri"/>
          <w:kern w:val="28"/>
          <w:szCs w:val="24"/>
          <w:highlight w:val="yellow"/>
        </w:rPr>
        <w:t>insert date</w:t>
      </w:r>
      <w:r w:rsidRPr="008A2DFD">
        <w:rPr>
          <w:rFonts w:cs="Calibri"/>
          <w:kern w:val="28"/>
          <w:szCs w:val="24"/>
        </w:rPr>
        <w:t>], the [</w:t>
      </w:r>
      <w:r w:rsidRPr="008A2DFD">
        <w:rPr>
          <w:rFonts w:cs="Calibri"/>
          <w:kern w:val="28"/>
          <w:szCs w:val="24"/>
          <w:highlight w:val="yellow"/>
        </w:rPr>
        <w:t>insert MPO name</w:t>
      </w:r>
      <w:r w:rsidRPr="008A2DFD">
        <w:rPr>
          <w:rFonts w:cs="Calibri"/>
          <w:kern w:val="28"/>
          <w:szCs w:val="24"/>
        </w:rPr>
        <w:t xml:space="preserve">] established </w:t>
      </w:r>
      <w:r>
        <w:rPr>
          <w:rFonts w:cs="Calibri"/>
          <w:kern w:val="28"/>
          <w:szCs w:val="24"/>
        </w:rPr>
        <w:t xml:space="preserve">transit safety </w:t>
      </w:r>
      <w:r w:rsidRPr="008A2DFD">
        <w:rPr>
          <w:rFonts w:cs="Calibri"/>
          <w:kern w:val="28"/>
          <w:szCs w:val="24"/>
        </w:rPr>
        <w:t>targets for the MPO planning area</w:t>
      </w:r>
      <w:r>
        <w:rPr>
          <w:rFonts w:cs="Calibri"/>
          <w:kern w:val="28"/>
          <w:szCs w:val="24"/>
        </w:rPr>
        <w:t>. The targets are presented in Table 7.2.</w:t>
      </w:r>
    </w:p>
    <w:p w14:paraId="7827973E" w14:textId="77777777" w:rsidR="005B00C2" w:rsidRDefault="005B00C2" w:rsidP="0000371F">
      <w:pPr>
        <w:keepNext/>
        <w:spacing w:after="120"/>
        <w:rPr>
          <w:rFonts w:cs="Calibri"/>
          <w:kern w:val="28"/>
          <w:szCs w:val="24"/>
        </w:rPr>
      </w:pPr>
      <w:r w:rsidRPr="00342667">
        <w:rPr>
          <w:rFonts w:cs="Arial"/>
          <w:b/>
          <w:szCs w:val="24"/>
        </w:rPr>
        <w:lastRenderedPageBreak/>
        <w:t>Table </w:t>
      </w:r>
      <w:r>
        <w:rPr>
          <w:rFonts w:cs="Arial"/>
          <w:b/>
          <w:szCs w:val="24"/>
        </w:rPr>
        <w:t>7.2</w:t>
      </w:r>
      <w:r w:rsidRPr="00342667">
        <w:rPr>
          <w:rFonts w:cs="Arial"/>
          <w:b/>
          <w:szCs w:val="24"/>
        </w:rPr>
        <w:t xml:space="preserve">. </w:t>
      </w:r>
      <w:r>
        <w:rPr>
          <w:rFonts w:cs="Arial"/>
          <w:b/>
          <w:szCs w:val="24"/>
        </w:rPr>
        <w:t>[</w:t>
      </w:r>
      <w:r w:rsidRPr="00540BA5">
        <w:rPr>
          <w:rFonts w:cs="Arial"/>
          <w:b/>
          <w:szCs w:val="24"/>
          <w:highlight w:val="yellow"/>
        </w:rPr>
        <w:t>Insert MPO name</w:t>
      </w:r>
      <w:r>
        <w:rPr>
          <w:rFonts w:cs="Arial"/>
          <w:b/>
          <w:szCs w:val="24"/>
        </w:rPr>
        <w:t>] Transit Safety Performance Targets</w:t>
      </w:r>
    </w:p>
    <w:tbl>
      <w:tblPr>
        <w:tblW w:w="9450"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72" w:type="dxa"/>
          <w:left w:w="72" w:type="dxa"/>
          <w:bottom w:w="72" w:type="dxa"/>
          <w:right w:w="72" w:type="dxa"/>
        </w:tblCellMar>
        <w:tblLook w:val="01E0" w:firstRow="1" w:lastRow="1" w:firstColumn="1" w:lastColumn="1" w:noHBand="0" w:noVBand="0"/>
      </w:tblPr>
      <w:tblGrid>
        <w:gridCol w:w="1604"/>
        <w:gridCol w:w="1108"/>
        <w:gridCol w:w="1108"/>
        <w:gridCol w:w="1108"/>
        <w:gridCol w:w="1108"/>
        <w:gridCol w:w="1108"/>
        <w:gridCol w:w="1108"/>
        <w:gridCol w:w="1198"/>
      </w:tblGrid>
      <w:tr w:rsidR="005B00C2" w:rsidRPr="008A2DFD" w14:paraId="7E8BA6BF" w14:textId="77777777" w:rsidTr="0000371F">
        <w:trPr>
          <w:tblHeader/>
        </w:trPr>
        <w:tc>
          <w:tcPr>
            <w:tcW w:w="1604" w:type="dxa"/>
            <w:shd w:val="clear" w:color="auto" w:fill="auto"/>
            <w:vAlign w:val="center"/>
          </w:tcPr>
          <w:p w14:paraId="21E20C54" w14:textId="77777777" w:rsidR="005B00C2" w:rsidRPr="008A2DFD" w:rsidRDefault="005B00C2" w:rsidP="0000371F">
            <w:pPr>
              <w:pStyle w:val="TableHeadText"/>
            </w:pPr>
            <w:r>
              <w:t>Transit Mode</w:t>
            </w:r>
          </w:p>
        </w:tc>
        <w:tc>
          <w:tcPr>
            <w:tcW w:w="1108" w:type="dxa"/>
            <w:shd w:val="clear" w:color="auto" w:fill="auto"/>
            <w:vAlign w:val="center"/>
          </w:tcPr>
          <w:p w14:paraId="77FFAE15" w14:textId="77777777" w:rsidR="005B00C2" w:rsidRPr="008A2DFD" w:rsidRDefault="005B00C2" w:rsidP="0000371F">
            <w:pPr>
              <w:pStyle w:val="TableHeadText"/>
              <w:jc w:val="center"/>
            </w:pPr>
            <w:r>
              <w:t>Fatalities (total)</w:t>
            </w:r>
          </w:p>
        </w:tc>
        <w:tc>
          <w:tcPr>
            <w:tcW w:w="1108" w:type="dxa"/>
            <w:vAlign w:val="center"/>
          </w:tcPr>
          <w:p w14:paraId="26C644FB" w14:textId="77777777" w:rsidR="005B00C2" w:rsidRPr="008A2DFD" w:rsidRDefault="005B00C2" w:rsidP="0000371F">
            <w:pPr>
              <w:pStyle w:val="TableHeadText"/>
              <w:jc w:val="center"/>
            </w:pPr>
            <w:r>
              <w:t>Fatalities (rate)</w:t>
            </w:r>
          </w:p>
        </w:tc>
        <w:tc>
          <w:tcPr>
            <w:tcW w:w="1108" w:type="dxa"/>
            <w:vAlign w:val="center"/>
          </w:tcPr>
          <w:p w14:paraId="1F5113A6" w14:textId="77777777" w:rsidR="005B00C2" w:rsidRPr="008A2DFD" w:rsidRDefault="005B00C2" w:rsidP="0000371F">
            <w:pPr>
              <w:pStyle w:val="TableHeadText"/>
              <w:jc w:val="center"/>
            </w:pPr>
            <w:r>
              <w:t>Injuries (total)</w:t>
            </w:r>
          </w:p>
        </w:tc>
        <w:tc>
          <w:tcPr>
            <w:tcW w:w="1108" w:type="dxa"/>
            <w:vAlign w:val="center"/>
          </w:tcPr>
          <w:p w14:paraId="046B7F35" w14:textId="77777777" w:rsidR="005B00C2" w:rsidRPr="008A2DFD" w:rsidRDefault="005B00C2" w:rsidP="0000371F">
            <w:pPr>
              <w:pStyle w:val="TableHeadText"/>
              <w:jc w:val="center"/>
            </w:pPr>
            <w:r>
              <w:t>Injuries (rate)</w:t>
            </w:r>
          </w:p>
        </w:tc>
        <w:tc>
          <w:tcPr>
            <w:tcW w:w="1108" w:type="dxa"/>
            <w:vAlign w:val="center"/>
          </w:tcPr>
          <w:p w14:paraId="2AFBB4B3" w14:textId="77777777" w:rsidR="005B00C2" w:rsidRPr="008A2DFD" w:rsidRDefault="005B00C2" w:rsidP="0000371F">
            <w:pPr>
              <w:pStyle w:val="TableHeadText"/>
              <w:jc w:val="center"/>
            </w:pPr>
            <w:r>
              <w:t>Safety Events (total)</w:t>
            </w:r>
          </w:p>
        </w:tc>
        <w:tc>
          <w:tcPr>
            <w:tcW w:w="1108" w:type="dxa"/>
            <w:vAlign w:val="center"/>
          </w:tcPr>
          <w:p w14:paraId="15500375" w14:textId="77777777" w:rsidR="005B00C2" w:rsidRPr="008A2DFD" w:rsidRDefault="005B00C2" w:rsidP="0000371F">
            <w:pPr>
              <w:pStyle w:val="TableHeadText"/>
              <w:jc w:val="center"/>
            </w:pPr>
            <w:r>
              <w:t>Safety Events (rate)</w:t>
            </w:r>
          </w:p>
        </w:tc>
        <w:tc>
          <w:tcPr>
            <w:tcW w:w="1198" w:type="dxa"/>
            <w:vAlign w:val="center"/>
          </w:tcPr>
          <w:p w14:paraId="39A15D78" w14:textId="77777777" w:rsidR="005B00C2" w:rsidRPr="008A2DFD" w:rsidRDefault="005B00C2" w:rsidP="0000371F">
            <w:pPr>
              <w:pStyle w:val="TableHeadText"/>
              <w:jc w:val="center"/>
            </w:pPr>
            <w:r>
              <w:t>System Reliability</w:t>
            </w:r>
          </w:p>
        </w:tc>
      </w:tr>
      <w:tr w:rsidR="005B00C2" w:rsidRPr="008A2DFD" w14:paraId="0EBEEE92" w14:textId="77777777" w:rsidTr="0000371F">
        <w:tc>
          <w:tcPr>
            <w:tcW w:w="1604" w:type="dxa"/>
            <w:shd w:val="clear" w:color="auto" w:fill="auto"/>
            <w:vAlign w:val="center"/>
          </w:tcPr>
          <w:p w14:paraId="4E88EBA4" w14:textId="77777777" w:rsidR="005B00C2" w:rsidRPr="008A2DFD" w:rsidRDefault="005B00C2" w:rsidP="0000371F">
            <w:pPr>
              <w:pStyle w:val="TableBodyText"/>
            </w:pPr>
            <w:r>
              <w:t>Fixed Route Bus</w:t>
            </w:r>
          </w:p>
        </w:tc>
        <w:tc>
          <w:tcPr>
            <w:tcW w:w="1108" w:type="dxa"/>
            <w:shd w:val="clear" w:color="auto" w:fill="auto"/>
            <w:vAlign w:val="center"/>
          </w:tcPr>
          <w:p w14:paraId="75C4CEF6" w14:textId="77777777" w:rsidR="005B00C2" w:rsidRPr="008A2DFD" w:rsidRDefault="005B00C2" w:rsidP="0000371F">
            <w:pPr>
              <w:pStyle w:val="TableBodyText"/>
              <w:jc w:val="center"/>
            </w:pPr>
          </w:p>
        </w:tc>
        <w:tc>
          <w:tcPr>
            <w:tcW w:w="1108" w:type="dxa"/>
            <w:vAlign w:val="center"/>
          </w:tcPr>
          <w:p w14:paraId="1A44B226" w14:textId="77777777" w:rsidR="005B00C2" w:rsidRPr="008A2DFD" w:rsidRDefault="005B00C2" w:rsidP="0000371F">
            <w:pPr>
              <w:pStyle w:val="TableBodyText"/>
              <w:jc w:val="center"/>
            </w:pPr>
          </w:p>
        </w:tc>
        <w:tc>
          <w:tcPr>
            <w:tcW w:w="1108" w:type="dxa"/>
            <w:vAlign w:val="center"/>
          </w:tcPr>
          <w:p w14:paraId="58731C2B" w14:textId="77777777" w:rsidR="005B00C2" w:rsidRPr="008A2DFD" w:rsidRDefault="005B00C2" w:rsidP="0000371F">
            <w:pPr>
              <w:pStyle w:val="TableBodyText"/>
              <w:jc w:val="center"/>
            </w:pPr>
          </w:p>
        </w:tc>
        <w:tc>
          <w:tcPr>
            <w:tcW w:w="1108" w:type="dxa"/>
            <w:vAlign w:val="center"/>
          </w:tcPr>
          <w:p w14:paraId="530C7895" w14:textId="77777777" w:rsidR="005B00C2" w:rsidRPr="008A2DFD" w:rsidRDefault="005B00C2" w:rsidP="0000371F">
            <w:pPr>
              <w:pStyle w:val="TableBodyText"/>
              <w:jc w:val="center"/>
            </w:pPr>
          </w:p>
        </w:tc>
        <w:tc>
          <w:tcPr>
            <w:tcW w:w="1108" w:type="dxa"/>
            <w:vAlign w:val="center"/>
          </w:tcPr>
          <w:p w14:paraId="207AD99A" w14:textId="77777777" w:rsidR="005B00C2" w:rsidRPr="008A2DFD" w:rsidRDefault="005B00C2" w:rsidP="0000371F">
            <w:pPr>
              <w:pStyle w:val="TableBodyText"/>
              <w:jc w:val="center"/>
            </w:pPr>
          </w:p>
        </w:tc>
        <w:tc>
          <w:tcPr>
            <w:tcW w:w="1108" w:type="dxa"/>
            <w:vAlign w:val="center"/>
          </w:tcPr>
          <w:p w14:paraId="23FAAAE2" w14:textId="77777777" w:rsidR="005B00C2" w:rsidRPr="008A2DFD" w:rsidRDefault="005B00C2" w:rsidP="0000371F">
            <w:pPr>
              <w:pStyle w:val="TableBodyText"/>
              <w:jc w:val="center"/>
            </w:pPr>
          </w:p>
        </w:tc>
        <w:tc>
          <w:tcPr>
            <w:tcW w:w="1198" w:type="dxa"/>
            <w:vAlign w:val="center"/>
          </w:tcPr>
          <w:p w14:paraId="627A73F2" w14:textId="77777777" w:rsidR="005B00C2" w:rsidRPr="008A2DFD" w:rsidRDefault="005B00C2" w:rsidP="0000371F">
            <w:pPr>
              <w:pStyle w:val="TableBodyText"/>
              <w:jc w:val="center"/>
            </w:pPr>
          </w:p>
        </w:tc>
      </w:tr>
      <w:tr w:rsidR="005B00C2" w:rsidRPr="008A2DFD" w14:paraId="73F79165" w14:textId="77777777" w:rsidTr="0000371F">
        <w:tc>
          <w:tcPr>
            <w:tcW w:w="1604" w:type="dxa"/>
            <w:shd w:val="clear" w:color="auto" w:fill="auto"/>
            <w:vAlign w:val="center"/>
          </w:tcPr>
          <w:p w14:paraId="4DD320D8" w14:textId="77777777" w:rsidR="005B00C2" w:rsidRPr="008A2DFD" w:rsidRDefault="005B00C2" w:rsidP="0000371F">
            <w:pPr>
              <w:pStyle w:val="TableBodyText"/>
            </w:pPr>
            <w:r>
              <w:t>Community Bus</w:t>
            </w:r>
          </w:p>
        </w:tc>
        <w:tc>
          <w:tcPr>
            <w:tcW w:w="1108" w:type="dxa"/>
            <w:shd w:val="clear" w:color="auto" w:fill="auto"/>
            <w:vAlign w:val="center"/>
          </w:tcPr>
          <w:p w14:paraId="379FD516" w14:textId="77777777" w:rsidR="005B00C2" w:rsidRPr="008A2DFD" w:rsidRDefault="005B00C2" w:rsidP="0000371F">
            <w:pPr>
              <w:pStyle w:val="TableBodyText"/>
              <w:jc w:val="center"/>
            </w:pPr>
          </w:p>
        </w:tc>
        <w:tc>
          <w:tcPr>
            <w:tcW w:w="1108" w:type="dxa"/>
            <w:vAlign w:val="center"/>
          </w:tcPr>
          <w:p w14:paraId="09BE85F0" w14:textId="77777777" w:rsidR="005B00C2" w:rsidRPr="008A2DFD" w:rsidRDefault="005B00C2" w:rsidP="0000371F">
            <w:pPr>
              <w:pStyle w:val="TableBodyText"/>
              <w:jc w:val="center"/>
            </w:pPr>
          </w:p>
        </w:tc>
        <w:tc>
          <w:tcPr>
            <w:tcW w:w="1108" w:type="dxa"/>
            <w:vAlign w:val="center"/>
          </w:tcPr>
          <w:p w14:paraId="6D24EC9A" w14:textId="77777777" w:rsidR="005B00C2" w:rsidRPr="008A2DFD" w:rsidRDefault="005B00C2" w:rsidP="0000371F">
            <w:pPr>
              <w:pStyle w:val="TableBodyText"/>
              <w:jc w:val="center"/>
            </w:pPr>
          </w:p>
        </w:tc>
        <w:tc>
          <w:tcPr>
            <w:tcW w:w="1108" w:type="dxa"/>
            <w:vAlign w:val="center"/>
          </w:tcPr>
          <w:p w14:paraId="3C95B46D" w14:textId="77777777" w:rsidR="005B00C2" w:rsidRPr="008A2DFD" w:rsidRDefault="005B00C2" w:rsidP="0000371F">
            <w:pPr>
              <w:pStyle w:val="TableBodyText"/>
              <w:jc w:val="center"/>
            </w:pPr>
          </w:p>
        </w:tc>
        <w:tc>
          <w:tcPr>
            <w:tcW w:w="1108" w:type="dxa"/>
            <w:vAlign w:val="center"/>
          </w:tcPr>
          <w:p w14:paraId="56378367" w14:textId="77777777" w:rsidR="005B00C2" w:rsidRPr="008A2DFD" w:rsidRDefault="005B00C2" w:rsidP="0000371F">
            <w:pPr>
              <w:pStyle w:val="TableBodyText"/>
              <w:jc w:val="center"/>
            </w:pPr>
          </w:p>
        </w:tc>
        <w:tc>
          <w:tcPr>
            <w:tcW w:w="1108" w:type="dxa"/>
            <w:vAlign w:val="center"/>
          </w:tcPr>
          <w:p w14:paraId="2AB8DD09" w14:textId="77777777" w:rsidR="005B00C2" w:rsidRPr="008A2DFD" w:rsidRDefault="005B00C2" w:rsidP="0000371F">
            <w:pPr>
              <w:pStyle w:val="TableBodyText"/>
              <w:jc w:val="center"/>
            </w:pPr>
          </w:p>
        </w:tc>
        <w:tc>
          <w:tcPr>
            <w:tcW w:w="1198" w:type="dxa"/>
            <w:vAlign w:val="center"/>
          </w:tcPr>
          <w:p w14:paraId="11047B36" w14:textId="77777777" w:rsidR="005B00C2" w:rsidRPr="008A2DFD" w:rsidRDefault="005B00C2" w:rsidP="0000371F">
            <w:pPr>
              <w:pStyle w:val="TableBodyText"/>
              <w:jc w:val="center"/>
            </w:pPr>
          </w:p>
        </w:tc>
      </w:tr>
      <w:tr w:rsidR="005B00C2" w:rsidRPr="008A2DFD" w14:paraId="1A31DB1C" w14:textId="77777777" w:rsidTr="0000371F">
        <w:tc>
          <w:tcPr>
            <w:tcW w:w="1604" w:type="dxa"/>
            <w:shd w:val="clear" w:color="auto" w:fill="auto"/>
            <w:vAlign w:val="center"/>
          </w:tcPr>
          <w:p w14:paraId="7B91B42B" w14:textId="77777777" w:rsidR="005B00C2" w:rsidRPr="008A2DFD" w:rsidRDefault="005B00C2" w:rsidP="0000371F">
            <w:pPr>
              <w:pStyle w:val="TableBodyText"/>
            </w:pPr>
            <w:r w:rsidRPr="008A2DFD">
              <w:t>Etc.</w:t>
            </w:r>
          </w:p>
        </w:tc>
        <w:tc>
          <w:tcPr>
            <w:tcW w:w="1108" w:type="dxa"/>
            <w:shd w:val="clear" w:color="auto" w:fill="auto"/>
            <w:vAlign w:val="center"/>
          </w:tcPr>
          <w:p w14:paraId="1FB9C5CB" w14:textId="77777777" w:rsidR="005B00C2" w:rsidRPr="008A2DFD" w:rsidRDefault="005B00C2" w:rsidP="0000371F">
            <w:pPr>
              <w:pStyle w:val="TableBodyText"/>
              <w:jc w:val="center"/>
            </w:pPr>
          </w:p>
        </w:tc>
        <w:tc>
          <w:tcPr>
            <w:tcW w:w="1108" w:type="dxa"/>
            <w:vAlign w:val="center"/>
          </w:tcPr>
          <w:p w14:paraId="34E5AD13" w14:textId="77777777" w:rsidR="005B00C2" w:rsidRPr="008A2DFD" w:rsidRDefault="005B00C2" w:rsidP="0000371F">
            <w:pPr>
              <w:pStyle w:val="TableBodyText"/>
              <w:jc w:val="center"/>
            </w:pPr>
          </w:p>
        </w:tc>
        <w:tc>
          <w:tcPr>
            <w:tcW w:w="1108" w:type="dxa"/>
            <w:vAlign w:val="center"/>
          </w:tcPr>
          <w:p w14:paraId="6A2D91CF" w14:textId="77777777" w:rsidR="005B00C2" w:rsidRPr="008A2DFD" w:rsidRDefault="005B00C2" w:rsidP="0000371F">
            <w:pPr>
              <w:pStyle w:val="TableBodyText"/>
              <w:jc w:val="center"/>
            </w:pPr>
          </w:p>
        </w:tc>
        <w:tc>
          <w:tcPr>
            <w:tcW w:w="1108" w:type="dxa"/>
            <w:vAlign w:val="center"/>
          </w:tcPr>
          <w:p w14:paraId="713F9F38" w14:textId="77777777" w:rsidR="005B00C2" w:rsidRPr="008A2DFD" w:rsidRDefault="005B00C2" w:rsidP="0000371F">
            <w:pPr>
              <w:pStyle w:val="TableBodyText"/>
              <w:jc w:val="center"/>
            </w:pPr>
          </w:p>
        </w:tc>
        <w:tc>
          <w:tcPr>
            <w:tcW w:w="1108" w:type="dxa"/>
            <w:vAlign w:val="center"/>
          </w:tcPr>
          <w:p w14:paraId="30CC0C33" w14:textId="77777777" w:rsidR="005B00C2" w:rsidRPr="008A2DFD" w:rsidRDefault="005B00C2" w:rsidP="0000371F">
            <w:pPr>
              <w:pStyle w:val="TableBodyText"/>
              <w:jc w:val="center"/>
            </w:pPr>
          </w:p>
        </w:tc>
        <w:tc>
          <w:tcPr>
            <w:tcW w:w="1108" w:type="dxa"/>
            <w:vAlign w:val="center"/>
          </w:tcPr>
          <w:p w14:paraId="1EFCC6E3" w14:textId="77777777" w:rsidR="005B00C2" w:rsidRPr="008A2DFD" w:rsidRDefault="005B00C2" w:rsidP="0000371F">
            <w:pPr>
              <w:pStyle w:val="TableBodyText"/>
              <w:jc w:val="center"/>
            </w:pPr>
          </w:p>
        </w:tc>
        <w:tc>
          <w:tcPr>
            <w:tcW w:w="1198" w:type="dxa"/>
            <w:vAlign w:val="center"/>
          </w:tcPr>
          <w:p w14:paraId="6266BB71" w14:textId="77777777" w:rsidR="005B00C2" w:rsidRPr="008A2DFD" w:rsidRDefault="005B00C2" w:rsidP="0000371F">
            <w:pPr>
              <w:pStyle w:val="TableBodyText"/>
              <w:jc w:val="center"/>
            </w:pPr>
          </w:p>
        </w:tc>
      </w:tr>
    </w:tbl>
    <w:p w14:paraId="05AF7AB8" w14:textId="77777777" w:rsidR="005B00C2" w:rsidRPr="007F10AF" w:rsidRDefault="005B00C2" w:rsidP="005B00C2">
      <w:pPr>
        <w:tabs>
          <w:tab w:val="left" w:pos="2250"/>
        </w:tabs>
        <w:rPr>
          <w:rFonts w:cs="Calibri"/>
          <w:kern w:val="28"/>
          <w:szCs w:val="24"/>
          <w:highlight w:val="yellow"/>
        </w:rPr>
      </w:pPr>
    </w:p>
    <w:p w14:paraId="3803AB80" w14:textId="77777777" w:rsidR="005B00C2" w:rsidRDefault="005B00C2" w:rsidP="005B00C2">
      <w:pPr>
        <w:tabs>
          <w:tab w:val="left" w:pos="2250"/>
        </w:tabs>
        <w:rPr>
          <w:rFonts w:cs="Calibri"/>
          <w:bCs/>
          <w:color w:val="000000"/>
          <w:kern w:val="36"/>
          <w:szCs w:val="24"/>
        </w:rPr>
      </w:pPr>
      <w:r>
        <w:rPr>
          <w:rFonts w:cs="Calibri"/>
          <w:bCs/>
          <w:color w:val="000000"/>
          <w:kern w:val="36"/>
          <w:szCs w:val="24"/>
        </w:rPr>
        <w:t>The MPO’s transit safety targets reflect the targets established by [</w:t>
      </w:r>
      <w:r w:rsidRPr="008450A2">
        <w:rPr>
          <w:rFonts w:cs="Calibri"/>
          <w:bCs/>
          <w:color w:val="000000"/>
          <w:kern w:val="36"/>
          <w:szCs w:val="24"/>
          <w:highlight w:val="yellow"/>
        </w:rPr>
        <w:t>list name</w:t>
      </w:r>
      <w:r>
        <w:rPr>
          <w:rFonts w:cs="Calibri"/>
          <w:bCs/>
          <w:color w:val="000000"/>
          <w:kern w:val="36"/>
          <w:szCs w:val="24"/>
          <w:highlight w:val="yellow"/>
        </w:rPr>
        <w:t>(</w:t>
      </w:r>
      <w:r w:rsidRPr="008450A2">
        <w:rPr>
          <w:rFonts w:cs="Calibri"/>
          <w:bCs/>
          <w:color w:val="000000"/>
          <w:kern w:val="36"/>
          <w:szCs w:val="24"/>
          <w:highlight w:val="yellow"/>
        </w:rPr>
        <w:t>s</w:t>
      </w:r>
      <w:r>
        <w:rPr>
          <w:rFonts w:cs="Calibri"/>
          <w:bCs/>
          <w:color w:val="000000"/>
          <w:kern w:val="36"/>
          <w:szCs w:val="24"/>
          <w:highlight w:val="yellow"/>
        </w:rPr>
        <w:t>)</w:t>
      </w:r>
      <w:r w:rsidRPr="008450A2">
        <w:rPr>
          <w:rFonts w:cs="Calibri"/>
          <w:bCs/>
          <w:color w:val="000000"/>
          <w:kern w:val="36"/>
          <w:szCs w:val="24"/>
          <w:highlight w:val="yellow"/>
        </w:rPr>
        <w:t xml:space="preserve"> of individual transit providers(s)</w:t>
      </w:r>
      <w:r>
        <w:rPr>
          <w:rFonts w:cs="Calibri"/>
          <w:bCs/>
          <w:color w:val="000000"/>
          <w:kern w:val="36"/>
          <w:szCs w:val="24"/>
        </w:rPr>
        <w:t>] through their Public Transportation Agency Safety Plan(s). In establishing the MPO’s targets, [</w:t>
      </w:r>
      <w:r w:rsidRPr="007E16DA">
        <w:rPr>
          <w:rFonts w:cs="Calibri"/>
          <w:kern w:val="28"/>
          <w:szCs w:val="24"/>
          <w:highlight w:val="yellow"/>
        </w:rPr>
        <w:t>insert MPO name</w:t>
      </w:r>
      <w:r w:rsidRPr="007E16DA">
        <w:rPr>
          <w:rFonts w:cs="Calibri"/>
          <w:kern w:val="28"/>
          <w:szCs w:val="24"/>
        </w:rPr>
        <w:t>]</w:t>
      </w:r>
      <w:r>
        <w:rPr>
          <w:rFonts w:cs="Calibri"/>
          <w:bCs/>
          <w:color w:val="000000"/>
          <w:kern w:val="36"/>
          <w:szCs w:val="24"/>
        </w:rPr>
        <w:t xml:space="preserve"> considered several factors. </w:t>
      </w:r>
      <w:r w:rsidRPr="009A48E5">
        <w:rPr>
          <w:rFonts w:cs="Calibri"/>
          <w:bCs/>
          <w:color w:val="000000"/>
          <w:kern w:val="36"/>
          <w:szCs w:val="24"/>
          <w:highlight w:val="yellow"/>
        </w:rPr>
        <w:t>Add discussion of how</w:t>
      </w:r>
      <w:r>
        <w:rPr>
          <w:rFonts w:cs="Calibri"/>
          <w:bCs/>
          <w:color w:val="000000"/>
          <w:kern w:val="36"/>
          <w:szCs w:val="24"/>
          <w:highlight w:val="yellow"/>
        </w:rPr>
        <w:t>/why</w:t>
      </w:r>
      <w:r w:rsidRPr="009A48E5">
        <w:rPr>
          <w:rFonts w:cs="Calibri"/>
          <w:bCs/>
          <w:color w:val="000000"/>
          <w:kern w:val="36"/>
          <w:szCs w:val="24"/>
          <w:highlight w:val="yellow"/>
        </w:rPr>
        <w:t xml:space="preserve"> the MPO established regional targets </w:t>
      </w:r>
      <w:r>
        <w:rPr>
          <w:rFonts w:cs="Calibri"/>
          <w:bCs/>
          <w:color w:val="000000"/>
          <w:kern w:val="36"/>
          <w:szCs w:val="24"/>
          <w:highlight w:val="yellow"/>
        </w:rPr>
        <w:t xml:space="preserve">based on the </w:t>
      </w:r>
      <w:r w:rsidRPr="009A48E5">
        <w:rPr>
          <w:rFonts w:cs="Calibri"/>
          <w:bCs/>
          <w:color w:val="000000"/>
          <w:kern w:val="36"/>
          <w:szCs w:val="24"/>
          <w:highlight w:val="yellow"/>
        </w:rPr>
        <w:t xml:space="preserve">individual provider targets; for example, </w:t>
      </w:r>
      <w:r>
        <w:rPr>
          <w:rFonts w:cs="Calibri"/>
          <w:bCs/>
          <w:color w:val="000000"/>
          <w:kern w:val="36"/>
          <w:szCs w:val="24"/>
          <w:highlight w:val="yellow"/>
        </w:rPr>
        <w:t xml:space="preserve">if there are multiple providers </w:t>
      </w:r>
      <w:r w:rsidRPr="009A48E5">
        <w:rPr>
          <w:rFonts w:cs="Calibri"/>
          <w:bCs/>
          <w:color w:val="000000"/>
          <w:kern w:val="36"/>
          <w:szCs w:val="24"/>
          <w:highlight w:val="yellow"/>
        </w:rPr>
        <w:t xml:space="preserve">did the MPO weight targets by the relative size of each transit provider’s </w:t>
      </w:r>
      <w:r>
        <w:rPr>
          <w:rFonts w:cs="Calibri"/>
          <w:bCs/>
          <w:color w:val="000000"/>
          <w:kern w:val="36"/>
          <w:szCs w:val="24"/>
          <w:highlight w:val="yellow"/>
        </w:rPr>
        <w:t>ridership or other factors</w:t>
      </w:r>
      <w:r w:rsidRPr="009A48E5">
        <w:rPr>
          <w:rFonts w:cs="Calibri"/>
          <w:bCs/>
          <w:color w:val="000000"/>
          <w:kern w:val="36"/>
          <w:szCs w:val="24"/>
          <w:highlight w:val="yellow"/>
        </w:rPr>
        <w:t>?</w:t>
      </w:r>
      <w:r>
        <w:rPr>
          <w:rFonts w:cs="Calibri"/>
          <w:bCs/>
          <w:color w:val="000000"/>
          <w:kern w:val="36"/>
          <w:szCs w:val="24"/>
        </w:rPr>
        <w:t xml:space="preserve"> </w:t>
      </w:r>
    </w:p>
    <w:p w14:paraId="7FD7325A" w14:textId="590A3B85" w:rsidR="005B00C2" w:rsidRDefault="005B00C2" w:rsidP="005B00C2">
      <w:pPr>
        <w:rPr>
          <w:rFonts w:cs="Calibri"/>
          <w:bCs/>
          <w:color w:val="000000"/>
          <w:kern w:val="36"/>
          <w:szCs w:val="24"/>
        </w:rPr>
      </w:pPr>
      <w:r w:rsidRPr="00904649">
        <w:rPr>
          <w:rFonts w:cs="Calibri"/>
          <w:bCs/>
          <w:color w:val="000000"/>
          <w:kern w:val="36"/>
          <w:szCs w:val="24"/>
          <w:highlight w:val="yellow"/>
        </w:rPr>
        <w:t>[</w:t>
      </w:r>
      <w:r>
        <w:rPr>
          <w:rFonts w:cs="Calibri"/>
          <w:bCs/>
          <w:color w:val="000000"/>
          <w:kern w:val="36"/>
          <w:szCs w:val="24"/>
          <w:highlight w:val="yellow"/>
        </w:rPr>
        <w:t>END OF OPTION B</w:t>
      </w:r>
      <w:r w:rsidRPr="00904649">
        <w:rPr>
          <w:rFonts w:cs="Calibri"/>
          <w:bCs/>
          <w:color w:val="000000"/>
          <w:kern w:val="36"/>
          <w:szCs w:val="24"/>
          <w:highlight w:val="yellow"/>
        </w:rPr>
        <w:t xml:space="preserve">. Continue </w:t>
      </w:r>
      <w:r>
        <w:rPr>
          <w:rFonts w:cs="Calibri"/>
          <w:bCs/>
          <w:color w:val="000000"/>
          <w:kern w:val="36"/>
          <w:szCs w:val="24"/>
          <w:highlight w:val="yellow"/>
        </w:rPr>
        <w:t>below at s</w:t>
      </w:r>
      <w:r w:rsidRPr="00904649">
        <w:rPr>
          <w:rFonts w:cs="Calibri"/>
          <w:bCs/>
          <w:color w:val="000000"/>
          <w:kern w:val="36"/>
          <w:szCs w:val="24"/>
          <w:highlight w:val="yellow"/>
        </w:rPr>
        <w:t xml:space="preserve">ection </w:t>
      </w:r>
      <w:r>
        <w:rPr>
          <w:rFonts w:cs="Calibri"/>
          <w:bCs/>
          <w:color w:val="000000"/>
          <w:kern w:val="36"/>
          <w:szCs w:val="24"/>
          <w:highlight w:val="yellow"/>
        </w:rPr>
        <w:t>“7.2</w:t>
      </w:r>
      <w:r w:rsidRPr="00904649">
        <w:rPr>
          <w:rFonts w:cs="Calibri"/>
          <w:bCs/>
          <w:color w:val="000000"/>
          <w:kern w:val="36"/>
          <w:szCs w:val="24"/>
          <w:highlight w:val="yellow"/>
        </w:rPr>
        <w:t xml:space="preserve"> </w:t>
      </w:r>
      <w:r>
        <w:rPr>
          <w:rFonts w:cs="Calibri"/>
          <w:bCs/>
          <w:color w:val="000000"/>
          <w:kern w:val="36"/>
          <w:szCs w:val="24"/>
          <w:highlight w:val="yellow"/>
        </w:rPr>
        <w:t xml:space="preserve">Transit Safety Investments </w:t>
      </w:r>
      <w:r w:rsidRPr="00904649">
        <w:rPr>
          <w:rFonts w:cs="Calibri"/>
          <w:bCs/>
          <w:color w:val="000000"/>
          <w:kern w:val="36"/>
          <w:szCs w:val="24"/>
          <w:highlight w:val="yellow"/>
        </w:rPr>
        <w:t xml:space="preserve">in the </w:t>
      </w:r>
      <w:r>
        <w:rPr>
          <w:rFonts w:cs="Calibri"/>
          <w:bCs/>
          <w:color w:val="000000"/>
          <w:kern w:val="36"/>
          <w:szCs w:val="24"/>
          <w:highlight w:val="yellow"/>
        </w:rPr>
        <w:t>TIP</w:t>
      </w:r>
      <w:r w:rsidR="00C35C98" w:rsidRPr="00904649">
        <w:rPr>
          <w:rFonts w:cs="Calibri"/>
          <w:bCs/>
          <w:color w:val="000000"/>
          <w:kern w:val="36"/>
          <w:szCs w:val="24"/>
          <w:highlight w:val="yellow"/>
        </w:rPr>
        <w:t>.”</w:t>
      </w:r>
      <w:r w:rsidRPr="00904649">
        <w:rPr>
          <w:rFonts w:cs="Calibri"/>
          <w:bCs/>
          <w:color w:val="000000"/>
          <w:kern w:val="36"/>
          <w:szCs w:val="24"/>
          <w:highlight w:val="yellow"/>
        </w:rPr>
        <w:t>]</w:t>
      </w:r>
    </w:p>
    <w:p w14:paraId="7DB39343" w14:textId="28DEBCD7" w:rsidR="005B00C2" w:rsidRPr="006350FE" w:rsidRDefault="005B00C2" w:rsidP="005B00C2">
      <w:pPr>
        <w:pStyle w:val="Heading2"/>
        <w:keepLines/>
        <w:spacing w:before="0"/>
      </w:pPr>
      <w:bookmarkStart w:id="44" w:name="_Toc97743212"/>
      <w:bookmarkStart w:id="45" w:name="_Toc126264209"/>
      <w:r>
        <w:t>7.2</w:t>
      </w:r>
      <w:r w:rsidRPr="006350FE">
        <w:t xml:space="preserve"> Transit </w:t>
      </w:r>
      <w:r>
        <w:t xml:space="preserve">Safety Investments </w:t>
      </w:r>
      <w:r w:rsidRPr="006350FE">
        <w:t>in the TIP</w:t>
      </w:r>
      <w:bookmarkEnd w:id="44"/>
      <w:bookmarkEnd w:id="45"/>
    </w:p>
    <w:p w14:paraId="6D25792F" w14:textId="789A37D4" w:rsidR="005B00C2" w:rsidRDefault="005B00C2" w:rsidP="005B00C2">
      <w:pPr>
        <w:tabs>
          <w:tab w:val="left" w:pos="2250"/>
        </w:tabs>
        <w:rPr>
          <w:rFonts w:cs="Calibri"/>
          <w:bCs/>
          <w:color w:val="000000"/>
          <w:kern w:val="36"/>
          <w:szCs w:val="24"/>
        </w:rPr>
      </w:pPr>
      <w:r w:rsidRPr="007E16DA">
        <w:rPr>
          <w:rFonts w:cs="Calibri"/>
          <w:bCs/>
          <w:color w:val="000000"/>
          <w:kern w:val="36"/>
          <w:szCs w:val="24"/>
        </w:rPr>
        <w:t>The [</w:t>
      </w:r>
      <w:r w:rsidRPr="007E16DA">
        <w:rPr>
          <w:rFonts w:cs="Calibri"/>
          <w:bCs/>
          <w:color w:val="000000"/>
          <w:kern w:val="36"/>
          <w:szCs w:val="24"/>
          <w:highlight w:val="yellow"/>
        </w:rPr>
        <w:t>insert MPO name</w:t>
      </w:r>
      <w:r w:rsidRPr="007E16DA">
        <w:rPr>
          <w:rFonts w:cs="Calibri"/>
          <w:bCs/>
          <w:color w:val="000000"/>
          <w:kern w:val="36"/>
          <w:szCs w:val="24"/>
        </w:rPr>
        <w:t>] TIP was developed and is managed in cooperation with [</w:t>
      </w:r>
      <w:r w:rsidRPr="007E16DA">
        <w:rPr>
          <w:rFonts w:cs="Calibri"/>
          <w:bCs/>
          <w:color w:val="000000"/>
          <w:kern w:val="36"/>
          <w:szCs w:val="24"/>
          <w:highlight w:val="yellow"/>
        </w:rPr>
        <w:t>insert name(s) of public transportation providers(s</w:t>
      </w:r>
      <w:r w:rsidRPr="0063685A">
        <w:rPr>
          <w:rFonts w:cs="Calibri"/>
          <w:bCs/>
          <w:color w:val="000000"/>
          <w:kern w:val="36"/>
          <w:szCs w:val="24"/>
          <w:highlight w:val="yellow"/>
        </w:rPr>
        <w:t>) in the MPO area</w:t>
      </w:r>
      <w:r w:rsidRPr="007E16DA">
        <w:rPr>
          <w:rFonts w:cs="Calibri"/>
          <w:bCs/>
          <w:color w:val="000000"/>
          <w:kern w:val="36"/>
          <w:szCs w:val="24"/>
        </w:rPr>
        <w:t>]</w:t>
      </w:r>
      <w:r w:rsidR="00C35C98">
        <w:rPr>
          <w:rFonts w:cs="Calibri"/>
          <w:bCs/>
          <w:color w:val="000000"/>
          <w:kern w:val="36"/>
          <w:szCs w:val="24"/>
        </w:rPr>
        <w:t xml:space="preserve">. </w:t>
      </w:r>
      <w:r w:rsidRPr="007E16DA">
        <w:rPr>
          <w:rFonts w:cs="Calibri"/>
          <w:bCs/>
          <w:color w:val="000000"/>
          <w:kern w:val="36"/>
          <w:szCs w:val="24"/>
        </w:rPr>
        <w:t>It reflects the investment priorities established in the [</w:t>
      </w:r>
      <w:r w:rsidRPr="007E16DA">
        <w:rPr>
          <w:rFonts w:cs="Calibri"/>
          <w:bCs/>
          <w:color w:val="000000"/>
          <w:kern w:val="36"/>
          <w:szCs w:val="24"/>
          <w:highlight w:val="yellow"/>
        </w:rPr>
        <w:t>insert name</w:t>
      </w:r>
      <w:r>
        <w:rPr>
          <w:rFonts w:cs="Calibri"/>
          <w:bCs/>
          <w:color w:val="000000"/>
          <w:kern w:val="36"/>
          <w:szCs w:val="24"/>
          <w:highlight w:val="yellow"/>
        </w:rPr>
        <w:t xml:space="preserve"> and year</w:t>
      </w:r>
      <w:r w:rsidRPr="007E16DA">
        <w:rPr>
          <w:rFonts w:cs="Calibri"/>
          <w:bCs/>
          <w:color w:val="000000"/>
          <w:kern w:val="36"/>
          <w:szCs w:val="24"/>
          <w:highlight w:val="yellow"/>
        </w:rPr>
        <w:t xml:space="preserve"> of the current LRTP</w:t>
      </w:r>
      <w:r w:rsidRPr="007E16DA">
        <w:rPr>
          <w:rFonts w:cs="Calibri"/>
          <w:bCs/>
          <w:color w:val="000000"/>
          <w:kern w:val="36"/>
          <w:szCs w:val="24"/>
        </w:rPr>
        <w:t xml:space="preserve">]. </w:t>
      </w:r>
    </w:p>
    <w:p w14:paraId="51A6E60D" w14:textId="77777777" w:rsidR="005B00C2" w:rsidRDefault="005B00C2" w:rsidP="005B00C2">
      <w:pPr>
        <w:tabs>
          <w:tab w:val="left" w:pos="2250"/>
        </w:tabs>
        <w:rPr>
          <w:rFonts w:cs="Calibri"/>
          <w:bCs/>
          <w:color w:val="000000"/>
          <w:kern w:val="36"/>
          <w:szCs w:val="24"/>
        </w:rPr>
      </w:pPr>
      <w:r>
        <w:rPr>
          <w:rFonts w:cs="Calibri"/>
          <w:bCs/>
          <w:color w:val="000000"/>
          <w:kern w:val="36"/>
          <w:szCs w:val="24"/>
          <w:highlight w:val="yellow"/>
        </w:rPr>
        <w:t>[</w:t>
      </w:r>
      <w:r w:rsidRPr="002C3E43">
        <w:rPr>
          <w:rFonts w:cs="Calibri"/>
          <w:bCs/>
          <w:color w:val="000000"/>
          <w:kern w:val="36"/>
          <w:szCs w:val="24"/>
          <w:highlight w:val="yellow"/>
        </w:rPr>
        <w:t xml:space="preserve">The TIP document must include a written narrative describing the anticipated effect of the TIP toward achieving the targets, linking investment priorities to those performance targets. MPOs could address this requirement by describing how the projects in the TIP were determined, </w:t>
      </w:r>
      <w:r>
        <w:rPr>
          <w:rFonts w:cs="Calibri"/>
          <w:bCs/>
          <w:color w:val="000000"/>
          <w:kern w:val="36"/>
          <w:szCs w:val="24"/>
          <w:highlight w:val="yellow"/>
        </w:rPr>
        <w:t>including how performance targets were considered in this process. This section also should discuss</w:t>
      </w:r>
      <w:r w:rsidRPr="002C3E43">
        <w:rPr>
          <w:rFonts w:cs="Calibri"/>
          <w:bCs/>
          <w:color w:val="000000"/>
          <w:kern w:val="36"/>
          <w:szCs w:val="24"/>
          <w:highlight w:val="yellow"/>
        </w:rPr>
        <w:t xml:space="preserve"> how the TIP implements goals, objectives, strategies, and investment priorities from </w:t>
      </w:r>
      <w:r>
        <w:rPr>
          <w:rFonts w:cs="Calibri"/>
          <w:bCs/>
          <w:color w:val="000000"/>
          <w:kern w:val="36"/>
          <w:szCs w:val="24"/>
          <w:highlight w:val="yellow"/>
        </w:rPr>
        <w:t>the provider(s) PTASP</w:t>
      </w:r>
      <w:r w:rsidRPr="002C3E43">
        <w:rPr>
          <w:rFonts w:cs="Calibri"/>
          <w:bCs/>
          <w:color w:val="000000"/>
          <w:kern w:val="36"/>
          <w:szCs w:val="24"/>
          <w:highlight w:val="yellow"/>
        </w:rPr>
        <w:t>. MPOs are required to describe the anticipated effect of the collective program of project</w:t>
      </w:r>
      <w:r>
        <w:rPr>
          <w:rFonts w:cs="Calibri"/>
          <w:bCs/>
          <w:color w:val="000000"/>
          <w:kern w:val="36"/>
          <w:szCs w:val="24"/>
          <w:highlight w:val="yellow"/>
        </w:rPr>
        <w:t>s</w:t>
      </w:r>
      <w:r w:rsidRPr="002C3E43">
        <w:rPr>
          <w:rFonts w:cs="Calibri"/>
          <w:bCs/>
          <w:color w:val="000000"/>
          <w:kern w:val="36"/>
          <w:szCs w:val="24"/>
          <w:highlight w:val="yellow"/>
        </w:rPr>
        <w:t xml:space="preserve"> </w:t>
      </w:r>
      <w:r>
        <w:rPr>
          <w:rFonts w:cs="Calibri"/>
          <w:bCs/>
          <w:color w:val="000000"/>
          <w:kern w:val="36"/>
          <w:szCs w:val="24"/>
          <w:highlight w:val="yellow"/>
        </w:rPr>
        <w:t>on targets</w:t>
      </w:r>
      <w:r w:rsidRPr="002C3E43">
        <w:rPr>
          <w:rFonts w:cs="Calibri"/>
          <w:bCs/>
          <w:color w:val="000000"/>
          <w:kern w:val="36"/>
          <w:szCs w:val="24"/>
          <w:highlight w:val="yellow"/>
        </w:rPr>
        <w:t xml:space="preserve">, not </w:t>
      </w:r>
      <w:r>
        <w:rPr>
          <w:rFonts w:cs="Calibri"/>
          <w:bCs/>
          <w:color w:val="000000"/>
          <w:kern w:val="36"/>
          <w:szCs w:val="24"/>
          <w:highlight w:val="yellow"/>
        </w:rPr>
        <w:t xml:space="preserve">the impact </w:t>
      </w:r>
      <w:r w:rsidRPr="002C3E43">
        <w:rPr>
          <w:rFonts w:cs="Calibri"/>
          <w:bCs/>
          <w:color w:val="000000"/>
          <w:kern w:val="36"/>
          <w:szCs w:val="24"/>
          <w:highlight w:val="yellow"/>
        </w:rPr>
        <w:t>of individual projects in the TIP.</w:t>
      </w:r>
      <w:r>
        <w:rPr>
          <w:rFonts w:cs="Calibri"/>
          <w:bCs/>
          <w:color w:val="000000"/>
          <w:kern w:val="36"/>
          <w:szCs w:val="24"/>
        </w:rPr>
        <w:t>]</w:t>
      </w:r>
    </w:p>
    <w:p w14:paraId="0AD462CF" w14:textId="30F41C5F" w:rsidR="005B00C2" w:rsidRDefault="005B00C2" w:rsidP="005B00C2">
      <w:pPr>
        <w:tabs>
          <w:tab w:val="left" w:pos="2250"/>
        </w:tabs>
        <w:rPr>
          <w:rFonts w:cs="Calibri"/>
          <w:kern w:val="28"/>
          <w:szCs w:val="24"/>
          <w:highlight w:val="yellow"/>
        </w:rPr>
      </w:pPr>
      <w:r w:rsidRPr="008B5C0F">
        <w:rPr>
          <w:rFonts w:cs="Calibri"/>
          <w:bCs/>
          <w:color w:val="000000"/>
          <w:kern w:val="36"/>
          <w:szCs w:val="24"/>
        </w:rPr>
        <w:t xml:space="preserve">FTA funding, as programmed by the region’s transit providers and FDOT, </w:t>
      </w:r>
      <w:r>
        <w:rPr>
          <w:rFonts w:cs="Calibri"/>
          <w:bCs/>
          <w:color w:val="000000"/>
          <w:kern w:val="36"/>
          <w:szCs w:val="24"/>
        </w:rPr>
        <w:t xml:space="preserve">is used for </w:t>
      </w:r>
      <w:r w:rsidRPr="008B5C0F">
        <w:rPr>
          <w:rFonts w:cs="Calibri"/>
          <w:bCs/>
          <w:color w:val="000000"/>
          <w:kern w:val="36"/>
          <w:szCs w:val="24"/>
        </w:rPr>
        <w:t xml:space="preserve">programs </w:t>
      </w:r>
      <w:r>
        <w:rPr>
          <w:rFonts w:cs="Calibri"/>
          <w:bCs/>
          <w:color w:val="000000"/>
          <w:kern w:val="36"/>
          <w:szCs w:val="24"/>
        </w:rPr>
        <w:t xml:space="preserve">and products </w:t>
      </w:r>
      <w:r w:rsidRPr="008B5C0F">
        <w:rPr>
          <w:rFonts w:cs="Calibri"/>
          <w:bCs/>
          <w:color w:val="000000"/>
          <w:kern w:val="36"/>
          <w:szCs w:val="24"/>
        </w:rPr>
        <w:t xml:space="preserve">to improve the </w:t>
      </w:r>
      <w:r>
        <w:rPr>
          <w:rFonts w:cs="Calibri"/>
          <w:bCs/>
          <w:color w:val="000000"/>
          <w:kern w:val="36"/>
          <w:szCs w:val="24"/>
        </w:rPr>
        <w:t>safety</w:t>
      </w:r>
      <w:r w:rsidRPr="008B5C0F">
        <w:rPr>
          <w:rFonts w:cs="Calibri"/>
          <w:bCs/>
          <w:color w:val="000000"/>
          <w:kern w:val="36"/>
          <w:szCs w:val="24"/>
        </w:rPr>
        <w:t xml:space="preserve"> of the region’s transit </w:t>
      </w:r>
      <w:r>
        <w:rPr>
          <w:rFonts w:cs="Calibri"/>
          <w:bCs/>
          <w:color w:val="000000"/>
          <w:kern w:val="36"/>
          <w:szCs w:val="24"/>
        </w:rPr>
        <w:t>systems</w:t>
      </w:r>
      <w:r w:rsidR="00C35C98">
        <w:rPr>
          <w:rFonts w:cs="Calibri"/>
          <w:bCs/>
          <w:color w:val="000000"/>
          <w:kern w:val="36"/>
          <w:szCs w:val="24"/>
        </w:rPr>
        <w:t xml:space="preserve">. </w:t>
      </w:r>
      <w:r w:rsidRPr="007E16DA">
        <w:rPr>
          <w:rFonts w:cs="Calibri"/>
          <w:kern w:val="28"/>
          <w:szCs w:val="24"/>
        </w:rPr>
        <w:t>The focus of [</w:t>
      </w:r>
      <w:r w:rsidRPr="001103A3">
        <w:rPr>
          <w:rFonts w:cs="Calibri"/>
          <w:kern w:val="28"/>
          <w:szCs w:val="24"/>
          <w:highlight w:val="yellow"/>
        </w:rPr>
        <w:t>insert MPO name</w:t>
      </w:r>
      <w:r w:rsidRPr="007E16DA">
        <w:rPr>
          <w:rFonts w:cs="Calibri"/>
          <w:kern w:val="28"/>
          <w:szCs w:val="24"/>
        </w:rPr>
        <w:t xml:space="preserve">]’s investments that </w:t>
      </w:r>
      <w:r>
        <w:rPr>
          <w:rFonts w:cs="Calibri"/>
          <w:kern w:val="28"/>
          <w:szCs w:val="24"/>
        </w:rPr>
        <w:t xml:space="preserve">address transit safety include </w:t>
      </w:r>
      <w:r w:rsidRPr="007E16DA">
        <w:rPr>
          <w:rFonts w:cs="Calibri"/>
          <w:kern w:val="28"/>
          <w:szCs w:val="24"/>
        </w:rPr>
        <w:t>[</w:t>
      </w:r>
      <w:r w:rsidRPr="008E15CA">
        <w:rPr>
          <w:rFonts w:cs="Calibri"/>
          <w:kern w:val="28"/>
          <w:szCs w:val="24"/>
          <w:highlight w:val="yellow"/>
        </w:rPr>
        <w:t xml:space="preserve">list projects, programs, and strategies funded in the TIP that address </w:t>
      </w:r>
      <w:r>
        <w:rPr>
          <w:rFonts w:cs="Calibri"/>
          <w:kern w:val="28"/>
          <w:szCs w:val="24"/>
          <w:highlight w:val="yellow"/>
        </w:rPr>
        <w:t>transit safety and transit system reliability</w:t>
      </w:r>
      <w:r w:rsidR="00C35C98">
        <w:rPr>
          <w:rFonts w:cs="Calibri"/>
          <w:kern w:val="28"/>
          <w:szCs w:val="24"/>
          <w:highlight w:val="yellow"/>
        </w:rPr>
        <w:t xml:space="preserve">. </w:t>
      </w:r>
      <w:r>
        <w:rPr>
          <w:rFonts w:cs="Calibri"/>
          <w:kern w:val="28"/>
          <w:szCs w:val="24"/>
          <w:highlight w:val="yellow"/>
        </w:rPr>
        <w:t>The PTASP should identify safety issues and safety risk mitigation strategies that can be summarized here.</w:t>
      </w:r>
    </w:p>
    <w:p w14:paraId="10DF49C3" w14:textId="78B70F65" w:rsidR="005B00C2" w:rsidRDefault="005B00C2" w:rsidP="005B00C2">
      <w:pPr>
        <w:tabs>
          <w:tab w:val="left" w:pos="2250"/>
        </w:tabs>
        <w:rPr>
          <w:rFonts w:cs="Calibri"/>
          <w:kern w:val="28"/>
          <w:szCs w:val="24"/>
        </w:rPr>
      </w:pPr>
      <w:r w:rsidRPr="008A2DFD">
        <w:rPr>
          <w:rFonts w:cs="Calibri"/>
          <w:bCs/>
          <w:color w:val="000000"/>
          <w:kern w:val="36"/>
          <w:szCs w:val="24"/>
        </w:rPr>
        <w:t xml:space="preserve">Transit </w:t>
      </w:r>
      <w:r>
        <w:rPr>
          <w:rFonts w:cs="Calibri"/>
          <w:bCs/>
          <w:color w:val="000000"/>
          <w:kern w:val="36"/>
          <w:szCs w:val="24"/>
        </w:rPr>
        <w:t xml:space="preserve">safety </w:t>
      </w:r>
      <w:r w:rsidRPr="008A2DFD">
        <w:rPr>
          <w:rFonts w:cs="Calibri"/>
          <w:kern w:val="28"/>
          <w:szCs w:val="24"/>
        </w:rPr>
        <w:t>is a consideration in the methodology [</w:t>
      </w:r>
      <w:r w:rsidRPr="008A2DFD">
        <w:rPr>
          <w:rFonts w:cs="Calibri"/>
          <w:kern w:val="28"/>
          <w:szCs w:val="24"/>
          <w:highlight w:val="yellow"/>
        </w:rPr>
        <w:t>insert MPO name</w:t>
      </w:r>
      <w:r w:rsidRPr="008A2DFD">
        <w:rPr>
          <w:rFonts w:cs="Calibri"/>
          <w:kern w:val="28"/>
          <w:szCs w:val="24"/>
        </w:rPr>
        <w:t>] uses to select projects for inclusion in the TIP</w:t>
      </w:r>
      <w:r w:rsidR="00C35C98">
        <w:rPr>
          <w:rFonts w:cs="Calibri"/>
          <w:kern w:val="28"/>
          <w:szCs w:val="24"/>
        </w:rPr>
        <w:t xml:space="preserve">. </w:t>
      </w:r>
      <w:r w:rsidRPr="008A2DFD">
        <w:rPr>
          <w:szCs w:val="24"/>
        </w:rPr>
        <w:t>The TIP includes specific investment priorities that support all of the MPO’s goals, including transit s</w:t>
      </w:r>
      <w:r>
        <w:rPr>
          <w:szCs w:val="24"/>
        </w:rPr>
        <w:t>afety</w:t>
      </w:r>
      <w:r w:rsidRPr="008A2DFD">
        <w:rPr>
          <w:szCs w:val="24"/>
        </w:rPr>
        <w:t>, using a prioritization and project selection process established in the LRTP</w:t>
      </w:r>
      <w:r>
        <w:rPr>
          <w:szCs w:val="24"/>
        </w:rPr>
        <w:t xml:space="preserve">. </w:t>
      </w:r>
      <w:r w:rsidRPr="008A2DFD">
        <w:rPr>
          <w:rFonts w:cs="Calibri"/>
          <w:bCs/>
          <w:color w:val="000000"/>
          <w:kern w:val="36"/>
          <w:szCs w:val="24"/>
        </w:rPr>
        <w:t xml:space="preserve">This process evaluates projects that, once implemented, are anticipated to improve transit </w:t>
      </w:r>
      <w:r>
        <w:rPr>
          <w:rFonts w:cs="Calibri"/>
          <w:bCs/>
          <w:color w:val="000000"/>
          <w:kern w:val="36"/>
          <w:szCs w:val="24"/>
        </w:rPr>
        <w:t xml:space="preserve">safety </w:t>
      </w:r>
      <w:r w:rsidRPr="008A2DFD">
        <w:rPr>
          <w:rFonts w:cs="Calibri"/>
          <w:bCs/>
          <w:color w:val="000000"/>
          <w:kern w:val="36"/>
          <w:szCs w:val="24"/>
        </w:rPr>
        <w:t>in the MPO’s planning area</w:t>
      </w:r>
      <w:r w:rsidR="00C35C98">
        <w:rPr>
          <w:rFonts w:cs="Calibri"/>
          <w:bCs/>
          <w:color w:val="000000"/>
          <w:kern w:val="36"/>
          <w:szCs w:val="24"/>
        </w:rPr>
        <w:t xml:space="preserve">. </w:t>
      </w:r>
      <w:r>
        <w:rPr>
          <w:rFonts w:cs="Calibri"/>
          <w:kern w:val="28"/>
          <w:szCs w:val="24"/>
        </w:rPr>
        <w:t>This prioritization process considers factors such as [</w:t>
      </w:r>
      <w:r w:rsidRPr="00005FB4">
        <w:rPr>
          <w:rFonts w:cs="Calibri"/>
          <w:kern w:val="28"/>
          <w:szCs w:val="24"/>
          <w:highlight w:val="yellow"/>
        </w:rPr>
        <w:t xml:space="preserve">include </w:t>
      </w:r>
      <w:r w:rsidRPr="00A3161F">
        <w:rPr>
          <w:rFonts w:cs="Calibri"/>
          <w:kern w:val="28"/>
          <w:szCs w:val="24"/>
          <w:highlight w:val="yellow"/>
        </w:rPr>
        <w:t>examples</w:t>
      </w:r>
      <w:r>
        <w:rPr>
          <w:rFonts w:cs="Calibri"/>
          <w:kern w:val="28"/>
          <w:szCs w:val="24"/>
          <w:highlight w:val="yellow"/>
        </w:rPr>
        <w:t xml:space="preserve">. </w:t>
      </w:r>
      <w:r w:rsidRPr="00A3161F">
        <w:rPr>
          <w:rFonts w:cs="Calibri"/>
          <w:kern w:val="28"/>
          <w:szCs w:val="24"/>
          <w:highlight w:val="yellow"/>
        </w:rPr>
        <w:t xml:space="preserve">Add </w:t>
      </w:r>
      <w:r w:rsidRPr="008A2DFD">
        <w:rPr>
          <w:rFonts w:cs="Calibri"/>
          <w:kern w:val="28"/>
          <w:szCs w:val="24"/>
          <w:highlight w:val="yellow"/>
        </w:rPr>
        <w:t xml:space="preserve">language specific to the </w:t>
      </w:r>
      <w:r w:rsidRPr="008A2DFD">
        <w:rPr>
          <w:rFonts w:cs="Calibri"/>
          <w:kern w:val="28"/>
          <w:szCs w:val="24"/>
          <w:highlight w:val="yellow"/>
        </w:rPr>
        <w:lastRenderedPageBreak/>
        <w:t>MPO’s consideration of transit s</w:t>
      </w:r>
      <w:r>
        <w:rPr>
          <w:rFonts w:cs="Calibri"/>
          <w:kern w:val="28"/>
          <w:szCs w:val="24"/>
          <w:highlight w:val="yellow"/>
        </w:rPr>
        <w:t xml:space="preserve">afety </w:t>
      </w:r>
      <w:r w:rsidRPr="008A2DFD">
        <w:rPr>
          <w:rFonts w:cs="Calibri"/>
          <w:kern w:val="28"/>
          <w:szCs w:val="24"/>
          <w:highlight w:val="yellow"/>
        </w:rPr>
        <w:t>in the TIP project selection process</w:t>
      </w:r>
      <w:r>
        <w:rPr>
          <w:rFonts w:cs="Calibri"/>
          <w:kern w:val="28"/>
          <w:szCs w:val="24"/>
          <w:highlight w:val="yellow"/>
        </w:rPr>
        <w:t>, including criteria consistent with the transit safety performance measures</w:t>
      </w:r>
      <w:r w:rsidR="00C35C98">
        <w:rPr>
          <w:rFonts w:cs="Calibri"/>
          <w:kern w:val="28"/>
          <w:szCs w:val="24"/>
          <w:highlight w:val="yellow"/>
        </w:rPr>
        <w:t xml:space="preserve">. </w:t>
      </w:r>
      <w:r w:rsidRPr="008A2DFD">
        <w:rPr>
          <w:rFonts w:cs="Calibri"/>
          <w:kern w:val="28"/>
          <w:szCs w:val="24"/>
          <w:highlight w:val="yellow"/>
        </w:rPr>
        <w:t>If applicable, note any data-driven</w:t>
      </w:r>
      <w:r>
        <w:rPr>
          <w:rFonts w:cs="Calibri"/>
          <w:kern w:val="28"/>
          <w:szCs w:val="24"/>
          <w:highlight w:val="yellow"/>
        </w:rPr>
        <w:t xml:space="preserve"> analyses</w:t>
      </w:r>
      <w:r w:rsidRPr="008A2DFD">
        <w:rPr>
          <w:rFonts w:cs="Calibri"/>
          <w:kern w:val="28"/>
          <w:szCs w:val="24"/>
          <w:highlight w:val="yellow"/>
        </w:rPr>
        <w:t xml:space="preserve">, performance-based elements, </w:t>
      </w:r>
      <w:r>
        <w:rPr>
          <w:rFonts w:cs="Calibri"/>
          <w:kern w:val="28"/>
          <w:szCs w:val="24"/>
          <w:highlight w:val="yellow"/>
        </w:rPr>
        <w:t xml:space="preserve">linkages to </w:t>
      </w:r>
      <w:r w:rsidRPr="008A2DFD">
        <w:rPr>
          <w:rFonts w:cs="Calibri"/>
          <w:kern w:val="28"/>
          <w:szCs w:val="24"/>
          <w:highlight w:val="yellow"/>
        </w:rPr>
        <w:t>goals established in the LRTP, etc.</w:t>
      </w:r>
      <w:r w:rsidRPr="008A2DFD">
        <w:rPr>
          <w:rFonts w:cs="Calibri"/>
          <w:kern w:val="28"/>
          <w:szCs w:val="24"/>
        </w:rPr>
        <w:t>]</w:t>
      </w:r>
    </w:p>
    <w:p w14:paraId="611D77E8" w14:textId="21D683EA" w:rsidR="005B00C2" w:rsidRDefault="005B00C2" w:rsidP="005B00C2">
      <w:pPr>
        <w:tabs>
          <w:tab w:val="left" w:pos="2250"/>
        </w:tabs>
        <w:rPr>
          <w:rFonts w:cs="Calibri"/>
          <w:bCs/>
          <w:color w:val="000000"/>
          <w:kern w:val="36"/>
          <w:szCs w:val="24"/>
        </w:rPr>
      </w:pPr>
      <w:r w:rsidRPr="007E16DA">
        <w:rPr>
          <w:rFonts w:cs="Calibri"/>
          <w:kern w:val="28"/>
          <w:szCs w:val="24"/>
        </w:rPr>
        <w:t>The [</w:t>
      </w:r>
      <w:r w:rsidRPr="002E1F33">
        <w:rPr>
          <w:rFonts w:cs="Calibri"/>
          <w:kern w:val="28"/>
          <w:szCs w:val="24"/>
          <w:highlight w:val="yellow"/>
        </w:rPr>
        <w:t>insert MPO name</w:t>
      </w:r>
      <w:r w:rsidRPr="007E16DA">
        <w:rPr>
          <w:rFonts w:cs="Calibri"/>
          <w:kern w:val="28"/>
          <w:szCs w:val="24"/>
        </w:rPr>
        <w:t>] TIP has been evaluated and the anticipated effect of the overall program is that, once implemented, progress wil</w:t>
      </w:r>
      <w:r>
        <w:rPr>
          <w:rFonts w:cs="Calibri"/>
          <w:kern w:val="28"/>
          <w:szCs w:val="24"/>
        </w:rPr>
        <w:t xml:space="preserve">l be made towards achieving the transit safety </w:t>
      </w:r>
      <w:r w:rsidRPr="007E16DA">
        <w:rPr>
          <w:rFonts w:cs="Calibri"/>
          <w:kern w:val="28"/>
          <w:szCs w:val="24"/>
        </w:rPr>
        <w:t>performance targets</w:t>
      </w:r>
      <w:r w:rsidR="00C35C98">
        <w:rPr>
          <w:rFonts w:cs="Calibri"/>
          <w:kern w:val="28"/>
          <w:szCs w:val="24"/>
        </w:rPr>
        <w:t xml:space="preserve">. </w:t>
      </w:r>
      <w:r w:rsidRPr="008B5C0F">
        <w:rPr>
          <w:rFonts w:cs="Calibri"/>
          <w:bCs/>
          <w:color w:val="000000"/>
          <w:kern w:val="36"/>
          <w:szCs w:val="24"/>
        </w:rPr>
        <w:t>The [</w:t>
      </w:r>
      <w:r w:rsidRPr="00005FB4">
        <w:rPr>
          <w:rFonts w:cs="Calibri"/>
          <w:bCs/>
          <w:color w:val="000000"/>
          <w:kern w:val="36"/>
          <w:szCs w:val="24"/>
          <w:highlight w:val="yellow"/>
        </w:rPr>
        <w:t>insert MPO name</w:t>
      </w:r>
      <w:r w:rsidRPr="008B5C0F">
        <w:rPr>
          <w:rFonts w:cs="Calibri"/>
          <w:bCs/>
          <w:color w:val="000000"/>
          <w:kern w:val="36"/>
          <w:szCs w:val="24"/>
        </w:rPr>
        <w:t>] will continue to coordinate with the [</w:t>
      </w:r>
      <w:r w:rsidRPr="00005FB4">
        <w:rPr>
          <w:rFonts w:cs="Calibri"/>
          <w:bCs/>
          <w:color w:val="000000"/>
          <w:kern w:val="36"/>
          <w:szCs w:val="24"/>
          <w:highlight w:val="yellow"/>
        </w:rPr>
        <w:t>insert name(s) of transit provider(s</w:t>
      </w:r>
      <w:r w:rsidRPr="002644C0">
        <w:rPr>
          <w:rFonts w:cs="Calibri"/>
          <w:bCs/>
          <w:color w:val="000000"/>
          <w:kern w:val="36"/>
          <w:szCs w:val="24"/>
          <w:highlight w:val="yellow"/>
        </w:rPr>
        <w:t>)</w:t>
      </w:r>
      <w:r w:rsidRPr="008B5C0F">
        <w:rPr>
          <w:rFonts w:cs="Calibri"/>
          <w:bCs/>
          <w:color w:val="000000"/>
          <w:kern w:val="36"/>
          <w:szCs w:val="24"/>
        </w:rPr>
        <w:t xml:space="preserve">] to </w:t>
      </w:r>
      <w:r>
        <w:rPr>
          <w:rFonts w:cs="Calibri"/>
          <w:bCs/>
          <w:color w:val="000000"/>
          <w:kern w:val="36"/>
          <w:szCs w:val="24"/>
        </w:rPr>
        <w:t xml:space="preserve">maintain and improve the safety of the </w:t>
      </w:r>
      <w:r w:rsidRPr="008B5C0F">
        <w:rPr>
          <w:rFonts w:cs="Calibri"/>
          <w:bCs/>
          <w:color w:val="000000"/>
          <w:kern w:val="36"/>
          <w:szCs w:val="24"/>
        </w:rPr>
        <w:t xml:space="preserve">region’s transit </w:t>
      </w:r>
      <w:r>
        <w:rPr>
          <w:rFonts w:cs="Calibri"/>
          <w:bCs/>
          <w:color w:val="000000"/>
          <w:kern w:val="36"/>
          <w:szCs w:val="24"/>
        </w:rPr>
        <w:t xml:space="preserve">system and maintain transit </w:t>
      </w:r>
      <w:r w:rsidRPr="008B5C0F">
        <w:rPr>
          <w:rFonts w:cs="Calibri"/>
          <w:bCs/>
          <w:color w:val="000000"/>
          <w:kern w:val="36"/>
          <w:szCs w:val="24"/>
        </w:rPr>
        <w:t>assets in a state of good repair.</w:t>
      </w:r>
    </w:p>
    <w:p w14:paraId="428DF6B8" w14:textId="3D8F62FA" w:rsidR="005B00C2" w:rsidRDefault="005B00C2" w:rsidP="005B00C2">
      <w:pPr>
        <w:rPr>
          <w:rFonts w:cs="Calibri"/>
          <w:bCs/>
          <w:color w:val="000000"/>
          <w:kern w:val="36"/>
          <w:szCs w:val="24"/>
        </w:rPr>
      </w:pPr>
      <w:r>
        <w:rPr>
          <w:rFonts w:cs="Calibri"/>
          <w:bCs/>
          <w:color w:val="000000"/>
          <w:kern w:val="36"/>
          <w:szCs w:val="24"/>
        </w:rPr>
        <w:t xml:space="preserve">Example: </w:t>
      </w:r>
      <w:r w:rsidRPr="004B0657">
        <w:rPr>
          <w:rFonts w:cs="Calibri"/>
          <w:kern w:val="28"/>
          <w:szCs w:val="24"/>
          <w:highlight w:val="yellow"/>
        </w:rPr>
        <w:t xml:space="preserve">The TIP </w:t>
      </w:r>
      <w:r>
        <w:rPr>
          <w:rFonts w:cs="Calibri"/>
          <w:kern w:val="28"/>
          <w:szCs w:val="24"/>
          <w:highlight w:val="yellow"/>
        </w:rPr>
        <w:t>devotes resources to projects that will maintain and improve transit safety</w:t>
      </w:r>
      <w:r w:rsidR="00C35C98">
        <w:rPr>
          <w:rFonts w:cs="Calibri"/>
          <w:kern w:val="28"/>
          <w:szCs w:val="24"/>
          <w:highlight w:val="yellow"/>
        </w:rPr>
        <w:t xml:space="preserve">. </w:t>
      </w:r>
      <w:r>
        <w:rPr>
          <w:rFonts w:cs="Calibri"/>
          <w:kern w:val="28"/>
          <w:szCs w:val="24"/>
          <w:highlight w:val="yellow"/>
        </w:rPr>
        <w:t xml:space="preserve">Investments in transit safety in the TIP </w:t>
      </w:r>
      <w:r w:rsidRPr="004B0657">
        <w:rPr>
          <w:rFonts w:cs="Calibri"/>
          <w:kern w:val="28"/>
          <w:szCs w:val="24"/>
          <w:highlight w:val="yellow"/>
        </w:rPr>
        <w:t>include $xx million for</w:t>
      </w:r>
      <w:r>
        <w:rPr>
          <w:rFonts w:cs="Calibri"/>
          <w:kern w:val="28"/>
          <w:szCs w:val="24"/>
          <w:highlight w:val="yellow"/>
        </w:rPr>
        <w:t xml:space="preserve"> [insert brief description of safety measures and programs].</w:t>
      </w:r>
    </w:p>
    <w:p w14:paraId="5B3EB8D9" w14:textId="77777777" w:rsidR="005B00C2" w:rsidRPr="00BC1E2A" w:rsidRDefault="005B00C2" w:rsidP="005B00C2">
      <w:pPr>
        <w:tabs>
          <w:tab w:val="left" w:pos="2250"/>
        </w:tabs>
        <w:rPr>
          <w:rFonts w:cs="Calibri"/>
          <w:kern w:val="28"/>
          <w:szCs w:val="24"/>
        </w:rPr>
      </w:pPr>
      <w:r w:rsidRPr="008B5C0F">
        <w:rPr>
          <w:rFonts w:cs="Calibri"/>
          <w:bCs/>
          <w:color w:val="000000"/>
          <w:kern w:val="36"/>
          <w:szCs w:val="24"/>
        </w:rPr>
        <w:t>For more information on th</w:t>
      </w:r>
      <w:r>
        <w:rPr>
          <w:rFonts w:cs="Calibri"/>
          <w:bCs/>
          <w:color w:val="000000"/>
          <w:kern w:val="36"/>
          <w:szCs w:val="24"/>
        </w:rPr>
        <w:t>ese</w:t>
      </w:r>
      <w:r w:rsidRPr="008B5C0F">
        <w:rPr>
          <w:rFonts w:cs="Calibri"/>
          <w:bCs/>
          <w:color w:val="000000"/>
          <w:kern w:val="36"/>
          <w:szCs w:val="24"/>
        </w:rPr>
        <w:t xml:space="preserve"> </w:t>
      </w:r>
      <w:r>
        <w:rPr>
          <w:rFonts w:cs="Calibri"/>
          <w:bCs/>
          <w:color w:val="000000"/>
          <w:kern w:val="36"/>
          <w:szCs w:val="24"/>
        </w:rPr>
        <w:t>programs and project</w:t>
      </w:r>
      <w:r w:rsidRPr="008B5C0F">
        <w:rPr>
          <w:rFonts w:cs="Calibri"/>
          <w:bCs/>
          <w:color w:val="000000"/>
          <w:kern w:val="36"/>
          <w:szCs w:val="24"/>
        </w:rPr>
        <w:t>s, see [</w:t>
      </w:r>
      <w:r w:rsidRPr="008401C1">
        <w:rPr>
          <w:rFonts w:cs="Calibri"/>
          <w:bCs/>
          <w:color w:val="000000"/>
          <w:kern w:val="36"/>
          <w:szCs w:val="24"/>
          <w:highlight w:val="yellow"/>
        </w:rPr>
        <w:t>insert name of TIP section that discusses transit projects and investments].</w:t>
      </w:r>
    </w:p>
    <w:p w14:paraId="10464C07" w14:textId="045A5631" w:rsidR="005B00C2" w:rsidRDefault="00B775EC" w:rsidP="005B00C2">
      <w:pPr>
        <w:tabs>
          <w:tab w:val="left" w:pos="2250"/>
        </w:tabs>
        <w:rPr>
          <w:rFonts w:cs="Calibri"/>
          <w:bCs/>
          <w:color w:val="000000"/>
          <w:kern w:val="36"/>
          <w:szCs w:val="24"/>
        </w:rPr>
      </w:pPr>
      <w:r>
        <w:rPr>
          <w:rFonts w:cs="Calibri"/>
          <w:bCs/>
          <w:color w:val="000000"/>
          <w:kern w:val="36"/>
          <w:szCs w:val="24"/>
        </w:rPr>
        <w:t>Example from River to Sea TIP</w:t>
      </w:r>
      <w:r w:rsidR="002A3FE9">
        <w:rPr>
          <w:rStyle w:val="FootnoteReference"/>
          <w:rFonts w:cs="Calibri"/>
          <w:bCs/>
          <w:color w:val="000000"/>
          <w:kern w:val="36"/>
          <w:szCs w:val="24"/>
        </w:rPr>
        <w:footnoteReference w:id="17"/>
      </w:r>
    </w:p>
    <w:p w14:paraId="6A970596" w14:textId="67DCFDB4" w:rsidR="005B00C2" w:rsidRPr="0000371F" w:rsidRDefault="00452D59" w:rsidP="00922E8F">
      <w:pPr>
        <w:tabs>
          <w:tab w:val="left" w:pos="2250"/>
        </w:tabs>
        <w:rPr>
          <w:rFonts w:cs="Calibri"/>
          <w:i/>
          <w:iCs/>
          <w:kern w:val="28"/>
          <w:szCs w:val="24"/>
        </w:rPr>
      </w:pPr>
      <w:r w:rsidRPr="0000371F">
        <w:rPr>
          <w:i/>
          <w:iCs/>
        </w:rPr>
        <w:t>For more information on these programs and projects, see Section VI – Transit and Transportation Disadvantaged Projects of the TIP.</w:t>
      </w:r>
    </w:p>
    <w:sectPr w:rsidR="005B00C2" w:rsidRPr="0000371F" w:rsidSect="00157E71">
      <w:footerReference w:type="even" r:id="rId22"/>
      <w:footerReference w:type="default" r:id="rId23"/>
      <w:pgSz w:w="12240" w:h="15840" w:code="1"/>
      <w:pgMar w:top="1390" w:right="1080" w:bottom="1080" w:left="1080" w:header="504"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A7E1" w14:textId="77777777" w:rsidR="00C241A6" w:rsidRDefault="00C241A6" w:rsidP="00D33D7E">
      <w:r>
        <w:separator/>
      </w:r>
    </w:p>
    <w:p w14:paraId="1F120941" w14:textId="77777777" w:rsidR="00C241A6" w:rsidRDefault="00C241A6"/>
  </w:endnote>
  <w:endnote w:type="continuationSeparator" w:id="0">
    <w:p w14:paraId="35E209F9" w14:textId="77777777" w:rsidR="00C241A6" w:rsidRDefault="00C241A6" w:rsidP="00D33D7E">
      <w:r>
        <w:continuationSeparator/>
      </w:r>
    </w:p>
    <w:p w14:paraId="3BA56F99" w14:textId="77777777" w:rsidR="00C241A6" w:rsidRDefault="00C24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roxima Nova">
    <w:altName w:val="Tahoma"/>
    <w:panose1 w:val="00000000000000000000"/>
    <w:charset w:val="00"/>
    <w:family w:val="swiss"/>
    <w:notTrueType/>
    <w:pitch w:val="default"/>
    <w:sig w:usb0="00000003" w:usb1="00000000" w:usb2="00000000" w:usb3="00000000" w:csb0="00000001" w:csb1="00000000"/>
  </w:font>
  <w:font w:name="Proxima Nova 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95C3" w14:textId="77777777" w:rsidR="00F82C2D" w:rsidRPr="00A44192" w:rsidRDefault="00F82C2D" w:rsidP="00A44192">
    <w:pPr>
      <w:jc w:val="right"/>
      <w:rPr>
        <w:i/>
        <w:sz w:val="20"/>
        <w:szCs w:val="20"/>
      </w:rPr>
    </w:pPr>
    <w:r w:rsidRPr="00A44192">
      <w:rPr>
        <w:i/>
        <w:sz w:val="20"/>
        <w:szCs w:val="20"/>
      </w:rPr>
      <w:fldChar w:fldCharType="begin"/>
    </w:r>
    <w:r w:rsidRPr="00A44192">
      <w:rPr>
        <w:i/>
        <w:sz w:val="20"/>
        <w:szCs w:val="20"/>
      </w:rPr>
      <w:instrText xml:space="preserve"> PAGE   \* MERGEFORMAT </w:instrText>
    </w:r>
    <w:r w:rsidRPr="00A44192">
      <w:rPr>
        <w:i/>
        <w:sz w:val="20"/>
        <w:szCs w:val="20"/>
      </w:rPr>
      <w:fldChar w:fldCharType="separate"/>
    </w:r>
    <w:r>
      <w:rPr>
        <w:i/>
        <w:noProof/>
        <w:sz w:val="20"/>
      </w:rPr>
      <w:t>12</w:t>
    </w:r>
    <w:r w:rsidRPr="00A44192">
      <w:rPr>
        <w:i/>
        <w:noProof/>
        <w:sz w:val="20"/>
        <w:szCs w:val="20"/>
      </w:rPr>
      <w:fldChar w:fldCharType="end"/>
    </w:r>
    <w:r>
      <w:rPr>
        <w:i/>
        <w:noProof/>
        <w:sz w:val="20"/>
        <w:szCs w:val="20"/>
      </w:rPr>
      <w:t xml:space="preserve"> of X</w:t>
    </w:r>
    <w:r>
      <w:rPr>
        <w:i/>
        <w:noProof/>
        <w:sz w:val="20"/>
        <w:szCs w:val="20"/>
      </w:rPr>
      <w:tab/>
    </w:r>
    <w:r w:rsidRPr="00A44192">
      <w:rPr>
        <w:i/>
        <w:sz w:val="20"/>
        <w:szCs w:val="20"/>
      </w:rPr>
      <w:t>January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2368" w14:textId="77777777" w:rsidR="00F82C2D" w:rsidRDefault="00F82C2D" w:rsidP="00DE55DB">
    <w:pPr>
      <w:jc w:val="center"/>
    </w:pPr>
    <w:r>
      <w:t xml:space="preserve">  </w:t>
    </w:r>
    <w:r>
      <w:rPr>
        <w:noProof/>
      </w:rPr>
      <w:drawing>
        <wp:inline distT="0" distB="0" distL="0" distR="0" wp14:anchorId="52643D77" wp14:editId="6A96D43F">
          <wp:extent cx="1487424" cy="7437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424" cy="743712"/>
                  </a:xfrm>
                  <a:prstGeom prst="rect">
                    <a:avLst/>
                  </a:prstGeom>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B6CF" w14:textId="1058317C" w:rsidR="004C2734" w:rsidRPr="00A44192" w:rsidRDefault="004C2734" w:rsidP="004C3812">
    <w:pPr>
      <w:tabs>
        <w:tab w:val="right" w:pos="10080"/>
      </w:tabs>
      <w:jc w:val="left"/>
      <w:rPr>
        <w:i/>
        <w:sz w:val="20"/>
        <w:szCs w:val="20"/>
      </w:rPr>
    </w:pPr>
    <w:r>
      <w:rPr>
        <w:noProof/>
      </w:rPr>
      <w:drawing>
        <wp:anchor distT="0" distB="0" distL="114300" distR="114300" simplePos="0" relativeHeight="251657216" behindDoc="0" locked="0" layoutInCell="1" allowOverlap="1" wp14:anchorId="1E415FFA" wp14:editId="597C82C5">
          <wp:simplePos x="0" y="0"/>
          <wp:positionH relativeFrom="page">
            <wp:posOffset>3421380</wp:posOffset>
          </wp:positionH>
          <wp:positionV relativeFrom="bottomMargin">
            <wp:posOffset>-53340</wp:posOffset>
          </wp:positionV>
          <wp:extent cx="932180" cy="565150"/>
          <wp:effectExtent l="0" t="0" r="127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180" cy="5651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0681447B" wp14:editId="039315E8">
              <wp:simplePos x="0" y="0"/>
              <wp:positionH relativeFrom="margin">
                <wp:posOffset>2339340</wp:posOffset>
              </wp:positionH>
              <wp:positionV relativeFrom="paragraph">
                <wp:posOffset>-2540</wp:posOffset>
              </wp:positionV>
              <wp:extent cx="1718945" cy="233045"/>
              <wp:effectExtent l="0" t="0" r="0" b="0"/>
              <wp:wrapTopAndBottom/>
              <wp:docPr id="3" name="Rectangle 3"/>
              <wp:cNvGraphicFramePr/>
              <a:graphic xmlns:a="http://schemas.openxmlformats.org/drawingml/2006/main">
                <a:graphicData uri="http://schemas.microsoft.com/office/word/2010/wordprocessingShape">
                  <wps:wsp>
                    <wps:cNvSpPr/>
                    <wps:spPr>
                      <a:xfrm>
                        <a:off x="0" y="0"/>
                        <a:ext cx="1718945" cy="233045"/>
                      </a:xfrm>
                      <a:prstGeom prst="rect">
                        <a:avLst/>
                      </a:prstGeom>
                      <a:solidFill>
                        <a:schemeClr val="bg2">
                          <a:alpha val="5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D26079" id="Rectangle 3" o:spid="_x0000_s1026" style="position:absolute;margin-left:184.2pt;margin-top:-.2pt;width:135.35pt;height:18.3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" fillcolor="white [3214]" stroked="f" strokeweight="2pt">
              <v:fill opacity="38036f"/>
              <w10:wrap type="topAndBottom" anchorx="margin"/>
            </v:rect>
          </w:pict>
        </mc:Fallback>
      </mc:AlternateContent>
    </w:r>
    <w:r w:rsidRPr="00A44192">
      <w:rPr>
        <w:i/>
        <w:sz w:val="20"/>
        <w:szCs w:val="20"/>
      </w:rPr>
      <w:fldChar w:fldCharType="begin"/>
    </w:r>
    <w:r w:rsidRPr="00A44192">
      <w:rPr>
        <w:i/>
        <w:sz w:val="20"/>
        <w:szCs w:val="20"/>
      </w:rPr>
      <w:instrText xml:space="preserve"> PAGE   \* MERGEFORMAT </w:instrText>
    </w:r>
    <w:r w:rsidRPr="00A44192">
      <w:rPr>
        <w:i/>
        <w:sz w:val="20"/>
        <w:szCs w:val="20"/>
      </w:rPr>
      <w:fldChar w:fldCharType="separate"/>
    </w:r>
    <w:r>
      <w:rPr>
        <w:i/>
        <w:noProof/>
        <w:sz w:val="20"/>
        <w:szCs w:val="20"/>
      </w:rPr>
      <w:t>10</w:t>
    </w:r>
    <w:r w:rsidRPr="00A44192">
      <w:rPr>
        <w:i/>
        <w:noProof/>
        <w:sz w:val="20"/>
        <w:szCs w:val="20"/>
      </w:rPr>
      <w:fldChar w:fldCharType="end"/>
    </w:r>
    <w:r>
      <w:rPr>
        <w:i/>
        <w:noProof/>
        <w:sz w:val="20"/>
        <w:szCs w:val="20"/>
      </w:rPr>
      <w:tab/>
    </w:r>
    <w:r w:rsidR="007A00A2">
      <w:rPr>
        <w:i/>
        <w:noProof/>
        <w:sz w:val="20"/>
        <w:szCs w:val="20"/>
      </w:rPr>
      <w:t>February</w:t>
    </w:r>
    <w:r w:rsidR="00BD38D4">
      <w:rPr>
        <w:i/>
        <w:noProof/>
        <w:sz w:val="20"/>
        <w:szCs w:val="20"/>
      </w:rPr>
      <w:t xml:space="preserve"> 202</w:t>
    </w:r>
    <w:r w:rsidR="00240402">
      <w:rPr>
        <w:i/>
        <w:noProof/>
        <w:sz w:val="20"/>
        <w:szCs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CE6C" w14:textId="49D577B9" w:rsidR="004C2734" w:rsidRPr="00A44192" w:rsidRDefault="004C2734" w:rsidP="004C3812">
    <w:pPr>
      <w:tabs>
        <w:tab w:val="right" w:pos="10080"/>
      </w:tabs>
      <w:jc w:val="left"/>
      <w:rPr>
        <w:i/>
        <w:sz w:val="20"/>
        <w:szCs w:val="20"/>
      </w:rPr>
    </w:pPr>
    <w:r>
      <w:rPr>
        <w:noProof/>
      </w:rPr>
      <mc:AlternateContent>
        <mc:Choice Requires="wps">
          <w:drawing>
            <wp:anchor distT="0" distB="0" distL="114300" distR="114300" simplePos="0" relativeHeight="251696128" behindDoc="0" locked="0" layoutInCell="1" allowOverlap="1" wp14:anchorId="66C077AB" wp14:editId="5807D1F8">
              <wp:simplePos x="0" y="0"/>
              <wp:positionH relativeFrom="margin">
                <wp:posOffset>2506980</wp:posOffset>
              </wp:positionH>
              <wp:positionV relativeFrom="paragraph">
                <wp:posOffset>-85090</wp:posOffset>
              </wp:positionV>
              <wp:extent cx="1718945" cy="305435"/>
              <wp:effectExtent l="0" t="0" r="0" b="0"/>
              <wp:wrapTopAndBottom/>
              <wp:docPr id="6" name="Rectangle 6"/>
              <wp:cNvGraphicFramePr/>
              <a:graphic xmlns:a="http://schemas.openxmlformats.org/drawingml/2006/main">
                <a:graphicData uri="http://schemas.microsoft.com/office/word/2010/wordprocessingShape">
                  <wps:wsp>
                    <wps:cNvSpPr/>
                    <wps:spPr>
                      <a:xfrm>
                        <a:off x="0" y="0"/>
                        <a:ext cx="1718945" cy="305435"/>
                      </a:xfrm>
                      <a:prstGeom prst="rect">
                        <a:avLst/>
                      </a:prstGeom>
                      <a:solidFill>
                        <a:schemeClr val="bg2">
                          <a:alpha val="5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EBE3D1" id="Rectangle 6" o:spid="_x0000_s1026" style="position:absolute;margin-left:197.4pt;margin-top:-6.7pt;width:135.35pt;height:24.05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" fillcolor="white [3214]" stroked="f" strokeweight="2pt">
              <v:fill opacity="38036f"/>
              <w10:wrap type="topAndBottom" anchorx="margin"/>
            </v:rect>
          </w:pict>
        </mc:Fallback>
      </mc:AlternateContent>
    </w:r>
    <w:r>
      <w:rPr>
        <w:noProof/>
      </w:rPr>
      <w:drawing>
        <wp:anchor distT="0" distB="0" distL="114300" distR="114300" simplePos="0" relativeHeight="251637760" behindDoc="0" locked="0" layoutInCell="1" allowOverlap="1" wp14:anchorId="58CC9730" wp14:editId="3BD0EEF8">
          <wp:simplePos x="0" y="0"/>
          <wp:positionH relativeFrom="page">
            <wp:posOffset>3422015</wp:posOffset>
          </wp:positionH>
          <wp:positionV relativeFrom="bottomMargin">
            <wp:posOffset>49530</wp:posOffset>
          </wp:positionV>
          <wp:extent cx="932180" cy="4660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180" cy="466090"/>
                  </a:xfrm>
                  <a:prstGeom prst="rect">
                    <a:avLst/>
                  </a:prstGeom>
                </pic:spPr>
              </pic:pic>
            </a:graphicData>
          </a:graphic>
          <wp14:sizeRelH relativeFrom="page">
            <wp14:pctWidth>0</wp14:pctWidth>
          </wp14:sizeRelH>
          <wp14:sizeRelV relativeFrom="page">
            <wp14:pctHeight>0</wp14:pctHeight>
          </wp14:sizeRelV>
        </wp:anchor>
      </w:drawing>
    </w:r>
    <w:r w:rsidR="007A00A2">
      <w:rPr>
        <w:i/>
        <w:sz w:val="20"/>
        <w:szCs w:val="20"/>
      </w:rPr>
      <w:t>February</w:t>
    </w:r>
    <w:r w:rsidR="009E4F12">
      <w:rPr>
        <w:i/>
        <w:sz w:val="20"/>
        <w:szCs w:val="20"/>
      </w:rPr>
      <w:t xml:space="preserve"> 2023</w:t>
    </w:r>
    <w:r w:rsidRPr="00A44192">
      <w:rPr>
        <w:i/>
        <w:sz w:val="20"/>
        <w:szCs w:val="20"/>
      </w:rPr>
      <w:tab/>
    </w:r>
    <w:r w:rsidRPr="00A44192">
      <w:rPr>
        <w:i/>
        <w:sz w:val="20"/>
        <w:szCs w:val="20"/>
      </w:rPr>
      <w:fldChar w:fldCharType="begin"/>
    </w:r>
    <w:r w:rsidRPr="00A44192">
      <w:rPr>
        <w:i/>
        <w:sz w:val="20"/>
        <w:szCs w:val="20"/>
      </w:rPr>
      <w:instrText xml:space="preserve"> PAGE   \* MERGEFORMAT </w:instrText>
    </w:r>
    <w:r w:rsidRPr="00A44192">
      <w:rPr>
        <w:i/>
        <w:sz w:val="20"/>
        <w:szCs w:val="20"/>
      </w:rPr>
      <w:fldChar w:fldCharType="separate"/>
    </w:r>
    <w:r>
      <w:rPr>
        <w:i/>
        <w:noProof/>
        <w:sz w:val="20"/>
        <w:szCs w:val="20"/>
      </w:rPr>
      <w:t>9</w:t>
    </w:r>
    <w:r w:rsidRPr="00A44192">
      <w:rPr>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AD84" w14:textId="77777777" w:rsidR="00C241A6" w:rsidRDefault="00C241A6">
      <w:r>
        <w:separator/>
      </w:r>
    </w:p>
  </w:footnote>
  <w:footnote w:type="continuationSeparator" w:id="0">
    <w:p w14:paraId="453A3952" w14:textId="77777777" w:rsidR="00C241A6" w:rsidRDefault="00C241A6" w:rsidP="00D33D7E">
      <w:r>
        <w:continuationSeparator/>
      </w:r>
    </w:p>
    <w:p w14:paraId="65B5D0AF" w14:textId="77777777" w:rsidR="00C241A6" w:rsidRDefault="00C241A6"/>
  </w:footnote>
  <w:footnote w:id="1">
    <w:p w14:paraId="2E66083B" w14:textId="62E3B17E" w:rsidR="00F82C2D" w:rsidRPr="00520A91" w:rsidRDefault="00F82C2D" w:rsidP="00F82C2D">
      <w:pPr>
        <w:pStyle w:val="FootnoteText"/>
        <w:jc w:val="left"/>
      </w:pPr>
      <w:r w:rsidRPr="009A5CC6">
        <w:rPr>
          <w:rStyle w:val="FootnoteReference"/>
        </w:rPr>
        <w:footnoteRef/>
      </w:r>
      <w:r>
        <w:t xml:space="preserve"> </w:t>
      </w:r>
      <w:r w:rsidRPr="00FD04CE">
        <w:t xml:space="preserve">Hillsborough MPO Transportation Improvement Program FY </w:t>
      </w:r>
      <w:r>
        <w:t>202</w:t>
      </w:r>
      <w:r w:rsidR="00043B10">
        <w:t>2</w:t>
      </w:r>
      <w:r>
        <w:t>/2</w:t>
      </w:r>
      <w:r w:rsidR="00043B10">
        <w:t>3</w:t>
      </w:r>
      <w:r>
        <w:t xml:space="preserve"> – 202</w:t>
      </w:r>
      <w:r w:rsidR="00043B10">
        <w:t>6</w:t>
      </w:r>
      <w:r>
        <w:t>/2</w:t>
      </w:r>
      <w:r w:rsidR="00043B10">
        <w:t>7</w:t>
      </w:r>
      <w:r w:rsidRPr="00FD04CE">
        <w:t xml:space="preserve">, Adopted June </w:t>
      </w:r>
      <w:r w:rsidR="00043B10">
        <w:t>8</w:t>
      </w:r>
      <w:r>
        <w:t>, 202</w:t>
      </w:r>
      <w:r w:rsidR="00043B10">
        <w:t>2</w:t>
      </w:r>
      <w:r w:rsidRPr="00FD04CE">
        <w:t xml:space="preserve">. TPM documentation provided in </w:t>
      </w:r>
      <w:r>
        <w:t>A</w:t>
      </w:r>
      <w:r w:rsidRPr="00FD04CE">
        <w:t>ppendix</w:t>
      </w:r>
      <w:r>
        <w:t xml:space="preserve"> E</w:t>
      </w:r>
      <w:r w:rsidR="00520A91">
        <w:rPr>
          <w:rStyle w:val="Hyperlink"/>
        </w:rPr>
        <w:t xml:space="preserve"> </w:t>
      </w:r>
      <w:hyperlink r:id="rId1" w:history="1">
        <w:r w:rsidR="00520A91" w:rsidRPr="0000371F">
          <w:rPr>
            <w:color w:val="0000FF"/>
            <w:u w:val="single"/>
          </w:rPr>
          <w:t>TIP-FY23-27-9-19-22.pdf (planhillsborough.org)</w:t>
        </w:r>
      </w:hyperlink>
      <w:r w:rsidRPr="00520A91">
        <w:t xml:space="preserve"> </w:t>
      </w:r>
    </w:p>
  </w:footnote>
  <w:footnote w:id="2">
    <w:p w14:paraId="1B568D5D" w14:textId="0B9D0F3A" w:rsidR="00F82C2D" w:rsidRPr="007B6DBC" w:rsidRDefault="00F82C2D" w:rsidP="00F82C2D">
      <w:pPr>
        <w:pStyle w:val="FootnoteText"/>
        <w:jc w:val="left"/>
      </w:pPr>
      <w:r>
        <w:rPr>
          <w:rStyle w:val="FootnoteReference"/>
        </w:rPr>
        <w:footnoteRef/>
      </w:r>
      <w:r>
        <w:t xml:space="preserve"> </w:t>
      </w:r>
      <w:r w:rsidRPr="00FD04CE">
        <w:t xml:space="preserve">River to Sea TPO </w:t>
      </w:r>
      <w:r>
        <w:t>FY 202</w:t>
      </w:r>
      <w:r w:rsidR="00DE7E6D">
        <w:t>2</w:t>
      </w:r>
      <w:r>
        <w:t>/2</w:t>
      </w:r>
      <w:r w:rsidR="00DE7E6D">
        <w:t>3</w:t>
      </w:r>
      <w:r>
        <w:t xml:space="preserve"> – FY 2026/2</w:t>
      </w:r>
      <w:r w:rsidR="00DE7E6D">
        <w:t>7</w:t>
      </w:r>
      <w:r>
        <w:t xml:space="preserve"> </w:t>
      </w:r>
      <w:r w:rsidRPr="00FD04CE">
        <w:t xml:space="preserve">Transportation Improvement Plan, adopted </w:t>
      </w:r>
      <w:r>
        <w:t>June 2</w:t>
      </w:r>
      <w:r w:rsidR="003E0E21">
        <w:t>2</w:t>
      </w:r>
      <w:r>
        <w:t>, 202</w:t>
      </w:r>
      <w:r w:rsidR="003E0E21">
        <w:t>2</w:t>
      </w:r>
      <w:r w:rsidRPr="00FD04CE">
        <w:t xml:space="preserve">, amended </w:t>
      </w:r>
      <w:r>
        <w:t>August 2</w:t>
      </w:r>
      <w:r w:rsidR="003E0E21">
        <w:t>4</w:t>
      </w:r>
      <w:r>
        <w:t>, 202</w:t>
      </w:r>
      <w:r w:rsidR="003E0E21">
        <w:t>2</w:t>
      </w:r>
      <w:r w:rsidR="00F17C71">
        <w:rPr>
          <w:rStyle w:val="Hyperlink"/>
        </w:rPr>
        <w:t xml:space="preserve"> </w:t>
      </w:r>
      <w:r>
        <w:t xml:space="preserve"> </w:t>
      </w:r>
      <w:hyperlink r:id="rId2" w:history="1">
        <w:r w:rsidR="00F17C71" w:rsidRPr="0000371F">
          <w:rPr>
            <w:color w:val="0000FF"/>
            <w:u w:val="single"/>
          </w:rPr>
          <w:t>FY-2022-23-to-FY-2026-27-TIP-Roll-Forward-Amendment-August-2022.pdf (r2ctpo.org)</w:t>
        </w:r>
      </w:hyperlink>
    </w:p>
  </w:footnote>
  <w:footnote w:id="3">
    <w:p w14:paraId="6279D8AA" w14:textId="7A5C0A0F" w:rsidR="00F82C2D" w:rsidRPr="009A5CC6" w:rsidRDefault="00F82C2D" w:rsidP="00F82C2D">
      <w:pPr>
        <w:pStyle w:val="FootnoteText"/>
        <w:jc w:val="left"/>
      </w:pPr>
      <w:r>
        <w:rPr>
          <w:rStyle w:val="FootnoteReference"/>
        </w:rPr>
        <w:footnoteRef/>
      </w:r>
      <w:r>
        <w:t xml:space="preserve"> </w:t>
      </w:r>
      <w:r w:rsidRPr="00864F95">
        <w:t>Sarasota/Manatee MPO Transportation Improvement Program,</w:t>
      </w:r>
      <w:r>
        <w:t xml:space="preserve"> </w:t>
      </w:r>
      <w:r w:rsidRPr="00864F95">
        <w:t xml:space="preserve">Fiscal Years </w:t>
      </w:r>
      <w:r>
        <w:t>202</w:t>
      </w:r>
      <w:r w:rsidR="001C21E2">
        <w:t>2</w:t>
      </w:r>
      <w:r>
        <w:t>/2</w:t>
      </w:r>
      <w:r w:rsidR="001C21E2">
        <w:t>3</w:t>
      </w:r>
      <w:r w:rsidRPr="00864F95">
        <w:t xml:space="preserve"> – </w:t>
      </w:r>
      <w:r>
        <w:t>202</w:t>
      </w:r>
      <w:r w:rsidR="001C21E2">
        <w:t>6</w:t>
      </w:r>
      <w:r>
        <w:t>/2</w:t>
      </w:r>
      <w:r w:rsidR="001C21E2">
        <w:t>7</w:t>
      </w:r>
      <w:r>
        <w:t xml:space="preserve">. Adopted May </w:t>
      </w:r>
      <w:r w:rsidR="001C21E2">
        <w:t>23</w:t>
      </w:r>
      <w:r>
        <w:t>, 202</w:t>
      </w:r>
      <w:r w:rsidR="001C21E2">
        <w:t>2</w:t>
      </w:r>
      <w:r w:rsidR="00CB5217">
        <w:t xml:space="preserve">. </w:t>
      </w:r>
      <w:hyperlink r:id="rId3" w:history="1">
        <w:r w:rsidR="00C24473" w:rsidRPr="0000371F">
          <w:rPr>
            <w:color w:val="0000FF"/>
            <w:u w:val="single"/>
          </w:rPr>
          <w:t>TIP (mympo.org)</w:t>
        </w:r>
      </w:hyperlink>
    </w:p>
  </w:footnote>
  <w:footnote w:id="4">
    <w:p w14:paraId="7779CE37" w14:textId="2AABD22B" w:rsidR="00F82C2D" w:rsidRPr="0000721B" w:rsidRDefault="00F82C2D" w:rsidP="00F82C2D">
      <w:pPr>
        <w:pStyle w:val="FootnoteText"/>
        <w:jc w:val="left"/>
      </w:pPr>
      <w:r>
        <w:rPr>
          <w:rStyle w:val="FootnoteReference"/>
        </w:rPr>
        <w:footnoteRef/>
      </w:r>
      <w:r>
        <w:t xml:space="preserve"> </w:t>
      </w:r>
      <w:r w:rsidRPr="00FD04CE">
        <w:t xml:space="preserve">Broward MPO Transportation Improvement Plan, FY </w:t>
      </w:r>
      <w:r>
        <w:t>202</w:t>
      </w:r>
      <w:r w:rsidR="00730389">
        <w:t>3</w:t>
      </w:r>
      <w:r>
        <w:t>-202</w:t>
      </w:r>
      <w:r w:rsidR="005554D9">
        <w:t>7</w:t>
      </w:r>
      <w:r w:rsidRPr="00FD04CE">
        <w:t xml:space="preserve">, </w:t>
      </w:r>
      <w:r>
        <w:t xml:space="preserve">approved July </w:t>
      </w:r>
      <w:r w:rsidR="005554D9">
        <w:t>14</w:t>
      </w:r>
      <w:r>
        <w:t>, 202</w:t>
      </w:r>
      <w:r w:rsidR="005554D9">
        <w:t>2</w:t>
      </w:r>
      <w:r>
        <w:t>.</w:t>
      </w:r>
      <w:hyperlink w:history="1"/>
      <w:r>
        <w:t xml:space="preserve"> </w:t>
      </w:r>
      <w:hyperlink r:id="rId4" w:history="1">
        <w:r w:rsidR="0000721B" w:rsidRPr="0000371F">
          <w:rPr>
            <w:color w:val="0000FF"/>
            <w:u w:val="single"/>
          </w:rPr>
          <w:t>Final TIP FY 23-27_7-14-2022.pdf (browardmpo.org)</w:t>
        </w:r>
      </w:hyperlink>
    </w:p>
  </w:footnote>
  <w:footnote w:id="5">
    <w:p w14:paraId="16E919BB" w14:textId="7C7FD45E" w:rsidR="00F82C2D" w:rsidRPr="00B70E7B" w:rsidRDefault="00F82C2D" w:rsidP="00F82C2D">
      <w:pPr>
        <w:pStyle w:val="FootnoteText"/>
        <w:jc w:val="left"/>
      </w:pPr>
      <w:r>
        <w:rPr>
          <w:rStyle w:val="FootnoteReference"/>
        </w:rPr>
        <w:footnoteRef/>
      </w:r>
      <w:r>
        <w:t xml:space="preserve"> </w:t>
      </w:r>
      <w:r w:rsidRPr="00FD04CE">
        <w:t xml:space="preserve">MetroPlan Orlando Transportation Improvement Plan, FY </w:t>
      </w:r>
      <w:r>
        <w:t>202</w:t>
      </w:r>
      <w:r w:rsidR="006A54EC">
        <w:t>2</w:t>
      </w:r>
      <w:r>
        <w:t>/2</w:t>
      </w:r>
      <w:r w:rsidR="006A54EC">
        <w:t>3</w:t>
      </w:r>
      <w:r>
        <w:t xml:space="preserve"> – 202</w:t>
      </w:r>
      <w:r w:rsidR="006A54EC">
        <w:t>6</w:t>
      </w:r>
      <w:r>
        <w:t>/2</w:t>
      </w:r>
      <w:r w:rsidR="006A54EC">
        <w:t>7</w:t>
      </w:r>
      <w:r w:rsidRPr="00FD04CE">
        <w:t xml:space="preserve">, Adopted July </w:t>
      </w:r>
      <w:r w:rsidR="00927766">
        <w:t>2</w:t>
      </w:r>
      <w:r>
        <w:t>7</w:t>
      </w:r>
      <w:r w:rsidRPr="00FD04CE">
        <w:t>, 20</w:t>
      </w:r>
      <w:r>
        <w:t>2</w:t>
      </w:r>
      <w:r w:rsidR="00927766">
        <w:t>2</w:t>
      </w:r>
      <w:r w:rsidRPr="00FD04CE">
        <w:t xml:space="preserve">, </w:t>
      </w:r>
      <w:r w:rsidR="00927766">
        <w:t>modified</w:t>
      </w:r>
      <w:r w:rsidRPr="00FD04CE">
        <w:t xml:space="preserve"> </w:t>
      </w:r>
      <w:r w:rsidR="00927766">
        <w:t>October</w:t>
      </w:r>
      <w:r>
        <w:t xml:space="preserve"> </w:t>
      </w:r>
      <w:r w:rsidR="00927766">
        <w:t>27</w:t>
      </w:r>
      <w:r>
        <w:t xml:space="preserve">, </w:t>
      </w:r>
      <w:r w:rsidRPr="00E378B7">
        <w:t>202</w:t>
      </w:r>
      <w:r w:rsidR="001F299E" w:rsidRPr="00E378B7">
        <w:t>2</w:t>
      </w:r>
      <w:r w:rsidRPr="00E378B7">
        <w:t xml:space="preserve"> </w:t>
      </w:r>
      <w:hyperlink r:id="rId5" w:history="1">
        <w:r w:rsidR="001F299E" w:rsidRPr="0000371F">
          <w:rPr>
            <w:color w:val="0000FF"/>
            <w:u w:val="single"/>
          </w:rPr>
          <w:t>Transportation-Improvement-Program-TIP-2023-2027-Revised-10-27-2022.pdf (metroplanorlando.org)</w:t>
        </w:r>
      </w:hyperlink>
    </w:p>
  </w:footnote>
  <w:footnote w:id="6">
    <w:p w14:paraId="412A948E" w14:textId="3BC268F7" w:rsidR="00F82C2D" w:rsidRDefault="00F82C2D" w:rsidP="009A5CC6">
      <w:pPr>
        <w:pStyle w:val="FootnoteText"/>
        <w:jc w:val="left"/>
      </w:pPr>
      <w:r>
        <w:rPr>
          <w:rStyle w:val="FootnoteReference"/>
        </w:rPr>
        <w:footnoteRef/>
      </w:r>
      <w:r>
        <w:t xml:space="preserve"> </w:t>
      </w:r>
      <w:r w:rsidRPr="00FD04CE">
        <w:t xml:space="preserve">River to Sea TPO </w:t>
      </w:r>
      <w:r>
        <w:t>FY 202</w:t>
      </w:r>
      <w:r w:rsidR="00BA367C">
        <w:t>2</w:t>
      </w:r>
      <w:r>
        <w:t>/2</w:t>
      </w:r>
      <w:r w:rsidR="00BA367C">
        <w:t>3</w:t>
      </w:r>
      <w:r>
        <w:t xml:space="preserve"> – FY 2026/2</w:t>
      </w:r>
      <w:r w:rsidR="00BA367C">
        <w:t>7</w:t>
      </w:r>
      <w:r>
        <w:t xml:space="preserve"> </w:t>
      </w:r>
      <w:r w:rsidRPr="00FD04CE">
        <w:t xml:space="preserve">Transportation Improvement Plan, adopted </w:t>
      </w:r>
      <w:r>
        <w:t>June 2</w:t>
      </w:r>
      <w:r w:rsidR="00010439">
        <w:t>2</w:t>
      </w:r>
      <w:r>
        <w:t>, 202</w:t>
      </w:r>
      <w:r w:rsidR="00010439">
        <w:t>2</w:t>
      </w:r>
      <w:r w:rsidRPr="00FD04CE">
        <w:t xml:space="preserve">, amended </w:t>
      </w:r>
      <w:r>
        <w:t>August 2</w:t>
      </w:r>
      <w:r w:rsidR="00010439">
        <w:t>4</w:t>
      </w:r>
      <w:r>
        <w:t>, 202</w:t>
      </w:r>
      <w:r w:rsidR="00010439">
        <w:t>2</w:t>
      </w:r>
      <w:r w:rsidR="00C35C98" w:rsidRPr="00330176">
        <w:t xml:space="preserve">. </w:t>
      </w:r>
      <w:hyperlink r:id="rId6" w:history="1">
        <w:r w:rsidR="00330176" w:rsidRPr="0000371F">
          <w:rPr>
            <w:color w:val="0000FF"/>
            <w:u w:val="single"/>
          </w:rPr>
          <w:t>FY-2022-23-to-FY-2026-27-TIP-Roll-Forward-Amendment-August-2022.pdf (r2ctpo.org)</w:t>
        </w:r>
      </w:hyperlink>
      <w:r>
        <w:t xml:space="preserve"> </w:t>
      </w:r>
    </w:p>
  </w:footnote>
  <w:footnote w:id="7">
    <w:p w14:paraId="553764C0" w14:textId="2358B211" w:rsidR="001A71A9" w:rsidRDefault="001A71A9">
      <w:pPr>
        <w:pStyle w:val="FootnoteText"/>
      </w:pPr>
      <w:r>
        <w:rPr>
          <w:rStyle w:val="FootnoteReference"/>
        </w:rPr>
        <w:footnoteRef/>
      </w:r>
      <w:r>
        <w:t xml:space="preserve"> </w:t>
      </w:r>
      <w:r w:rsidRPr="009E3DD7">
        <w:t xml:space="preserve">Broward MPO Transportation Improvement Program, Fiscal Years 2022/23 – 2026/27. Adopted July 14, 2022. </w:t>
      </w:r>
      <w:hyperlink r:id="rId7" w:history="1">
        <w:r w:rsidRPr="009E3DD7">
          <w:rPr>
            <w:color w:val="0000FF"/>
            <w:u w:val="single"/>
          </w:rPr>
          <w:t>Final TIP FY 23-27_7-14-2022.pdf (browardmpo.org)</w:t>
        </w:r>
      </w:hyperlink>
    </w:p>
  </w:footnote>
  <w:footnote w:id="8">
    <w:p w14:paraId="1991F16B" w14:textId="5233FD45" w:rsidR="00F82C2D" w:rsidRPr="009A5CC6" w:rsidRDefault="00F82C2D" w:rsidP="00F82C2D">
      <w:pPr>
        <w:pStyle w:val="FootnoteText"/>
        <w:jc w:val="left"/>
      </w:pPr>
      <w:r>
        <w:rPr>
          <w:rStyle w:val="FootnoteReference"/>
        </w:rPr>
        <w:footnoteRef/>
      </w:r>
      <w:r>
        <w:t xml:space="preserve"> </w:t>
      </w:r>
      <w:r w:rsidRPr="00864F95">
        <w:t>Sarasota/Manatee MPO Transportation Improvement Program,</w:t>
      </w:r>
      <w:r>
        <w:t xml:space="preserve"> </w:t>
      </w:r>
      <w:r w:rsidRPr="00864F95">
        <w:t xml:space="preserve">Fiscal Years </w:t>
      </w:r>
      <w:r>
        <w:t>202</w:t>
      </w:r>
      <w:r w:rsidR="00D028D9">
        <w:t>2</w:t>
      </w:r>
      <w:r>
        <w:t>/2</w:t>
      </w:r>
      <w:r w:rsidR="00D028D9">
        <w:t>3</w:t>
      </w:r>
      <w:r w:rsidRPr="00864F95">
        <w:t xml:space="preserve"> – </w:t>
      </w:r>
      <w:r>
        <w:t>202</w:t>
      </w:r>
      <w:r w:rsidR="00D028D9">
        <w:t>6</w:t>
      </w:r>
      <w:r>
        <w:t>/2</w:t>
      </w:r>
      <w:r w:rsidR="00D028D9">
        <w:t>7</w:t>
      </w:r>
      <w:r>
        <w:t xml:space="preserve">. Adopted May </w:t>
      </w:r>
      <w:r w:rsidR="00D028D9">
        <w:t>23</w:t>
      </w:r>
      <w:r>
        <w:t>, 202</w:t>
      </w:r>
      <w:r w:rsidR="00D028D9">
        <w:t>2</w:t>
      </w:r>
      <w:r>
        <w:t xml:space="preserve">. </w:t>
      </w:r>
      <w:hyperlink r:id="rId8" w:history="1">
        <w:r w:rsidR="00734BBB" w:rsidRPr="0000371F">
          <w:rPr>
            <w:color w:val="0000FF"/>
            <w:u w:val="single"/>
          </w:rPr>
          <w:t>TIP (mympo.org)</w:t>
        </w:r>
      </w:hyperlink>
    </w:p>
  </w:footnote>
  <w:footnote w:id="9">
    <w:p w14:paraId="65F3094D" w14:textId="4C630B17" w:rsidR="004C2734" w:rsidRPr="003D07C8" w:rsidRDefault="004C2734" w:rsidP="002F376D">
      <w:pPr>
        <w:pStyle w:val="FootnoteText"/>
        <w:jc w:val="left"/>
      </w:pPr>
      <w:r>
        <w:rPr>
          <w:rStyle w:val="FootnoteReference"/>
        </w:rPr>
        <w:footnoteRef/>
      </w:r>
      <w:r>
        <w:t xml:space="preserve"> </w:t>
      </w:r>
      <w:r w:rsidR="004D0B8E">
        <w:t xml:space="preserve">Forward Pinellas </w:t>
      </w:r>
      <w:r w:rsidRPr="003D07C8">
        <w:t>TIP</w:t>
      </w:r>
      <w:r>
        <w:t>, F</w:t>
      </w:r>
      <w:r w:rsidR="005311F2">
        <w:t>Y</w:t>
      </w:r>
      <w:r>
        <w:t xml:space="preserve"> 202</w:t>
      </w:r>
      <w:r w:rsidR="00A421FA">
        <w:t>2</w:t>
      </w:r>
      <w:r w:rsidR="004D0B8E">
        <w:t>/2</w:t>
      </w:r>
      <w:r w:rsidR="004554CB">
        <w:t>3</w:t>
      </w:r>
      <w:r>
        <w:t>-202</w:t>
      </w:r>
      <w:r w:rsidR="004554CB">
        <w:t>6</w:t>
      </w:r>
      <w:r w:rsidR="004D0B8E">
        <w:t>/2</w:t>
      </w:r>
      <w:r w:rsidR="004554CB">
        <w:t>7</w:t>
      </w:r>
      <w:r>
        <w:t xml:space="preserve">, Adopted June </w:t>
      </w:r>
      <w:r w:rsidR="004554CB">
        <w:t>8</w:t>
      </w:r>
      <w:r>
        <w:t>, 202</w:t>
      </w:r>
      <w:r w:rsidR="004554CB">
        <w:t>2</w:t>
      </w:r>
      <w:r>
        <w:t xml:space="preserve">, </w:t>
      </w:r>
      <w:hyperlink r:id="rId9" w:history="1">
        <w:r w:rsidR="003B6CE5" w:rsidRPr="000F0F21">
          <w:rPr>
            <w:rStyle w:val="Hyperlink"/>
          </w:rPr>
          <w:t>https://forwardpinellas.org/programs/transportation-improvement-program/</w:t>
        </w:r>
      </w:hyperlink>
      <w:r w:rsidR="003B6CE5">
        <w:t xml:space="preserve"> </w:t>
      </w:r>
    </w:p>
  </w:footnote>
  <w:footnote w:id="10">
    <w:p w14:paraId="65E16E1F" w14:textId="2E3170F6" w:rsidR="004C2734" w:rsidRDefault="004C2734" w:rsidP="00844A09">
      <w:pPr>
        <w:pStyle w:val="FootnoteText"/>
        <w:jc w:val="left"/>
      </w:pPr>
      <w:r>
        <w:rPr>
          <w:rStyle w:val="FootnoteReference"/>
        </w:rPr>
        <w:footnoteRef/>
      </w:r>
      <w:r>
        <w:t xml:space="preserve"> </w:t>
      </w:r>
      <w:r w:rsidRPr="00CB7329">
        <w:t>Space Coast TPO TIP, Fiscal Year 202</w:t>
      </w:r>
      <w:r w:rsidR="00A63204">
        <w:t>3</w:t>
      </w:r>
      <w:r w:rsidRPr="00CB7329">
        <w:t>-202</w:t>
      </w:r>
      <w:r w:rsidR="00A63204">
        <w:t>7</w:t>
      </w:r>
      <w:r w:rsidRPr="00CB7329">
        <w:t xml:space="preserve">, Adopted July </w:t>
      </w:r>
      <w:r w:rsidR="00A63204">
        <w:t>14</w:t>
      </w:r>
      <w:r w:rsidRPr="00CB7329">
        <w:t>, 20</w:t>
      </w:r>
      <w:r w:rsidR="00B06414">
        <w:t>2</w:t>
      </w:r>
      <w:r w:rsidR="00A63204">
        <w:t>2</w:t>
      </w:r>
    </w:p>
    <w:p w14:paraId="762A753D" w14:textId="6D0BFEB4" w:rsidR="00106216" w:rsidRPr="00106216" w:rsidRDefault="00E55C57" w:rsidP="00844A09">
      <w:pPr>
        <w:pStyle w:val="FootnoteText"/>
        <w:jc w:val="left"/>
      </w:pPr>
      <w:hyperlink r:id="rId10" w:history="1">
        <w:r w:rsidR="00106216" w:rsidRPr="00A277FF">
          <w:rPr>
            <w:rStyle w:val="Hyperlink"/>
          </w:rPr>
          <w:t>https://www.spacecoasttpo.com/what-we-do/planning/core-work-products/transportation-improvement-program</w:t>
        </w:r>
      </w:hyperlink>
      <w:r w:rsidR="00106216">
        <w:t xml:space="preserve">  </w:t>
      </w:r>
    </w:p>
  </w:footnote>
  <w:footnote w:id="11">
    <w:p w14:paraId="1C6082C8" w14:textId="3EB2738B" w:rsidR="004C6C2C" w:rsidRDefault="004C6C2C">
      <w:pPr>
        <w:pStyle w:val="FootnoteText"/>
      </w:pPr>
      <w:r>
        <w:rPr>
          <w:rStyle w:val="FootnoteReference"/>
        </w:rPr>
        <w:footnoteRef/>
      </w:r>
      <w:r>
        <w:t xml:space="preserve"> Forward Pinellas </w:t>
      </w:r>
      <w:r w:rsidRPr="003D07C8">
        <w:t>TIP</w:t>
      </w:r>
      <w:r>
        <w:t>, FY 202</w:t>
      </w:r>
      <w:r w:rsidR="00A535E5">
        <w:t>2</w:t>
      </w:r>
      <w:r>
        <w:t>/2</w:t>
      </w:r>
      <w:r w:rsidR="00A535E5">
        <w:t>3</w:t>
      </w:r>
      <w:r>
        <w:t>-202</w:t>
      </w:r>
      <w:r w:rsidR="00A535E5">
        <w:t>6</w:t>
      </w:r>
      <w:r>
        <w:t>/2</w:t>
      </w:r>
      <w:r w:rsidR="00A535E5">
        <w:t>7</w:t>
      </w:r>
      <w:r>
        <w:t xml:space="preserve">, Adopted June </w:t>
      </w:r>
      <w:r w:rsidR="00A135FA">
        <w:t>8</w:t>
      </w:r>
      <w:r>
        <w:t>, 202</w:t>
      </w:r>
      <w:r w:rsidR="00A135FA">
        <w:t>2</w:t>
      </w:r>
      <w:r>
        <w:t xml:space="preserve">, </w:t>
      </w:r>
      <w:hyperlink r:id="rId11" w:history="1">
        <w:r w:rsidR="00703AD8" w:rsidRPr="00703AD8">
          <w:rPr>
            <w:rStyle w:val="Hyperlink"/>
          </w:rPr>
          <w:t>https://forwardpinellas.org/document-portal/current-transportation-improvement-program/</w:t>
        </w:r>
      </w:hyperlink>
    </w:p>
  </w:footnote>
  <w:footnote w:id="12">
    <w:p w14:paraId="639D06B3" w14:textId="14250509" w:rsidR="005B00C2" w:rsidRPr="003A3CD8" w:rsidRDefault="005B00C2" w:rsidP="005B00C2">
      <w:pPr>
        <w:pStyle w:val="FootnoteText"/>
      </w:pPr>
      <w:r w:rsidRPr="003A3CD8">
        <w:rPr>
          <w:rStyle w:val="FootnoteReference"/>
        </w:rPr>
        <w:footnoteRef/>
      </w:r>
      <w:r w:rsidRPr="003A3CD8">
        <w:t xml:space="preserve"> </w:t>
      </w:r>
      <w:r w:rsidR="00070627" w:rsidRPr="003A3CD8">
        <w:t>River to Sea TPO TIP – FY 202</w:t>
      </w:r>
      <w:r w:rsidR="00070627">
        <w:t>2</w:t>
      </w:r>
      <w:r w:rsidR="00070627" w:rsidRPr="003A3CD8">
        <w:t>/2</w:t>
      </w:r>
      <w:r w:rsidR="00070627">
        <w:t>3</w:t>
      </w:r>
      <w:r w:rsidR="00070627" w:rsidRPr="003A3CD8">
        <w:t xml:space="preserve"> to FY 202</w:t>
      </w:r>
      <w:r w:rsidR="00070627">
        <w:t>6</w:t>
      </w:r>
      <w:r w:rsidR="00070627" w:rsidRPr="003A3CD8">
        <w:t>/2</w:t>
      </w:r>
      <w:r w:rsidR="00070627">
        <w:t>7</w:t>
      </w:r>
      <w:r w:rsidR="00070627" w:rsidRPr="003A3CD8">
        <w:t xml:space="preserve">. </w:t>
      </w:r>
      <w:hyperlink r:id="rId12" w:history="1">
        <w:r w:rsidR="00070627" w:rsidRPr="006E313A">
          <w:rPr>
            <w:color w:val="0000FF"/>
            <w:u w:val="single"/>
          </w:rPr>
          <w:t>FY-2022-23-to-FY-2026-27-TIP-Roll-Forward-Amendment-August-2022.pdf (r2ctpo.org)</w:t>
        </w:r>
      </w:hyperlink>
    </w:p>
  </w:footnote>
  <w:footnote w:id="13">
    <w:p w14:paraId="1A16F1DF" w14:textId="7600BF9B" w:rsidR="005B00C2" w:rsidRPr="00781A3E" w:rsidRDefault="005B00C2" w:rsidP="005B00C2">
      <w:pPr>
        <w:pStyle w:val="FootnoteText"/>
        <w:jc w:val="left"/>
      </w:pPr>
      <w:r w:rsidRPr="00A93691">
        <w:rPr>
          <w:rStyle w:val="FootnoteReference"/>
        </w:rPr>
        <w:footnoteRef/>
      </w:r>
      <w:r w:rsidRPr="00A93691">
        <w:t xml:space="preserve"> Hillsborough </w:t>
      </w:r>
      <w:r w:rsidR="008F4B40">
        <w:t>T</w:t>
      </w:r>
      <w:r w:rsidRPr="00A93691">
        <w:t>PO 202</w:t>
      </w:r>
      <w:r w:rsidR="008F4B40">
        <w:t>2</w:t>
      </w:r>
      <w:r w:rsidRPr="00A93691">
        <w:t>/</w:t>
      </w:r>
      <w:r w:rsidR="00781A3E">
        <w:t>23 – 2026/27</w:t>
      </w:r>
      <w:r w:rsidRPr="00A93691">
        <w:t xml:space="preserve"> TIP, Appendix E. </w:t>
      </w:r>
      <w:hyperlink r:id="rId13" w:history="1">
        <w:r w:rsidR="00781A3E" w:rsidRPr="0000371F">
          <w:rPr>
            <w:color w:val="0000FF"/>
            <w:u w:val="single"/>
          </w:rPr>
          <w:t>TIP-FY23-27-9-19-22.pdf (planhillsborough.org)</w:t>
        </w:r>
      </w:hyperlink>
    </w:p>
  </w:footnote>
  <w:footnote w:id="14">
    <w:p w14:paraId="7D49C09D" w14:textId="509F452B" w:rsidR="005B00C2" w:rsidRPr="009A5CC6" w:rsidRDefault="005B00C2" w:rsidP="005B00C2">
      <w:pPr>
        <w:pStyle w:val="FootnoteText"/>
        <w:jc w:val="left"/>
      </w:pPr>
      <w:r>
        <w:rPr>
          <w:rStyle w:val="FootnoteReference"/>
        </w:rPr>
        <w:footnoteRef/>
      </w:r>
      <w:r>
        <w:t xml:space="preserve"> </w:t>
      </w:r>
      <w:r w:rsidRPr="003A3CD8">
        <w:t>River to Sea TPO TIP – FY 202</w:t>
      </w:r>
      <w:r w:rsidR="008879A7">
        <w:t>2</w:t>
      </w:r>
      <w:r w:rsidRPr="003A3CD8">
        <w:t>/2</w:t>
      </w:r>
      <w:r w:rsidR="008879A7">
        <w:t>3</w:t>
      </w:r>
      <w:r w:rsidRPr="003A3CD8">
        <w:t xml:space="preserve"> to FY 202</w:t>
      </w:r>
      <w:r w:rsidR="008879A7">
        <w:t>6</w:t>
      </w:r>
      <w:r w:rsidRPr="003A3CD8">
        <w:t>/2</w:t>
      </w:r>
      <w:r w:rsidR="008879A7">
        <w:t>7</w:t>
      </w:r>
      <w:r w:rsidRPr="003A3CD8">
        <w:t xml:space="preserve">. </w:t>
      </w:r>
      <w:hyperlink r:id="rId14" w:history="1">
        <w:r w:rsidR="00AA3AE5" w:rsidRPr="0000371F">
          <w:rPr>
            <w:color w:val="0000FF"/>
            <w:u w:val="single"/>
          </w:rPr>
          <w:t>FY-2022-23-to-FY-2026-27-TIP-Roll-Forward-Amendment-August-2022.pdf (r2ctpo.org)</w:t>
        </w:r>
      </w:hyperlink>
    </w:p>
  </w:footnote>
  <w:footnote w:id="15">
    <w:p w14:paraId="116F479E" w14:textId="77777777" w:rsidR="005B00C2" w:rsidRDefault="005B00C2" w:rsidP="005B00C2">
      <w:pPr>
        <w:pStyle w:val="FootnoteText"/>
      </w:pPr>
      <w:r>
        <w:rPr>
          <w:rStyle w:val="FootnoteReference"/>
        </w:rPr>
        <w:footnoteRef/>
      </w:r>
      <w:r>
        <w:t xml:space="preserve"> </w:t>
      </w:r>
      <w:r w:rsidRPr="003032A1">
        <w:t xml:space="preserve">FDOT Public Transportation Agency Safety Plan Guidance Document for Transit Agencies. Available at </w:t>
      </w:r>
      <w:hyperlink r:id="rId15" w:history="1">
        <w:r w:rsidRPr="003032A1">
          <w:rPr>
            <w:rStyle w:val="Hyperlink"/>
          </w:rPr>
          <w:t>https://www.fdot.gov/transit/default.shtm</w:t>
        </w:r>
      </w:hyperlink>
      <w:r>
        <w:t xml:space="preserve"> </w:t>
      </w:r>
    </w:p>
  </w:footnote>
  <w:footnote w:id="16">
    <w:p w14:paraId="751B202F" w14:textId="242E1174" w:rsidR="005B00C2" w:rsidRPr="003A3CD8" w:rsidRDefault="005B00C2" w:rsidP="005B00C2">
      <w:pPr>
        <w:pStyle w:val="FootnoteText"/>
      </w:pPr>
      <w:r w:rsidRPr="003A3CD8">
        <w:rPr>
          <w:rStyle w:val="FootnoteReference"/>
        </w:rPr>
        <w:footnoteRef/>
      </w:r>
      <w:r w:rsidRPr="003A3CD8">
        <w:t xml:space="preserve"> </w:t>
      </w:r>
      <w:r w:rsidR="0023074C" w:rsidRPr="003A3CD8">
        <w:t>River to Sea TPO TIP – FY 202</w:t>
      </w:r>
      <w:r w:rsidR="0023074C">
        <w:t>2</w:t>
      </w:r>
      <w:r w:rsidR="0023074C" w:rsidRPr="003A3CD8">
        <w:t>/2</w:t>
      </w:r>
      <w:r w:rsidR="0023074C">
        <w:t>3</w:t>
      </w:r>
      <w:r w:rsidR="0023074C" w:rsidRPr="003A3CD8">
        <w:t xml:space="preserve"> to FY 202</w:t>
      </w:r>
      <w:r w:rsidR="0023074C">
        <w:t>6</w:t>
      </w:r>
      <w:r w:rsidR="0023074C" w:rsidRPr="003A3CD8">
        <w:t>/2</w:t>
      </w:r>
      <w:r w:rsidR="0023074C">
        <w:t>7</w:t>
      </w:r>
      <w:r w:rsidR="0023074C" w:rsidRPr="003A3CD8">
        <w:t xml:space="preserve">. </w:t>
      </w:r>
      <w:hyperlink r:id="rId16" w:history="1">
        <w:r w:rsidR="0023074C" w:rsidRPr="006E313A">
          <w:rPr>
            <w:color w:val="0000FF"/>
            <w:u w:val="single"/>
          </w:rPr>
          <w:t>FY-2022-23-to-FY-2026-27-TIP-Roll-Forward-Amendment-August-2022.pdf (r2ctpo.org)</w:t>
        </w:r>
      </w:hyperlink>
    </w:p>
  </w:footnote>
  <w:footnote w:id="17">
    <w:p w14:paraId="18A93C2B" w14:textId="06ABF048" w:rsidR="002A3FE9" w:rsidRDefault="002A3FE9">
      <w:pPr>
        <w:pStyle w:val="FootnoteText"/>
      </w:pPr>
      <w:r>
        <w:rPr>
          <w:rStyle w:val="FootnoteReference"/>
        </w:rPr>
        <w:footnoteRef/>
      </w:r>
      <w:r>
        <w:t xml:space="preserve"> </w:t>
      </w:r>
      <w:r w:rsidR="0023074C" w:rsidRPr="003A3CD8">
        <w:t>River to Sea TPO TIP – FY 202</w:t>
      </w:r>
      <w:r w:rsidR="0023074C">
        <w:t>2</w:t>
      </w:r>
      <w:r w:rsidR="0023074C" w:rsidRPr="003A3CD8">
        <w:t>/2</w:t>
      </w:r>
      <w:r w:rsidR="0023074C">
        <w:t>3</w:t>
      </w:r>
      <w:r w:rsidR="0023074C" w:rsidRPr="003A3CD8">
        <w:t xml:space="preserve"> to FY 202</w:t>
      </w:r>
      <w:r w:rsidR="0023074C">
        <w:t>6</w:t>
      </w:r>
      <w:r w:rsidR="0023074C" w:rsidRPr="003A3CD8">
        <w:t>/2</w:t>
      </w:r>
      <w:r w:rsidR="0023074C">
        <w:t>7</w:t>
      </w:r>
      <w:r w:rsidR="0023074C" w:rsidRPr="003A3CD8">
        <w:t xml:space="preserve">. </w:t>
      </w:r>
      <w:hyperlink r:id="rId17" w:history="1">
        <w:r w:rsidR="0023074C" w:rsidRPr="006E313A">
          <w:rPr>
            <w:color w:val="0000FF"/>
            <w:u w:val="single"/>
          </w:rPr>
          <w:t>FY-2022-23-to-FY-2026-27-TIP-Roll-Forward-Amendment-August-2022.pdf (r2ctpo.org)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2282" w14:textId="77777777" w:rsidR="00F82C2D" w:rsidRPr="00A44192" w:rsidRDefault="00F82C2D" w:rsidP="0000371F">
    <w:pPr>
      <w:pStyle w:val="Headereven"/>
      <w:spacing w:after="0"/>
    </w:pPr>
    <w:r>
      <w:t>Florida Department of Transportation – Office of Policy Planning</w:t>
    </w:r>
    <w:r w:rsidRPr="00A44192">
      <w:br/>
    </w:r>
    <w:r w:rsidRPr="008378D8">
      <w:t>Template to Address Performance Management Requirements in</w:t>
    </w:r>
    <w:r>
      <w:t xml:space="preserve"> Metropolitan Planning Organization</w:t>
    </w:r>
    <w:r w:rsidRPr="008378D8">
      <w:t xml:space="preserve"> Tran</w:t>
    </w:r>
    <w:r>
      <w:t>sportation Improvement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E8D066"/>
    <w:multiLevelType w:val="hybridMultilevel"/>
    <w:tmpl w:val="6A0ABF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F76A4DFC"/>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54C0A23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61878B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DF2EC8"/>
    <w:multiLevelType w:val="hybridMultilevel"/>
    <w:tmpl w:val="E546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05E1B"/>
    <w:multiLevelType w:val="hybridMultilevel"/>
    <w:tmpl w:val="EA3C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84C65"/>
    <w:multiLevelType w:val="hybridMultilevel"/>
    <w:tmpl w:val="2B52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93846"/>
    <w:multiLevelType w:val="hybridMultilevel"/>
    <w:tmpl w:val="290A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26D67"/>
    <w:multiLevelType w:val="hybridMultilevel"/>
    <w:tmpl w:val="C1D0DD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F0E8D"/>
    <w:multiLevelType w:val="hybridMultilevel"/>
    <w:tmpl w:val="F828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D7CEF"/>
    <w:multiLevelType w:val="hybridMultilevel"/>
    <w:tmpl w:val="841C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550EA"/>
    <w:multiLevelType w:val="hybridMultilevel"/>
    <w:tmpl w:val="B378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E4653"/>
    <w:multiLevelType w:val="multilevel"/>
    <w:tmpl w:val="2D04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C7089"/>
    <w:multiLevelType w:val="hybridMultilevel"/>
    <w:tmpl w:val="F5963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4A3933"/>
    <w:multiLevelType w:val="hybridMultilevel"/>
    <w:tmpl w:val="25F8FBDE"/>
    <w:lvl w:ilvl="0" w:tplc="007833AA">
      <w:start w:val="1"/>
      <w:numFmt w:val="bullet"/>
      <w:lvlText w:val="•"/>
      <w:lvlJc w:val="left"/>
      <w:pPr>
        <w:tabs>
          <w:tab w:val="num" w:pos="720"/>
        </w:tabs>
        <w:ind w:left="720" w:hanging="360"/>
      </w:pPr>
      <w:rPr>
        <w:rFonts w:ascii="Arial" w:hAnsi="Arial" w:hint="default"/>
      </w:rPr>
    </w:lvl>
    <w:lvl w:ilvl="1" w:tplc="553406C6">
      <w:numFmt w:val="bullet"/>
      <w:lvlText w:val="•"/>
      <w:lvlJc w:val="left"/>
      <w:pPr>
        <w:tabs>
          <w:tab w:val="num" w:pos="1440"/>
        </w:tabs>
        <w:ind w:left="1440" w:hanging="360"/>
      </w:pPr>
      <w:rPr>
        <w:rFonts w:ascii="Arial" w:hAnsi="Arial" w:hint="default"/>
      </w:rPr>
    </w:lvl>
    <w:lvl w:ilvl="2" w:tplc="1F6E3356">
      <w:numFmt w:val="bullet"/>
      <w:lvlText w:val="•"/>
      <w:lvlJc w:val="left"/>
      <w:pPr>
        <w:tabs>
          <w:tab w:val="num" w:pos="2160"/>
        </w:tabs>
        <w:ind w:left="2160" w:hanging="360"/>
      </w:pPr>
      <w:rPr>
        <w:rFonts w:ascii="Arial" w:hAnsi="Arial" w:hint="default"/>
      </w:rPr>
    </w:lvl>
    <w:lvl w:ilvl="3" w:tplc="EEFCD426" w:tentative="1">
      <w:start w:val="1"/>
      <w:numFmt w:val="bullet"/>
      <w:lvlText w:val="•"/>
      <w:lvlJc w:val="left"/>
      <w:pPr>
        <w:tabs>
          <w:tab w:val="num" w:pos="2880"/>
        </w:tabs>
        <w:ind w:left="2880" w:hanging="360"/>
      </w:pPr>
      <w:rPr>
        <w:rFonts w:ascii="Arial" w:hAnsi="Arial" w:hint="default"/>
      </w:rPr>
    </w:lvl>
    <w:lvl w:ilvl="4" w:tplc="375407E8" w:tentative="1">
      <w:start w:val="1"/>
      <w:numFmt w:val="bullet"/>
      <w:lvlText w:val="•"/>
      <w:lvlJc w:val="left"/>
      <w:pPr>
        <w:tabs>
          <w:tab w:val="num" w:pos="3600"/>
        </w:tabs>
        <w:ind w:left="3600" w:hanging="360"/>
      </w:pPr>
      <w:rPr>
        <w:rFonts w:ascii="Arial" w:hAnsi="Arial" w:hint="default"/>
      </w:rPr>
    </w:lvl>
    <w:lvl w:ilvl="5" w:tplc="A4AAA904" w:tentative="1">
      <w:start w:val="1"/>
      <w:numFmt w:val="bullet"/>
      <w:lvlText w:val="•"/>
      <w:lvlJc w:val="left"/>
      <w:pPr>
        <w:tabs>
          <w:tab w:val="num" w:pos="4320"/>
        </w:tabs>
        <w:ind w:left="4320" w:hanging="360"/>
      </w:pPr>
      <w:rPr>
        <w:rFonts w:ascii="Arial" w:hAnsi="Arial" w:hint="default"/>
      </w:rPr>
    </w:lvl>
    <w:lvl w:ilvl="6" w:tplc="90C41D02" w:tentative="1">
      <w:start w:val="1"/>
      <w:numFmt w:val="bullet"/>
      <w:lvlText w:val="•"/>
      <w:lvlJc w:val="left"/>
      <w:pPr>
        <w:tabs>
          <w:tab w:val="num" w:pos="5040"/>
        </w:tabs>
        <w:ind w:left="5040" w:hanging="360"/>
      </w:pPr>
      <w:rPr>
        <w:rFonts w:ascii="Arial" w:hAnsi="Arial" w:hint="default"/>
      </w:rPr>
    </w:lvl>
    <w:lvl w:ilvl="7" w:tplc="53B6DE9A" w:tentative="1">
      <w:start w:val="1"/>
      <w:numFmt w:val="bullet"/>
      <w:lvlText w:val="•"/>
      <w:lvlJc w:val="left"/>
      <w:pPr>
        <w:tabs>
          <w:tab w:val="num" w:pos="5760"/>
        </w:tabs>
        <w:ind w:left="5760" w:hanging="360"/>
      </w:pPr>
      <w:rPr>
        <w:rFonts w:ascii="Arial" w:hAnsi="Arial" w:hint="default"/>
      </w:rPr>
    </w:lvl>
    <w:lvl w:ilvl="8" w:tplc="6E2ADF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8C0C13"/>
    <w:multiLevelType w:val="hybridMultilevel"/>
    <w:tmpl w:val="B280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643CC"/>
    <w:multiLevelType w:val="hybridMultilevel"/>
    <w:tmpl w:val="6FAEE4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97ED9"/>
    <w:multiLevelType w:val="hybridMultilevel"/>
    <w:tmpl w:val="4E0CA12C"/>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start w:val="1"/>
      <w:numFmt w:val="bullet"/>
      <w:lvlText w:val=""/>
      <w:lvlJc w:val="left"/>
      <w:pPr>
        <w:ind w:left="4032" w:hanging="360"/>
      </w:pPr>
      <w:rPr>
        <w:rFonts w:ascii="Wingdings" w:hAnsi="Wingdings" w:hint="default"/>
      </w:rPr>
    </w:lvl>
    <w:lvl w:ilvl="3" w:tplc="04090001">
      <w:start w:val="1"/>
      <w:numFmt w:val="bullet"/>
      <w:lvlText w:val=""/>
      <w:lvlJc w:val="left"/>
      <w:pPr>
        <w:ind w:left="4752" w:hanging="360"/>
      </w:pPr>
      <w:rPr>
        <w:rFonts w:ascii="Symbol" w:hAnsi="Symbol" w:hint="default"/>
      </w:rPr>
    </w:lvl>
    <w:lvl w:ilvl="4" w:tplc="04090003">
      <w:start w:val="1"/>
      <w:numFmt w:val="bullet"/>
      <w:lvlText w:val="o"/>
      <w:lvlJc w:val="left"/>
      <w:pPr>
        <w:ind w:left="5472" w:hanging="360"/>
      </w:pPr>
      <w:rPr>
        <w:rFonts w:ascii="Courier New" w:hAnsi="Courier New" w:cs="Courier New" w:hint="default"/>
      </w:rPr>
    </w:lvl>
    <w:lvl w:ilvl="5" w:tplc="04090005">
      <w:start w:val="1"/>
      <w:numFmt w:val="bullet"/>
      <w:lvlText w:val=""/>
      <w:lvlJc w:val="left"/>
      <w:pPr>
        <w:ind w:left="6192" w:hanging="360"/>
      </w:pPr>
      <w:rPr>
        <w:rFonts w:ascii="Wingdings" w:hAnsi="Wingdings" w:hint="default"/>
      </w:rPr>
    </w:lvl>
    <w:lvl w:ilvl="6" w:tplc="04090001">
      <w:start w:val="1"/>
      <w:numFmt w:val="bullet"/>
      <w:lvlText w:val=""/>
      <w:lvlJc w:val="left"/>
      <w:pPr>
        <w:ind w:left="6912" w:hanging="360"/>
      </w:pPr>
      <w:rPr>
        <w:rFonts w:ascii="Symbol" w:hAnsi="Symbol" w:hint="default"/>
      </w:rPr>
    </w:lvl>
    <w:lvl w:ilvl="7" w:tplc="04090003">
      <w:start w:val="1"/>
      <w:numFmt w:val="bullet"/>
      <w:lvlText w:val="o"/>
      <w:lvlJc w:val="left"/>
      <w:pPr>
        <w:ind w:left="7632" w:hanging="360"/>
      </w:pPr>
      <w:rPr>
        <w:rFonts w:ascii="Courier New" w:hAnsi="Courier New" w:cs="Courier New" w:hint="default"/>
      </w:rPr>
    </w:lvl>
    <w:lvl w:ilvl="8" w:tplc="04090005">
      <w:start w:val="1"/>
      <w:numFmt w:val="bullet"/>
      <w:lvlText w:val=""/>
      <w:lvlJc w:val="left"/>
      <w:pPr>
        <w:ind w:left="8352" w:hanging="360"/>
      </w:pPr>
      <w:rPr>
        <w:rFonts w:ascii="Wingdings" w:hAnsi="Wingdings" w:hint="default"/>
      </w:rPr>
    </w:lvl>
  </w:abstractNum>
  <w:abstractNum w:abstractNumId="18" w15:restartNumberingAfterBreak="0">
    <w:nsid w:val="32E52DCE"/>
    <w:multiLevelType w:val="singleLevel"/>
    <w:tmpl w:val="C52CE2D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A718B8"/>
    <w:multiLevelType w:val="hybridMultilevel"/>
    <w:tmpl w:val="0436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50625"/>
    <w:multiLevelType w:val="hybridMultilevel"/>
    <w:tmpl w:val="ADE2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372F4"/>
    <w:multiLevelType w:val="hybridMultilevel"/>
    <w:tmpl w:val="6BC4A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7A5812"/>
    <w:multiLevelType w:val="hybridMultilevel"/>
    <w:tmpl w:val="FE328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0C421F"/>
    <w:multiLevelType w:val="hybridMultilevel"/>
    <w:tmpl w:val="CB6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D4A3E"/>
    <w:multiLevelType w:val="hybridMultilevel"/>
    <w:tmpl w:val="BE9636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D7CEE"/>
    <w:multiLevelType w:val="hybridMultilevel"/>
    <w:tmpl w:val="28F80DF6"/>
    <w:lvl w:ilvl="0" w:tplc="D222E702">
      <w:start w:val="1"/>
      <w:numFmt w:val="bullet"/>
      <w:lvlText w:val="•"/>
      <w:lvlJc w:val="left"/>
      <w:pPr>
        <w:tabs>
          <w:tab w:val="num" w:pos="720"/>
        </w:tabs>
        <w:ind w:left="720" w:hanging="360"/>
      </w:pPr>
      <w:rPr>
        <w:rFonts w:ascii="Arial" w:hAnsi="Arial" w:hint="default"/>
      </w:rPr>
    </w:lvl>
    <w:lvl w:ilvl="1" w:tplc="C40EF956">
      <w:numFmt w:val="bullet"/>
      <w:lvlText w:val="•"/>
      <w:lvlJc w:val="left"/>
      <w:pPr>
        <w:tabs>
          <w:tab w:val="num" w:pos="1440"/>
        </w:tabs>
        <w:ind w:left="1440" w:hanging="360"/>
      </w:pPr>
      <w:rPr>
        <w:rFonts w:ascii="Arial" w:hAnsi="Arial" w:hint="default"/>
      </w:rPr>
    </w:lvl>
    <w:lvl w:ilvl="2" w:tplc="02EEAEBC" w:tentative="1">
      <w:start w:val="1"/>
      <w:numFmt w:val="bullet"/>
      <w:lvlText w:val="•"/>
      <w:lvlJc w:val="left"/>
      <w:pPr>
        <w:tabs>
          <w:tab w:val="num" w:pos="2160"/>
        </w:tabs>
        <w:ind w:left="2160" w:hanging="360"/>
      </w:pPr>
      <w:rPr>
        <w:rFonts w:ascii="Arial" w:hAnsi="Arial" w:hint="default"/>
      </w:rPr>
    </w:lvl>
    <w:lvl w:ilvl="3" w:tplc="F8C8DA68" w:tentative="1">
      <w:start w:val="1"/>
      <w:numFmt w:val="bullet"/>
      <w:lvlText w:val="•"/>
      <w:lvlJc w:val="left"/>
      <w:pPr>
        <w:tabs>
          <w:tab w:val="num" w:pos="2880"/>
        </w:tabs>
        <w:ind w:left="2880" w:hanging="360"/>
      </w:pPr>
      <w:rPr>
        <w:rFonts w:ascii="Arial" w:hAnsi="Arial" w:hint="default"/>
      </w:rPr>
    </w:lvl>
    <w:lvl w:ilvl="4" w:tplc="65FAC282" w:tentative="1">
      <w:start w:val="1"/>
      <w:numFmt w:val="bullet"/>
      <w:lvlText w:val="•"/>
      <w:lvlJc w:val="left"/>
      <w:pPr>
        <w:tabs>
          <w:tab w:val="num" w:pos="3600"/>
        </w:tabs>
        <w:ind w:left="3600" w:hanging="360"/>
      </w:pPr>
      <w:rPr>
        <w:rFonts w:ascii="Arial" w:hAnsi="Arial" w:hint="default"/>
      </w:rPr>
    </w:lvl>
    <w:lvl w:ilvl="5" w:tplc="ACE0B73A" w:tentative="1">
      <w:start w:val="1"/>
      <w:numFmt w:val="bullet"/>
      <w:lvlText w:val="•"/>
      <w:lvlJc w:val="left"/>
      <w:pPr>
        <w:tabs>
          <w:tab w:val="num" w:pos="4320"/>
        </w:tabs>
        <w:ind w:left="4320" w:hanging="360"/>
      </w:pPr>
      <w:rPr>
        <w:rFonts w:ascii="Arial" w:hAnsi="Arial" w:hint="default"/>
      </w:rPr>
    </w:lvl>
    <w:lvl w:ilvl="6" w:tplc="BCAA4714" w:tentative="1">
      <w:start w:val="1"/>
      <w:numFmt w:val="bullet"/>
      <w:lvlText w:val="•"/>
      <w:lvlJc w:val="left"/>
      <w:pPr>
        <w:tabs>
          <w:tab w:val="num" w:pos="5040"/>
        </w:tabs>
        <w:ind w:left="5040" w:hanging="360"/>
      </w:pPr>
      <w:rPr>
        <w:rFonts w:ascii="Arial" w:hAnsi="Arial" w:hint="default"/>
      </w:rPr>
    </w:lvl>
    <w:lvl w:ilvl="7" w:tplc="542439AE" w:tentative="1">
      <w:start w:val="1"/>
      <w:numFmt w:val="bullet"/>
      <w:lvlText w:val="•"/>
      <w:lvlJc w:val="left"/>
      <w:pPr>
        <w:tabs>
          <w:tab w:val="num" w:pos="5760"/>
        </w:tabs>
        <w:ind w:left="5760" w:hanging="360"/>
      </w:pPr>
      <w:rPr>
        <w:rFonts w:ascii="Arial" w:hAnsi="Arial" w:hint="default"/>
      </w:rPr>
    </w:lvl>
    <w:lvl w:ilvl="8" w:tplc="14DCADD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6D2EF8"/>
    <w:multiLevelType w:val="singleLevel"/>
    <w:tmpl w:val="0D804E98"/>
    <w:lvl w:ilvl="0">
      <w:start w:val="1"/>
      <w:numFmt w:val="bullet"/>
      <w:lvlText w:val=""/>
      <w:lvlJc w:val="left"/>
      <w:pPr>
        <w:ind w:left="360" w:hanging="360"/>
      </w:pPr>
      <w:rPr>
        <w:rFonts w:ascii="Symbol" w:hAnsi="Symbol" w:hint="default"/>
        <w:color w:val="C00000"/>
      </w:rPr>
    </w:lvl>
  </w:abstractNum>
  <w:abstractNum w:abstractNumId="27" w15:restartNumberingAfterBreak="0">
    <w:nsid w:val="596546CF"/>
    <w:multiLevelType w:val="hybridMultilevel"/>
    <w:tmpl w:val="15BC2C44"/>
    <w:lvl w:ilvl="0" w:tplc="9856C2A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F204A"/>
    <w:multiLevelType w:val="hybridMultilevel"/>
    <w:tmpl w:val="C298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45CA3"/>
    <w:multiLevelType w:val="hybridMultilevel"/>
    <w:tmpl w:val="55586242"/>
    <w:lvl w:ilvl="0" w:tplc="07942068">
      <w:start w:val="1"/>
      <w:numFmt w:val="bullet"/>
      <w:lvlText w:val="•"/>
      <w:lvlJc w:val="left"/>
      <w:pPr>
        <w:tabs>
          <w:tab w:val="num" w:pos="720"/>
        </w:tabs>
        <w:ind w:left="720" w:hanging="360"/>
      </w:pPr>
      <w:rPr>
        <w:rFonts w:ascii="Arial" w:hAnsi="Arial" w:hint="default"/>
      </w:rPr>
    </w:lvl>
    <w:lvl w:ilvl="1" w:tplc="96E0A42A">
      <w:numFmt w:val="bullet"/>
      <w:lvlText w:val="•"/>
      <w:lvlJc w:val="left"/>
      <w:pPr>
        <w:tabs>
          <w:tab w:val="num" w:pos="1440"/>
        </w:tabs>
        <w:ind w:left="1440" w:hanging="360"/>
      </w:pPr>
      <w:rPr>
        <w:rFonts w:ascii="Arial" w:hAnsi="Arial" w:hint="default"/>
      </w:rPr>
    </w:lvl>
    <w:lvl w:ilvl="2" w:tplc="8E9C623E" w:tentative="1">
      <w:start w:val="1"/>
      <w:numFmt w:val="bullet"/>
      <w:lvlText w:val="•"/>
      <w:lvlJc w:val="left"/>
      <w:pPr>
        <w:tabs>
          <w:tab w:val="num" w:pos="2160"/>
        </w:tabs>
        <w:ind w:left="2160" w:hanging="360"/>
      </w:pPr>
      <w:rPr>
        <w:rFonts w:ascii="Arial" w:hAnsi="Arial" w:hint="default"/>
      </w:rPr>
    </w:lvl>
    <w:lvl w:ilvl="3" w:tplc="647A14BE" w:tentative="1">
      <w:start w:val="1"/>
      <w:numFmt w:val="bullet"/>
      <w:lvlText w:val="•"/>
      <w:lvlJc w:val="left"/>
      <w:pPr>
        <w:tabs>
          <w:tab w:val="num" w:pos="2880"/>
        </w:tabs>
        <w:ind w:left="2880" w:hanging="360"/>
      </w:pPr>
      <w:rPr>
        <w:rFonts w:ascii="Arial" w:hAnsi="Arial" w:hint="default"/>
      </w:rPr>
    </w:lvl>
    <w:lvl w:ilvl="4" w:tplc="42B0EDEA" w:tentative="1">
      <w:start w:val="1"/>
      <w:numFmt w:val="bullet"/>
      <w:lvlText w:val="•"/>
      <w:lvlJc w:val="left"/>
      <w:pPr>
        <w:tabs>
          <w:tab w:val="num" w:pos="3600"/>
        </w:tabs>
        <w:ind w:left="3600" w:hanging="360"/>
      </w:pPr>
      <w:rPr>
        <w:rFonts w:ascii="Arial" w:hAnsi="Arial" w:hint="default"/>
      </w:rPr>
    </w:lvl>
    <w:lvl w:ilvl="5" w:tplc="D0784050" w:tentative="1">
      <w:start w:val="1"/>
      <w:numFmt w:val="bullet"/>
      <w:lvlText w:val="•"/>
      <w:lvlJc w:val="left"/>
      <w:pPr>
        <w:tabs>
          <w:tab w:val="num" w:pos="4320"/>
        </w:tabs>
        <w:ind w:left="4320" w:hanging="360"/>
      </w:pPr>
      <w:rPr>
        <w:rFonts w:ascii="Arial" w:hAnsi="Arial" w:hint="default"/>
      </w:rPr>
    </w:lvl>
    <w:lvl w:ilvl="6" w:tplc="ACB63A5C" w:tentative="1">
      <w:start w:val="1"/>
      <w:numFmt w:val="bullet"/>
      <w:lvlText w:val="•"/>
      <w:lvlJc w:val="left"/>
      <w:pPr>
        <w:tabs>
          <w:tab w:val="num" w:pos="5040"/>
        </w:tabs>
        <w:ind w:left="5040" w:hanging="360"/>
      </w:pPr>
      <w:rPr>
        <w:rFonts w:ascii="Arial" w:hAnsi="Arial" w:hint="default"/>
      </w:rPr>
    </w:lvl>
    <w:lvl w:ilvl="7" w:tplc="505063B0" w:tentative="1">
      <w:start w:val="1"/>
      <w:numFmt w:val="bullet"/>
      <w:lvlText w:val="•"/>
      <w:lvlJc w:val="left"/>
      <w:pPr>
        <w:tabs>
          <w:tab w:val="num" w:pos="5760"/>
        </w:tabs>
        <w:ind w:left="5760" w:hanging="360"/>
      </w:pPr>
      <w:rPr>
        <w:rFonts w:ascii="Arial" w:hAnsi="Arial" w:hint="default"/>
      </w:rPr>
    </w:lvl>
    <w:lvl w:ilvl="8" w:tplc="E7B2413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6625C9"/>
    <w:multiLevelType w:val="hybridMultilevel"/>
    <w:tmpl w:val="91BE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017EC"/>
    <w:multiLevelType w:val="hybridMultilevel"/>
    <w:tmpl w:val="BB9CD4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136EB"/>
    <w:multiLevelType w:val="hybridMultilevel"/>
    <w:tmpl w:val="41D63552"/>
    <w:lvl w:ilvl="0" w:tplc="2E46BA66">
      <w:start w:val="1"/>
      <w:numFmt w:val="decimal"/>
      <w:pStyle w:val="ListNumb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16D08"/>
    <w:multiLevelType w:val="singleLevel"/>
    <w:tmpl w:val="F5CC2AF2"/>
    <w:lvl w:ilvl="0">
      <w:start w:val="1"/>
      <w:numFmt w:val="bullet"/>
      <w:pStyle w:val="ListDash"/>
      <w:lvlText w:val="-"/>
      <w:lvlJc w:val="left"/>
      <w:pPr>
        <w:tabs>
          <w:tab w:val="num" w:pos="720"/>
        </w:tabs>
        <w:ind w:left="720" w:hanging="360"/>
      </w:pPr>
      <w:rPr>
        <w:rFonts w:ascii="Courier New" w:hAnsi="Courier New" w:hint="default"/>
      </w:rPr>
    </w:lvl>
  </w:abstractNum>
  <w:abstractNum w:abstractNumId="34" w15:restartNumberingAfterBreak="0">
    <w:nsid w:val="661C13E8"/>
    <w:multiLevelType w:val="hybridMultilevel"/>
    <w:tmpl w:val="DA2C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478EE"/>
    <w:multiLevelType w:val="hybridMultilevel"/>
    <w:tmpl w:val="0AE8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81747"/>
    <w:multiLevelType w:val="hybridMultilevel"/>
    <w:tmpl w:val="46BAC4BC"/>
    <w:lvl w:ilvl="0" w:tplc="EE829402">
      <w:start w:val="1"/>
      <w:numFmt w:val="bullet"/>
      <w:lvlText w:val="•"/>
      <w:lvlJc w:val="left"/>
      <w:pPr>
        <w:tabs>
          <w:tab w:val="num" w:pos="720"/>
        </w:tabs>
        <w:ind w:left="720" w:hanging="360"/>
      </w:pPr>
      <w:rPr>
        <w:rFonts w:ascii="Arial" w:hAnsi="Arial" w:hint="default"/>
      </w:rPr>
    </w:lvl>
    <w:lvl w:ilvl="1" w:tplc="B1ACBDBC">
      <w:start w:val="1"/>
      <w:numFmt w:val="bullet"/>
      <w:lvlText w:val="•"/>
      <w:lvlJc w:val="left"/>
      <w:pPr>
        <w:tabs>
          <w:tab w:val="num" w:pos="1440"/>
        </w:tabs>
        <w:ind w:left="1440" w:hanging="360"/>
      </w:pPr>
      <w:rPr>
        <w:rFonts w:ascii="Arial" w:hAnsi="Arial" w:hint="default"/>
      </w:rPr>
    </w:lvl>
    <w:lvl w:ilvl="2" w:tplc="47DAF96E" w:tentative="1">
      <w:start w:val="1"/>
      <w:numFmt w:val="bullet"/>
      <w:lvlText w:val="•"/>
      <w:lvlJc w:val="left"/>
      <w:pPr>
        <w:tabs>
          <w:tab w:val="num" w:pos="2160"/>
        </w:tabs>
        <w:ind w:left="2160" w:hanging="360"/>
      </w:pPr>
      <w:rPr>
        <w:rFonts w:ascii="Arial" w:hAnsi="Arial" w:hint="default"/>
      </w:rPr>
    </w:lvl>
    <w:lvl w:ilvl="3" w:tplc="909C4F3C" w:tentative="1">
      <w:start w:val="1"/>
      <w:numFmt w:val="bullet"/>
      <w:lvlText w:val="•"/>
      <w:lvlJc w:val="left"/>
      <w:pPr>
        <w:tabs>
          <w:tab w:val="num" w:pos="2880"/>
        </w:tabs>
        <w:ind w:left="2880" w:hanging="360"/>
      </w:pPr>
      <w:rPr>
        <w:rFonts w:ascii="Arial" w:hAnsi="Arial" w:hint="default"/>
      </w:rPr>
    </w:lvl>
    <w:lvl w:ilvl="4" w:tplc="38B62018" w:tentative="1">
      <w:start w:val="1"/>
      <w:numFmt w:val="bullet"/>
      <w:lvlText w:val="•"/>
      <w:lvlJc w:val="left"/>
      <w:pPr>
        <w:tabs>
          <w:tab w:val="num" w:pos="3600"/>
        </w:tabs>
        <w:ind w:left="3600" w:hanging="360"/>
      </w:pPr>
      <w:rPr>
        <w:rFonts w:ascii="Arial" w:hAnsi="Arial" w:hint="default"/>
      </w:rPr>
    </w:lvl>
    <w:lvl w:ilvl="5" w:tplc="8E1EAE22" w:tentative="1">
      <w:start w:val="1"/>
      <w:numFmt w:val="bullet"/>
      <w:lvlText w:val="•"/>
      <w:lvlJc w:val="left"/>
      <w:pPr>
        <w:tabs>
          <w:tab w:val="num" w:pos="4320"/>
        </w:tabs>
        <w:ind w:left="4320" w:hanging="360"/>
      </w:pPr>
      <w:rPr>
        <w:rFonts w:ascii="Arial" w:hAnsi="Arial" w:hint="default"/>
      </w:rPr>
    </w:lvl>
    <w:lvl w:ilvl="6" w:tplc="CB12EA5A" w:tentative="1">
      <w:start w:val="1"/>
      <w:numFmt w:val="bullet"/>
      <w:lvlText w:val="•"/>
      <w:lvlJc w:val="left"/>
      <w:pPr>
        <w:tabs>
          <w:tab w:val="num" w:pos="5040"/>
        </w:tabs>
        <w:ind w:left="5040" w:hanging="360"/>
      </w:pPr>
      <w:rPr>
        <w:rFonts w:ascii="Arial" w:hAnsi="Arial" w:hint="default"/>
      </w:rPr>
    </w:lvl>
    <w:lvl w:ilvl="7" w:tplc="25383664" w:tentative="1">
      <w:start w:val="1"/>
      <w:numFmt w:val="bullet"/>
      <w:lvlText w:val="•"/>
      <w:lvlJc w:val="left"/>
      <w:pPr>
        <w:tabs>
          <w:tab w:val="num" w:pos="5760"/>
        </w:tabs>
        <w:ind w:left="5760" w:hanging="360"/>
      </w:pPr>
      <w:rPr>
        <w:rFonts w:ascii="Arial" w:hAnsi="Arial" w:hint="default"/>
      </w:rPr>
    </w:lvl>
    <w:lvl w:ilvl="8" w:tplc="193EC9A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5D1807"/>
    <w:multiLevelType w:val="hybridMultilevel"/>
    <w:tmpl w:val="F7E4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871096">
    <w:abstractNumId w:val="18"/>
  </w:num>
  <w:num w:numId="2" w16cid:durableId="259990734">
    <w:abstractNumId w:val="3"/>
  </w:num>
  <w:num w:numId="3" w16cid:durableId="437604178">
    <w:abstractNumId w:val="26"/>
  </w:num>
  <w:num w:numId="4" w16cid:durableId="215707359">
    <w:abstractNumId w:val="33"/>
  </w:num>
  <w:num w:numId="5" w16cid:durableId="868882498">
    <w:abstractNumId w:val="26"/>
  </w:num>
  <w:num w:numId="6" w16cid:durableId="1205825892">
    <w:abstractNumId w:val="18"/>
  </w:num>
  <w:num w:numId="7" w16cid:durableId="1210798993">
    <w:abstractNumId w:val="33"/>
  </w:num>
  <w:num w:numId="8" w16cid:durableId="2119712967">
    <w:abstractNumId w:val="33"/>
  </w:num>
  <w:num w:numId="9" w16cid:durableId="2137023011">
    <w:abstractNumId w:val="26"/>
    <w:lvlOverride w:ilvl="0">
      <w:startOverride w:val="1"/>
    </w:lvlOverride>
  </w:num>
  <w:num w:numId="10" w16cid:durableId="90399554">
    <w:abstractNumId w:val="4"/>
  </w:num>
  <w:num w:numId="11" w16cid:durableId="453061113">
    <w:abstractNumId w:val="37"/>
  </w:num>
  <w:num w:numId="12" w16cid:durableId="427821670">
    <w:abstractNumId w:val="5"/>
  </w:num>
  <w:num w:numId="13" w16cid:durableId="1299532874">
    <w:abstractNumId w:val="23"/>
  </w:num>
  <w:num w:numId="14" w16cid:durableId="912933929">
    <w:abstractNumId w:val="34"/>
  </w:num>
  <w:num w:numId="15" w16cid:durableId="1314261692">
    <w:abstractNumId w:val="20"/>
  </w:num>
  <w:num w:numId="16" w16cid:durableId="619150862">
    <w:abstractNumId w:val="11"/>
  </w:num>
  <w:num w:numId="17" w16cid:durableId="1275594412">
    <w:abstractNumId w:val="13"/>
  </w:num>
  <w:num w:numId="18" w16cid:durableId="1946037317">
    <w:abstractNumId w:val="7"/>
  </w:num>
  <w:num w:numId="19" w16cid:durableId="507408616">
    <w:abstractNumId w:val="16"/>
  </w:num>
  <w:num w:numId="20" w16cid:durableId="1130712446">
    <w:abstractNumId w:val="30"/>
  </w:num>
  <w:num w:numId="21" w16cid:durableId="1085224482">
    <w:abstractNumId w:val="10"/>
  </w:num>
  <w:num w:numId="22" w16cid:durableId="1492059518">
    <w:abstractNumId w:val="31"/>
  </w:num>
  <w:num w:numId="23" w16cid:durableId="1276600134">
    <w:abstractNumId w:val="24"/>
  </w:num>
  <w:num w:numId="24" w16cid:durableId="2145929246">
    <w:abstractNumId w:val="15"/>
  </w:num>
  <w:num w:numId="25" w16cid:durableId="1785612595">
    <w:abstractNumId w:val="32"/>
  </w:num>
  <w:num w:numId="26" w16cid:durableId="1653212974">
    <w:abstractNumId w:val="8"/>
  </w:num>
  <w:num w:numId="27" w16cid:durableId="1837262188">
    <w:abstractNumId w:val="1"/>
  </w:num>
  <w:num w:numId="28" w16cid:durableId="2081831923">
    <w:abstractNumId w:val="6"/>
  </w:num>
  <w:num w:numId="29" w16cid:durableId="209806504">
    <w:abstractNumId w:val="19"/>
  </w:num>
  <w:num w:numId="30" w16cid:durableId="1694990302">
    <w:abstractNumId w:val="0"/>
  </w:num>
  <w:num w:numId="31" w16cid:durableId="1461999528">
    <w:abstractNumId w:val="17"/>
  </w:num>
  <w:num w:numId="32" w16cid:durableId="1701777785">
    <w:abstractNumId w:val="35"/>
  </w:num>
  <w:num w:numId="33" w16cid:durableId="208689811">
    <w:abstractNumId w:val="12"/>
  </w:num>
  <w:num w:numId="34" w16cid:durableId="1325819296">
    <w:abstractNumId w:val="27"/>
  </w:num>
  <w:num w:numId="35" w16cid:durableId="1088306413">
    <w:abstractNumId w:val="36"/>
  </w:num>
  <w:num w:numId="36" w16cid:durableId="1224609259">
    <w:abstractNumId w:val="29"/>
  </w:num>
  <w:num w:numId="37" w16cid:durableId="2020429887">
    <w:abstractNumId w:val="14"/>
  </w:num>
  <w:num w:numId="38" w16cid:durableId="2048409112">
    <w:abstractNumId w:val="25"/>
  </w:num>
  <w:num w:numId="39" w16cid:durableId="382563363">
    <w:abstractNumId w:val="28"/>
  </w:num>
  <w:num w:numId="40" w16cid:durableId="1236430959">
    <w:abstractNumId w:val="9"/>
  </w:num>
  <w:num w:numId="41" w16cid:durableId="97453009">
    <w:abstractNumId w:val="22"/>
  </w:num>
  <w:num w:numId="42" w16cid:durableId="1375420382">
    <w:abstractNumId w:val="21"/>
  </w:num>
  <w:num w:numId="43" w16cid:durableId="305743535">
    <w:abstractNumId w:val="2"/>
  </w:num>
  <w:num w:numId="44" w16cid:durableId="2072196124">
    <w:abstractNumId w:val="32"/>
    <w:lvlOverride w:ilvl="0">
      <w:startOverride w:val="1"/>
    </w:lvlOverride>
  </w:num>
  <w:num w:numId="45" w16cid:durableId="680395500">
    <w:abstractNumId w:val="32"/>
    <w:lvlOverride w:ilvl="0">
      <w:startOverride w:val="1"/>
    </w:lvlOverride>
  </w:num>
  <w:num w:numId="46" w16cid:durableId="373625003">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69"/>
    <w:rsid w:val="0000073F"/>
    <w:rsid w:val="0000078C"/>
    <w:rsid w:val="0000371F"/>
    <w:rsid w:val="0000373E"/>
    <w:rsid w:val="00004565"/>
    <w:rsid w:val="00005FB4"/>
    <w:rsid w:val="000063A5"/>
    <w:rsid w:val="00006EB5"/>
    <w:rsid w:val="0000721B"/>
    <w:rsid w:val="00007A34"/>
    <w:rsid w:val="00010439"/>
    <w:rsid w:val="00010B5C"/>
    <w:rsid w:val="00012EB9"/>
    <w:rsid w:val="00013B07"/>
    <w:rsid w:val="00015396"/>
    <w:rsid w:val="000172F7"/>
    <w:rsid w:val="00020B74"/>
    <w:rsid w:val="00022164"/>
    <w:rsid w:val="00023B68"/>
    <w:rsid w:val="00023F99"/>
    <w:rsid w:val="000248BE"/>
    <w:rsid w:val="0002611B"/>
    <w:rsid w:val="00026518"/>
    <w:rsid w:val="00027094"/>
    <w:rsid w:val="000270CF"/>
    <w:rsid w:val="0003093F"/>
    <w:rsid w:val="00030EDC"/>
    <w:rsid w:val="0003344C"/>
    <w:rsid w:val="000377C1"/>
    <w:rsid w:val="0004127B"/>
    <w:rsid w:val="00042514"/>
    <w:rsid w:val="00043B10"/>
    <w:rsid w:val="00044A5B"/>
    <w:rsid w:val="00045328"/>
    <w:rsid w:val="00045DB7"/>
    <w:rsid w:val="00047F04"/>
    <w:rsid w:val="00052C7D"/>
    <w:rsid w:val="00053163"/>
    <w:rsid w:val="000533E8"/>
    <w:rsid w:val="00063083"/>
    <w:rsid w:val="00064ACC"/>
    <w:rsid w:val="00064F6E"/>
    <w:rsid w:val="00065632"/>
    <w:rsid w:val="00070627"/>
    <w:rsid w:val="000733F6"/>
    <w:rsid w:val="0007431F"/>
    <w:rsid w:val="000822E1"/>
    <w:rsid w:val="000829EA"/>
    <w:rsid w:val="00084118"/>
    <w:rsid w:val="0008421C"/>
    <w:rsid w:val="00084363"/>
    <w:rsid w:val="00084669"/>
    <w:rsid w:val="000851E7"/>
    <w:rsid w:val="0008530B"/>
    <w:rsid w:val="00090990"/>
    <w:rsid w:val="00090C8E"/>
    <w:rsid w:val="000919F0"/>
    <w:rsid w:val="00092834"/>
    <w:rsid w:val="000930B2"/>
    <w:rsid w:val="000959A2"/>
    <w:rsid w:val="000968D2"/>
    <w:rsid w:val="00096B78"/>
    <w:rsid w:val="00097CC7"/>
    <w:rsid w:val="000A02A1"/>
    <w:rsid w:val="000A0B79"/>
    <w:rsid w:val="000A5E34"/>
    <w:rsid w:val="000A7CF6"/>
    <w:rsid w:val="000B009A"/>
    <w:rsid w:val="000B13E1"/>
    <w:rsid w:val="000B2135"/>
    <w:rsid w:val="000B2F7E"/>
    <w:rsid w:val="000B773A"/>
    <w:rsid w:val="000C0470"/>
    <w:rsid w:val="000C0DF4"/>
    <w:rsid w:val="000C0E09"/>
    <w:rsid w:val="000C1966"/>
    <w:rsid w:val="000C1B01"/>
    <w:rsid w:val="000C581B"/>
    <w:rsid w:val="000C5C1C"/>
    <w:rsid w:val="000C680A"/>
    <w:rsid w:val="000C7687"/>
    <w:rsid w:val="000D053C"/>
    <w:rsid w:val="000D1669"/>
    <w:rsid w:val="000D46E2"/>
    <w:rsid w:val="000D4AAE"/>
    <w:rsid w:val="000D560E"/>
    <w:rsid w:val="000D63A7"/>
    <w:rsid w:val="000D6ADD"/>
    <w:rsid w:val="000D7047"/>
    <w:rsid w:val="000D711E"/>
    <w:rsid w:val="000E3DDF"/>
    <w:rsid w:val="000E6835"/>
    <w:rsid w:val="000F1665"/>
    <w:rsid w:val="000F3969"/>
    <w:rsid w:val="000F69DD"/>
    <w:rsid w:val="000F7DFB"/>
    <w:rsid w:val="000F7FB9"/>
    <w:rsid w:val="00100C93"/>
    <w:rsid w:val="001028DA"/>
    <w:rsid w:val="00103499"/>
    <w:rsid w:val="00103701"/>
    <w:rsid w:val="00106216"/>
    <w:rsid w:val="001079FC"/>
    <w:rsid w:val="001103A3"/>
    <w:rsid w:val="00112356"/>
    <w:rsid w:val="001160F1"/>
    <w:rsid w:val="001162FB"/>
    <w:rsid w:val="00117B52"/>
    <w:rsid w:val="00117EE0"/>
    <w:rsid w:val="00122586"/>
    <w:rsid w:val="001246B3"/>
    <w:rsid w:val="00124F3A"/>
    <w:rsid w:val="00125AE6"/>
    <w:rsid w:val="00130DCA"/>
    <w:rsid w:val="001362F3"/>
    <w:rsid w:val="001375A2"/>
    <w:rsid w:val="001376AD"/>
    <w:rsid w:val="001461E0"/>
    <w:rsid w:val="001465F9"/>
    <w:rsid w:val="0014684E"/>
    <w:rsid w:val="00147C03"/>
    <w:rsid w:val="00150873"/>
    <w:rsid w:val="00151FF5"/>
    <w:rsid w:val="001544DD"/>
    <w:rsid w:val="00154AA5"/>
    <w:rsid w:val="00157741"/>
    <w:rsid w:val="00157E71"/>
    <w:rsid w:val="0016086D"/>
    <w:rsid w:val="001622CC"/>
    <w:rsid w:val="001663EF"/>
    <w:rsid w:val="001664CC"/>
    <w:rsid w:val="0017041E"/>
    <w:rsid w:val="00171205"/>
    <w:rsid w:val="00171863"/>
    <w:rsid w:val="001739CE"/>
    <w:rsid w:val="001828B0"/>
    <w:rsid w:val="001830FF"/>
    <w:rsid w:val="00187736"/>
    <w:rsid w:val="001877E6"/>
    <w:rsid w:val="00192689"/>
    <w:rsid w:val="00197B5D"/>
    <w:rsid w:val="001A02A3"/>
    <w:rsid w:val="001A109B"/>
    <w:rsid w:val="001A4404"/>
    <w:rsid w:val="001A5C7C"/>
    <w:rsid w:val="001A71A9"/>
    <w:rsid w:val="001B1536"/>
    <w:rsid w:val="001B1FCA"/>
    <w:rsid w:val="001B3ED3"/>
    <w:rsid w:val="001C1392"/>
    <w:rsid w:val="001C21E2"/>
    <w:rsid w:val="001C25E1"/>
    <w:rsid w:val="001C36CB"/>
    <w:rsid w:val="001C63B4"/>
    <w:rsid w:val="001C69EB"/>
    <w:rsid w:val="001C6A24"/>
    <w:rsid w:val="001C745B"/>
    <w:rsid w:val="001C7E22"/>
    <w:rsid w:val="001D1394"/>
    <w:rsid w:val="001D1915"/>
    <w:rsid w:val="001D476C"/>
    <w:rsid w:val="001D4791"/>
    <w:rsid w:val="001E2D9F"/>
    <w:rsid w:val="001E30B7"/>
    <w:rsid w:val="001E39ED"/>
    <w:rsid w:val="001E4440"/>
    <w:rsid w:val="001E710C"/>
    <w:rsid w:val="001E770B"/>
    <w:rsid w:val="001E7CD4"/>
    <w:rsid w:val="001F0084"/>
    <w:rsid w:val="001F094B"/>
    <w:rsid w:val="001F1477"/>
    <w:rsid w:val="001F299E"/>
    <w:rsid w:val="001F2D73"/>
    <w:rsid w:val="001F325E"/>
    <w:rsid w:val="001F3776"/>
    <w:rsid w:val="001F3CA6"/>
    <w:rsid w:val="001F46E4"/>
    <w:rsid w:val="001F4EFD"/>
    <w:rsid w:val="001F67E3"/>
    <w:rsid w:val="0020015B"/>
    <w:rsid w:val="00201872"/>
    <w:rsid w:val="00201A47"/>
    <w:rsid w:val="00202B6A"/>
    <w:rsid w:val="00203789"/>
    <w:rsid w:val="00204E27"/>
    <w:rsid w:val="00205447"/>
    <w:rsid w:val="002055C3"/>
    <w:rsid w:val="00205BCF"/>
    <w:rsid w:val="002075E3"/>
    <w:rsid w:val="0020770C"/>
    <w:rsid w:val="002117F9"/>
    <w:rsid w:val="00211B45"/>
    <w:rsid w:val="00212AD0"/>
    <w:rsid w:val="002136FC"/>
    <w:rsid w:val="002172E0"/>
    <w:rsid w:val="002177CE"/>
    <w:rsid w:val="0022025A"/>
    <w:rsid w:val="00222872"/>
    <w:rsid w:val="002229A1"/>
    <w:rsid w:val="00223117"/>
    <w:rsid w:val="002255FA"/>
    <w:rsid w:val="002266EC"/>
    <w:rsid w:val="00227963"/>
    <w:rsid w:val="0023074C"/>
    <w:rsid w:val="00231F99"/>
    <w:rsid w:val="00232C37"/>
    <w:rsid w:val="00236AC9"/>
    <w:rsid w:val="00240402"/>
    <w:rsid w:val="002446D6"/>
    <w:rsid w:val="00244DB4"/>
    <w:rsid w:val="00245D72"/>
    <w:rsid w:val="00247C13"/>
    <w:rsid w:val="002508B2"/>
    <w:rsid w:val="00250BE3"/>
    <w:rsid w:val="0025186F"/>
    <w:rsid w:val="00252F35"/>
    <w:rsid w:val="00253A74"/>
    <w:rsid w:val="00254646"/>
    <w:rsid w:val="0025799B"/>
    <w:rsid w:val="00261432"/>
    <w:rsid w:val="00262439"/>
    <w:rsid w:val="002639A6"/>
    <w:rsid w:val="002644C0"/>
    <w:rsid w:val="0027096B"/>
    <w:rsid w:val="00270D92"/>
    <w:rsid w:val="002720DD"/>
    <w:rsid w:val="00274D04"/>
    <w:rsid w:val="00276BEA"/>
    <w:rsid w:val="00283F9B"/>
    <w:rsid w:val="00286A7C"/>
    <w:rsid w:val="00291A40"/>
    <w:rsid w:val="00292100"/>
    <w:rsid w:val="0029238A"/>
    <w:rsid w:val="00292E4C"/>
    <w:rsid w:val="00294142"/>
    <w:rsid w:val="00295DD8"/>
    <w:rsid w:val="00297807"/>
    <w:rsid w:val="00297EF8"/>
    <w:rsid w:val="002A0934"/>
    <w:rsid w:val="002A0AA1"/>
    <w:rsid w:val="002A10FC"/>
    <w:rsid w:val="002A23D6"/>
    <w:rsid w:val="002A29E3"/>
    <w:rsid w:val="002A3FE9"/>
    <w:rsid w:val="002A56D6"/>
    <w:rsid w:val="002A6206"/>
    <w:rsid w:val="002A6F24"/>
    <w:rsid w:val="002B2470"/>
    <w:rsid w:val="002B2DAA"/>
    <w:rsid w:val="002B37C5"/>
    <w:rsid w:val="002B4102"/>
    <w:rsid w:val="002C010E"/>
    <w:rsid w:val="002C1845"/>
    <w:rsid w:val="002C214C"/>
    <w:rsid w:val="002C3A87"/>
    <w:rsid w:val="002C3E43"/>
    <w:rsid w:val="002D2C00"/>
    <w:rsid w:val="002D2DD0"/>
    <w:rsid w:val="002D36F0"/>
    <w:rsid w:val="002D3A68"/>
    <w:rsid w:val="002D5683"/>
    <w:rsid w:val="002D5AA7"/>
    <w:rsid w:val="002E1F33"/>
    <w:rsid w:val="002E2F6E"/>
    <w:rsid w:val="002E310C"/>
    <w:rsid w:val="002E42ED"/>
    <w:rsid w:val="002E4325"/>
    <w:rsid w:val="002E51DA"/>
    <w:rsid w:val="002E5D56"/>
    <w:rsid w:val="002E7703"/>
    <w:rsid w:val="002F1208"/>
    <w:rsid w:val="002F23BC"/>
    <w:rsid w:val="002F2F9F"/>
    <w:rsid w:val="002F376D"/>
    <w:rsid w:val="002F68B2"/>
    <w:rsid w:val="002F6E87"/>
    <w:rsid w:val="00302291"/>
    <w:rsid w:val="003023F5"/>
    <w:rsid w:val="003032A1"/>
    <w:rsid w:val="0030554A"/>
    <w:rsid w:val="003068D7"/>
    <w:rsid w:val="00306989"/>
    <w:rsid w:val="00306F0C"/>
    <w:rsid w:val="003153A0"/>
    <w:rsid w:val="00315F4F"/>
    <w:rsid w:val="0032003B"/>
    <w:rsid w:val="003233D3"/>
    <w:rsid w:val="003246AF"/>
    <w:rsid w:val="00326A5B"/>
    <w:rsid w:val="00330176"/>
    <w:rsid w:val="00330480"/>
    <w:rsid w:val="00331C01"/>
    <w:rsid w:val="003339ED"/>
    <w:rsid w:val="003351C0"/>
    <w:rsid w:val="00336645"/>
    <w:rsid w:val="0033664A"/>
    <w:rsid w:val="003367B2"/>
    <w:rsid w:val="00337642"/>
    <w:rsid w:val="00344C09"/>
    <w:rsid w:val="003460C0"/>
    <w:rsid w:val="00346428"/>
    <w:rsid w:val="00346DE9"/>
    <w:rsid w:val="0034712E"/>
    <w:rsid w:val="0035298F"/>
    <w:rsid w:val="003570A9"/>
    <w:rsid w:val="0035765E"/>
    <w:rsid w:val="00357F49"/>
    <w:rsid w:val="00362077"/>
    <w:rsid w:val="00363291"/>
    <w:rsid w:val="003639C4"/>
    <w:rsid w:val="00364D82"/>
    <w:rsid w:val="003703BC"/>
    <w:rsid w:val="0037166C"/>
    <w:rsid w:val="0037246D"/>
    <w:rsid w:val="003730CF"/>
    <w:rsid w:val="003756FC"/>
    <w:rsid w:val="00376F40"/>
    <w:rsid w:val="00383B15"/>
    <w:rsid w:val="00384544"/>
    <w:rsid w:val="00384692"/>
    <w:rsid w:val="00384D51"/>
    <w:rsid w:val="00385011"/>
    <w:rsid w:val="00386415"/>
    <w:rsid w:val="00387562"/>
    <w:rsid w:val="00390C59"/>
    <w:rsid w:val="00391F18"/>
    <w:rsid w:val="003923D1"/>
    <w:rsid w:val="00393793"/>
    <w:rsid w:val="0039678F"/>
    <w:rsid w:val="003A083B"/>
    <w:rsid w:val="003A1805"/>
    <w:rsid w:val="003A1EBE"/>
    <w:rsid w:val="003A7205"/>
    <w:rsid w:val="003B3907"/>
    <w:rsid w:val="003B4E82"/>
    <w:rsid w:val="003B5349"/>
    <w:rsid w:val="003B6450"/>
    <w:rsid w:val="003B65A5"/>
    <w:rsid w:val="003B6CE5"/>
    <w:rsid w:val="003B7EF6"/>
    <w:rsid w:val="003C1B85"/>
    <w:rsid w:val="003C2026"/>
    <w:rsid w:val="003C4B8E"/>
    <w:rsid w:val="003C6525"/>
    <w:rsid w:val="003C7CE8"/>
    <w:rsid w:val="003D0537"/>
    <w:rsid w:val="003D07C8"/>
    <w:rsid w:val="003D3B84"/>
    <w:rsid w:val="003D73B3"/>
    <w:rsid w:val="003E0E21"/>
    <w:rsid w:val="003E40DD"/>
    <w:rsid w:val="003E4B3D"/>
    <w:rsid w:val="003E5DE3"/>
    <w:rsid w:val="003E61DB"/>
    <w:rsid w:val="003E6A15"/>
    <w:rsid w:val="003F608D"/>
    <w:rsid w:val="003F651C"/>
    <w:rsid w:val="003F6AF5"/>
    <w:rsid w:val="003F7A6F"/>
    <w:rsid w:val="004015BE"/>
    <w:rsid w:val="00403536"/>
    <w:rsid w:val="004065F8"/>
    <w:rsid w:val="00410BE3"/>
    <w:rsid w:val="00411185"/>
    <w:rsid w:val="00412DB4"/>
    <w:rsid w:val="004133E0"/>
    <w:rsid w:val="00421882"/>
    <w:rsid w:val="00422ABE"/>
    <w:rsid w:val="00425118"/>
    <w:rsid w:val="0042599A"/>
    <w:rsid w:val="00425F39"/>
    <w:rsid w:val="00427431"/>
    <w:rsid w:val="00430079"/>
    <w:rsid w:val="00431F9E"/>
    <w:rsid w:val="004320F1"/>
    <w:rsid w:val="004338F4"/>
    <w:rsid w:val="00441636"/>
    <w:rsid w:val="004445CB"/>
    <w:rsid w:val="00446AEA"/>
    <w:rsid w:val="00450C6A"/>
    <w:rsid w:val="00451545"/>
    <w:rsid w:val="00451C3D"/>
    <w:rsid w:val="00452190"/>
    <w:rsid w:val="00452D59"/>
    <w:rsid w:val="00453376"/>
    <w:rsid w:val="004554CB"/>
    <w:rsid w:val="00456520"/>
    <w:rsid w:val="00457BE5"/>
    <w:rsid w:val="00466A72"/>
    <w:rsid w:val="004670F4"/>
    <w:rsid w:val="004673CD"/>
    <w:rsid w:val="00467733"/>
    <w:rsid w:val="00471C4A"/>
    <w:rsid w:val="004721F7"/>
    <w:rsid w:val="0047448A"/>
    <w:rsid w:val="00475027"/>
    <w:rsid w:val="00475C5D"/>
    <w:rsid w:val="004771B2"/>
    <w:rsid w:val="00477C53"/>
    <w:rsid w:val="00485257"/>
    <w:rsid w:val="004874A6"/>
    <w:rsid w:val="0049119A"/>
    <w:rsid w:val="004928DE"/>
    <w:rsid w:val="00492C8F"/>
    <w:rsid w:val="00494297"/>
    <w:rsid w:val="00494F77"/>
    <w:rsid w:val="004A1CC4"/>
    <w:rsid w:val="004A3656"/>
    <w:rsid w:val="004A372B"/>
    <w:rsid w:val="004A37CF"/>
    <w:rsid w:val="004B345E"/>
    <w:rsid w:val="004B502E"/>
    <w:rsid w:val="004B55EB"/>
    <w:rsid w:val="004B5A1A"/>
    <w:rsid w:val="004B73EB"/>
    <w:rsid w:val="004B783E"/>
    <w:rsid w:val="004C1788"/>
    <w:rsid w:val="004C2734"/>
    <w:rsid w:val="004C3812"/>
    <w:rsid w:val="004C3A27"/>
    <w:rsid w:val="004C6C2C"/>
    <w:rsid w:val="004C7A23"/>
    <w:rsid w:val="004C7DD3"/>
    <w:rsid w:val="004D0B8E"/>
    <w:rsid w:val="004D1DE6"/>
    <w:rsid w:val="004D37AE"/>
    <w:rsid w:val="004D5D4B"/>
    <w:rsid w:val="004D6272"/>
    <w:rsid w:val="004D6A06"/>
    <w:rsid w:val="004D6C18"/>
    <w:rsid w:val="004E09DB"/>
    <w:rsid w:val="004E211A"/>
    <w:rsid w:val="004E2181"/>
    <w:rsid w:val="004E2726"/>
    <w:rsid w:val="004E291A"/>
    <w:rsid w:val="004E33F0"/>
    <w:rsid w:val="004E6223"/>
    <w:rsid w:val="004E676B"/>
    <w:rsid w:val="004E7C96"/>
    <w:rsid w:val="004F1171"/>
    <w:rsid w:val="004F134E"/>
    <w:rsid w:val="004F1F41"/>
    <w:rsid w:val="004F231F"/>
    <w:rsid w:val="004F25B7"/>
    <w:rsid w:val="004F2CAA"/>
    <w:rsid w:val="004F2F7D"/>
    <w:rsid w:val="004F36E3"/>
    <w:rsid w:val="004F77E0"/>
    <w:rsid w:val="005003A8"/>
    <w:rsid w:val="005010C2"/>
    <w:rsid w:val="0050155E"/>
    <w:rsid w:val="0050537C"/>
    <w:rsid w:val="00507F2A"/>
    <w:rsid w:val="00510232"/>
    <w:rsid w:val="0051079F"/>
    <w:rsid w:val="005119A4"/>
    <w:rsid w:val="005131B2"/>
    <w:rsid w:val="00513276"/>
    <w:rsid w:val="0051348B"/>
    <w:rsid w:val="005149AF"/>
    <w:rsid w:val="00517BE2"/>
    <w:rsid w:val="00520A91"/>
    <w:rsid w:val="00523274"/>
    <w:rsid w:val="00523A01"/>
    <w:rsid w:val="005246A2"/>
    <w:rsid w:val="00525807"/>
    <w:rsid w:val="0052618B"/>
    <w:rsid w:val="005268B5"/>
    <w:rsid w:val="005275EF"/>
    <w:rsid w:val="00527EA9"/>
    <w:rsid w:val="005305D1"/>
    <w:rsid w:val="0053061A"/>
    <w:rsid w:val="005310BA"/>
    <w:rsid w:val="005311F2"/>
    <w:rsid w:val="005323A7"/>
    <w:rsid w:val="00532731"/>
    <w:rsid w:val="005329BA"/>
    <w:rsid w:val="00533C79"/>
    <w:rsid w:val="00536BA0"/>
    <w:rsid w:val="00540BA5"/>
    <w:rsid w:val="00541669"/>
    <w:rsid w:val="0054560E"/>
    <w:rsid w:val="00545A26"/>
    <w:rsid w:val="00545FC1"/>
    <w:rsid w:val="00546A9D"/>
    <w:rsid w:val="00550322"/>
    <w:rsid w:val="00553B65"/>
    <w:rsid w:val="005554D9"/>
    <w:rsid w:val="00556F74"/>
    <w:rsid w:val="00557585"/>
    <w:rsid w:val="00557CB9"/>
    <w:rsid w:val="00565346"/>
    <w:rsid w:val="005663B7"/>
    <w:rsid w:val="00571BB8"/>
    <w:rsid w:val="00572830"/>
    <w:rsid w:val="00572936"/>
    <w:rsid w:val="00575259"/>
    <w:rsid w:val="00575744"/>
    <w:rsid w:val="005819F1"/>
    <w:rsid w:val="005839AA"/>
    <w:rsid w:val="00583D71"/>
    <w:rsid w:val="005852E7"/>
    <w:rsid w:val="00585C73"/>
    <w:rsid w:val="00585FD7"/>
    <w:rsid w:val="00587539"/>
    <w:rsid w:val="005920EA"/>
    <w:rsid w:val="00592719"/>
    <w:rsid w:val="00595C57"/>
    <w:rsid w:val="0059686B"/>
    <w:rsid w:val="00597F83"/>
    <w:rsid w:val="005A17A2"/>
    <w:rsid w:val="005A26AC"/>
    <w:rsid w:val="005A476C"/>
    <w:rsid w:val="005A592E"/>
    <w:rsid w:val="005B00C2"/>
    <w:rsid w:val="005B0C57"/>
    <w:rsid w:val="005B21B8"/>
    <w:rsid w:val="005B263F"/>
    <w:rsid w:val="005B3387"/>
    <w:rsid w:val="005B34FA"/>
    <w:rsid w:val="005B3CD4"/>
    <w:rsid w:val="005B5B8C"/>
    <w:rsid w:val="005B5C11"/>
    <w:rsid w:val="005C1E07"/>
    <w:rsid w:val="005C391F"/>
    <w:rsid w:val="005C74B9"/>
    <w:rsid w:val="005D0983"/>
    <w:rsid w:val="005D1E3A"/>
    <w:rsid w:val="005D3B17"/>
    <w:rsid w:val="005D4CB9"/>
    <w:rsid w:val="005D6282"/>
    <w:rsid w:val="005E072F"/>
    <w:rsid w:val="005E26D7"/>
    <w:rsid w:val="005E2BC0"/>
    <w:rsid w:val="005E2D31"/>
    <w:rsid w:val="005E372F"/>
    <w:rsid w:val="005E50B0"/>
    <w:rsid w:val="005E514F"/>
    <w:rsid w:val="005E5314"/>
    <w:rsid w:val="005E5739"/>
    <w:rsid w:val="005E667C"/>
    <w:rsid w:val="005F034B"/>
    <w:rsid w:val="005F0BCB"/>
    <w:rsid w:val="005F1037"/>
    <w:rsid w:val="005F1FE7"/>
    <w:rsid w:val="005F443F"/>
    <w:rsid w:val="005F5283"/>
    <w:rsid w:val="005F59F2"/>
    <w:rsid w:val="005F6C99"/>
    <w:rsid w:val="006000CA"/>
    <w:rsid w:val="006002A2"/>
    <w:rsid w:val="00600688"/>
    <w:rsid w:val="00603744"/>
    <w:rsid w:val="00605A7A"/>
    <w:rsid w:val="00616F98"/>
    <w:rsid w:val="00617AA6"/>
    <w:rsid w:val="006201A6"/>
    <w:rsid w:val="00622ECE"/>
    <w:rsid w:val="006251D1"/>
    <w:rsid w:val="00626868"/>
    <w:rsid w:val="0062701C"/>
    <w:rsid w:val="006329B2"/>
    <w:rsid w:val="00633268"/>
    <w:rsid w:val="00633516"/>
    <w:rsid w:val="006335A4"/>
    <w:rsid w:val="0063440F"/>
    <w:rsid w:val="00634811"/>
    <w:rsid w:val="0063592F"/>
    <w:rsid w:val="00637670"/>
    <w:rsid w:val="006402EF"/>
    <w:rsid w:val="00640319"/>
    <w:rsid w:val="00640C0F"/>
    <w:rsid w:val="006414B6"/>
    <w:rsid w:val="00643C6D"/>
    <w:rsid w:val="00651D04"/>
    <w:rsid w:val="00653195"/>
    <w:rsid w:val="0065374F"/>
    <w:rsid w:val="00655B5F"/>
    <w:rsid w:val="00655ECF"/>
    <w:rsid w:val="00656094"/>
    <w:rsid w:val="006572D2"/>
    <w:rsid w:val="006577B3"/>
    <w:rsid w:val="00661339"/>
    <w:rsid w:val="00663DD8"/>
    <w:rsid w:val="00664D11"/>
    <w:rsid w:val="00667B7A"/>
    <w:rsid w:val="00667ED4"/>
    <w:rsid w:val="00674586"/>
    <w:rsid w:val="00676FCA"/>
    <w:rsid w:val="0067737D"/>
    <w:rsid w:val="0068188D"/>
    <w:rsid w:val="0068358D"/>
    <w:rsid w:val="00683624"/>
    <w:rsid w:val="00684331"/>
    <w:rsid w:val="00684AE3"/>
    <w:rsid w:val="006860FD"/>
    <w:rsid w:val="006865C9"/>
    <w:rsid w:val="00687FF8"/>
    <w:rsid w:val="006952B2"/>
    <w:rsid w:val="00695445"/>
    <w:rsid w:val="00695A84"/>
    <w:rsid w:val="006A1298"/>
    <w:rsid w:val="006A1FC3"/>
    <w:rsid w:val="006A3100"/>
    <w:rsid w:val="006A483F"/>
    <w:rsid w:val="006A54EC"/>
    <w:rsid w:val="006A65A0"/>
    <w:rsid w:val="006A65BF"/>
    <w:rsid w:val="006A695C"/>
    <w:rsid w:val="006B09A4"/>
    <w:rsid w:val="006B1E87"/>
    <w:rsid w:val="006B1EDC"/>
    <w:rsid w:val="006B214F"/>
    <w:rsid w:val="006B2D48"/>
    <w:rsid w:val="006B2D65"/>
    <w:rsid w:val="006B3952"/>
    <w:rsid w:val="006B4D82"/>
    <w:rsid w:val="006B5960"/>
    <w:rsid w:val="006C0F0F"/>
    <w:rsid w:val="006C125A"/>
    <w:rsid w:val="006C17DD"/>
    <w:rsid w:val="006C1B45"/>
    <w:rsid w:val="006C27F5"/>
    <w:rsid w:val="006C6EBF"/>
    <w:rsid w:val="006C7CE6"/>
    <w:rsid w:val="006D02E3"/>
    <w:rsid w:val="006D155D"/>
    <w:rsid w:val="006D22AE"/>
    <w:rsid w:val="006D6310"/>
    <w:rsid w:val="006D73E4"/>
    <w:rsid w:val="006D7707"/>
    <w:rsid w:val="006D7EAC"/>
    <w:rsid w:val="006E0F3E"/>
    <w:rsid w:val="006E1DB7"/>
    <w:rsid w:val="006E34DB"/>
    <w:rsid w:val="006E5CA9"/>
    <w:rsid w:val="006E6514"/>
    <w:rsid w:val="006E66C4"/>
    <w:rsid w:val="006E6E2B"/>
    <w:rsid w:val="006E7B76"/>
    <w:rsid w:val="006F07C7"/>
    <w:rsid w:val="006F5A24"/>
    <w:rsid w:val="006F6257"/>
    <w:rsid w:val="006F63B7"/>
    <w:rsid w:val="006F761A"/>
    <w:rsid w:val="0070078F"/>
    <w:rsid w:val="00700BE5"/>
    <w:rsid w:val="007013DD"/>
    <w:rsid w:val="007026A1"/>
    <w:rsid w:val="00703AD8"/>
    <w:rsid w:val="00704E7A"/>
    <w:rsid w:val="007055E1"/>
    <w:rsid w:val="007061DA"/>
    <w:rsid w:val="00706F8F"/>
    <w:rsid w:val="007105F8"/>
    <w:rsid w:val="00711165"/>
    <w:rsid w:val="007114AE"/>
    <w:rsid w:val="00711CD9"/>
    <w:rsid w:val="007129F1"/>
    <w:rsid w:val="00712FBC"/>
    <w:rsid w:val="007140B9"/>
    <w:rsid w:val="00714553"/>
    <w:rsid w:val="0072025E"/>
    <w:rsid w:val="00722AB8"/>
    <w:rsid w:val="00726BE3"/>
    <w:rsid w:val="007276BB"/>
    <w:rsid w:val="0072773E"/>
    <w:rsid w:val="00730389"/>
    <w:rsid w:val="007316AC"/>
    <w:rsid w:val="00731A0B"/>
    <w:rsid w:val="007339A4"/>
    <w:rsid w:val="00734BBB"/>
    <w:rsid w:val="00735DFC"/>
    <w:rsid w:val="0073604C"/>
    <w:rsid w:val="00736129"/>
    <w:rsid w:val="00740239"/>
    <w:rsid w:val="00740738"/>
    <w:rsid w:val="00740906"/>
    <w:rsid w:val="00740B0F"/>
    <w:rsid w:val="0074187A"/>
    <w:rsid w:val="00741E07"/>
    <w:rsid w:val="007420FA"/>
    <w:rsid w:val="00742C12"/>
    <w:rsid w:val="00742D43"/>
    <w:rsid w:val="00746842"/>
    <w:rsid w:val="00747752"/>
    <w:rsid w:val="007479BB"/>
    <w:rsid w:val="00750A4A"/>
    <w:rsid w:val="007515CF"/>
    <w:rsid w:val="007523A4"/>
    <w:rsid w:val="00754352"/>
    <w:rsid w:val="00762A0D"/>
    <w:rsid w:val="0076656E"/>
    <w:rsid w:val="00767A54"/>
    <w:rsid w:val="007734DF"/>
    <w:rsid w:val="0077395A"/>
    <w:rsid w:val="0078036D"/>
    <w:rsid w:val="00780586"/>
    <w:rsid w:val="00780882"/>
    <w:rsid w:val="00781A3E"/>
    <w:rsid w:val="00783D12"/>
    <w:rsid w:val="00790951"/>
    <w:rsid w:val="00792C14"/>
    <w:rsid w:val="0079367E"/>
    <w:rsid w:val="00793AD4"/>
    <w:rsid w:val="00795362"/>
    <w:rsid w:val="0079665F"/>
    <w:rsid w:val="007A00A2"/>
    <w:rsid w:val="007A13DF"/>
    <w:rsid w:val="007A3173"/>
    <w:rsid w:val="007A4C43"/>
    <w:rsid w:val="007B06BA"/>
    <w:rsid w:val="007B1B6D"/>
    <w:rsid w:val="007B6DBC"/>
    <w:rsid w:val="007C0063"/>
    <w:rsid w:val="007C0514"/>
    <w:rsid w:val="007C32CF"/>
    <w:rsid w:val="007C4276"/>
    <w:rsid w:val="007C49D6"/>
    <w:rsid w:val="007C5FBB"/>
    <w:rsid w:val="007D20C8"/>
    <w:rsid w:val="007D2A53"/>
    <w:rsid w:val="007D2CFB"/>
    <w:rsid w:val="007D49F7"/>
    <w:rsid w:val="007E03D8"/>
    <w:rsid w:val="007E0550"/>
    <w:rsid w:val="007E16DA"/>
    <w:rsid w:val="007E1B0A"/>
    <w:rsid w:val="007E4156"/>
    <w:rsid w:val="007F10AF"/>
    <w:rsid w:val="007F1688"/>
    <w:rsid w:val="007F4A41"/>
    <w:rsid w:val="007F68CB"/>
    <w:rsid w:val="007F7B55"/>
    <w:rsid w:val="00800814"/>
    <w:rsid w:val="008032EB"/>
    <w:rsid w:val="008066CF"/>
    <w:rsid w:val="008066FA"/>
    <w:rsid w:val="00806F25"/>
    <w:rsid w:val="00807843"/>
    <w:rsid w:val="00807DB7"/>
    <w:rsid w:val="008109CA"/>
    <w:rsid w:val="00812202"/>
    <w:rsid w:val="008131C9"/>
    <w:rsid w:val="008149B6"/>
    <w:rsid w:val="00816314"/>
    <w:rsid w:val="0081745A"/>
    <w:rsid w:val="00817B84"/>
    <w:rsid w:val="00820967"/>
    <w:rsid w:val="00822A8F"/>
    <w:rsid w:val="00823C8B"/>
    <w:rsid w:val="008245CE"/>
    <w:rsid w:val="008256D9"/>
    <w:rsid w:val="0082595D"/>
    <w:rsid w:val="00831040"/>
    <w:rsid w:val="008378D8"/>
    <w:rsid w:val="008401C1"/>
    <w:rsid w:val="008423AC"/>
    <w:rsid w:val="00844A09"/>
    <w:rsid w:val="008450A2"/>
    <w:rsid w:val="00845B95"/>
    <w:rsid w:val="00846269"/>
    <w:rsid w:val="00846B2B"/>
    <w:rsid w:val="008509A7"/>
    <w:rsid w:val="00852B05"/>
    <w:rsid w:val="00852BB4"/>
    <w:rsid w:val="00853D1C"/>
    <w:rsid w:val="00853DEA"/>
    <w:rsid w:val="00857097"/>
    <w:rsid w:val="008579AE"/>
    <w:rsid w:val="00860B12"/>
    <w:rsid w:val="00860E00"/>
    <w:rsid w:val="008612A3"/>
    <w:rsid w:val="00861A63"/>
    <w:rsid w:val="00861E8C"/>
    <w:rsid w:val="00864F95"/>
    <w:rsid w:val="008670F7"/>
    <w:rsid w:val="00867782"/>
    <w:rsid w:val="00870C85"/>
    <w:rsid w:val="00876481"/>
    <w:rsid w:val="00876B89"/>
    <w:rsid w:val="0088288F"/>
    <w:rsid w:val="00882D7E"/>
    <w:rsid w:val="00884738"/>
    <w:rsid w:val="008871D3"/>
    <w:rsid w:val="008879A7"/>
    <w:rsid w:val="00891147"/>
    <w:rsid w:val="0089155B"/>
    <w:rsid w:val="0089335D"/>
    <w:rsid w:val="0089461D"/>
    <w:rsid w:val="00895BE6"/>
    <w:rsid w:val="00896505"/>
    <w:rsid w:val="00896672"/>
    <w:rsid w:val="008A12B5"/>
    <w:rsid w:val="008A18E0"/>
    <w:rsid w:val="008A25B1"/>
    <w:rsid w:val="008A2DFD"/>
    <w:rsid w:val="008A3C29"/>
    <w:rsid w:val="008A7DEA"/>
    <w:rsid w:val="008B0B71"/>
    <w:rsid w:val="008B0EF6"/>
    <w:rsid w:val="008B194B"/>
    <w:rsid w:val="008B5C0F"/>
    <w:rsid w:val="008B5F11"/>
    <w:rsid w:val="008B6445"/>
    <w:rsid w:val="008B6D47"/>
    <w:rsid w:val="008B71B1"/>
    <w:rsid w:val="008C0987"/>
    <w:rsid w:val="008C1B60"/>
    <w:rsid w:val="008C1D3C"/>
    <w:rsid w:val="008C3052"/>
    <w:rsid w:val="008C309D"/>
    <w:rsid w:val="008C54E5"/>
    <w:rsid w:val="008C5D75"/>
    <w:rsid w:val="008C648F"/>
    <w:rsid w:val="008C7AC1"/>
    <w:rsid w:val="008D2925"/>
    <w:rsid w:val="008D33DE"/>
    <w:rsid w:val="008D3583"/>
    <w:rsid w:val="008D4DA7"/>
    <w:rsid w:val="008D6021"/>
    <w:rsid w:val="008D7117"/>
    <w:rsid w:val="008E0FC7"/>
    <w:rsid w:val="008E15CA"/>
    <w:rsid w:val="008E25AD"/>
    <w:rsid w:val="008E2B45"/>
    <w:rsid w:val="008E72B4"/>
    <w:rsid w:val="008E779E"/>
    <w:rsid w:val="008E7EF6"/>
    <w:rsid w:val="008F1F63"/>
    <w:rsid w:val="008F2D69"/>
    <w:rsid w:val="008F4B40"/>
    <w:rsid w:val="00902A8B"/>
    <w:rsid w:val="009040B6"/>
    <w:rsid w:val="009056FF"/>
    <w:rsid w:val="00912CD9"/>
    <w:rsid w:val="00916BE9"/>
    <w:rsid w:val="00921386"/>
    <w:rsid w:val="00922031"/>
    <w:rsid w:val="00922E8F"/>
    <w:rsid w:val="00924C97"/>
    <w:rsid w:val="00926A35"/>
    <w:rsid w:val="00927766"/>
    <w:rsid w:val="00927B30"/>
    <w:rsid w:val="009310CB"/>
    <w:rsid w:val="00937EBD"/>
    <w:rsid w:val="0094006B"/>
    <w:rsid w:val="00940CB9"/>
    <w:rsid w:val="009420B2"/>
    <w:rsid w:val="00942593"/>
    <w:rsid w:val="0094496E"/>
    <w:rsid w:val="00944CF1"/>
    <w:rsid w:val="0094541A"/>
    <w:rsid w:val="00946866"/>
    <w:rsid w:val="00946EEF"/>
    <w:rsid w:val="00947588"/>
    <w:rsid w:val="0095114D"/>
    <w:rsid w:val="00952CF5"/>
    <w:rsid w:val="00955EC0"/>
    <w:rsid w:val="00960509"/>
    <w:rsid w:val="00960D47"/>
    <w:rsid w:val="00961C34"/>
    <w:rsid w:val="009644CC"/>
    <w:rsid w:val="00966515"/>
    <w:rsid w:val="009667D7"/>
    <w:rsid w:val="00966ED7"/>
    <w:rsid w:val="00966EE5"/>
    <w:rsid w:val="00972CA6"/>
    <w:rsid w:val="00973A7F"/>
    <w:rsid w:val="009760E4"/>
    <w:rsid w:val="0097737F"/>
    <w:rsid w:val="00977AB1"/>
    <w:rsid w:val="00977C8D"/>
    <w:rsid w:val="00980D51"/>
    <w:rsid w:val="00983577"/>
    <w:rsid w:val="00985412"/>
    <w:rsid w:val="00985AAD"/>
    <w:rsid w:val="00986349"/>
    <w:rsid w:val="00990747"/>
    <w:rsid w:val="0099142A"/>
    <w:rsid w:val="009915CB"/>
    <w:rsid w:val="009949D6"/>
    <w:rsid w:val="00995C3A"/>
    <w:rsid w:val="00996F8E"/>
    <w:rsid w:val="009A0AA1"/>
    <w:rsid w:val="009A214F"/>
    <w:rsid w:val="009A2CBC"/>
    <w:rsid w:val="009A39F9"/>
    <w:rsid w:val="009A48E5"/>
    <w:rsid w:val="009A5CC6"/>
    <w:rsid w:val="009A5DA4"/>
    <w:rsid w:val="009B127A"/>
    <w:rsid w:val="009B3F72"/>
    <w:rsid w:val="009B40FD"/>
    <w:rsid w:val="009B4976"/>
    <w:rsid w:val="009B4FD3"/>
    <w:rsid w:val="009B50B9"/>
    <w:rsid w:val="009B547E"/>
    <w:rsid w:val="009C1A29"/>
    <w:rsid w:val="009C2A52"/>
    <w:rsid w:val="009C3203"/>
    <w:rsid w:val="009C5072"/>
    <w:rsid w:val="009C6C2D"/>
    <w:rsid w:val="009D17DD"/>
    <w:rsid w:val="009D365D"/>
    <w:rsid w:val="009D4C09"/>
    <w:rsid w:val="009E2320"/>
    <w:rsid w:val="009E2702"/>
    <w:rsid w:val="009E4F12"/>
    <w:rsid w:val="009E57DF"/>
    <w:rsid w:val="009F0954"/>
    <w:rsid w:val="009F2D4C"/>
    <w:rsid w:val="009F3C22"/>
    <w:rsid w:val="009F59FE"/>
    <w:rsid w:val="009F77AF"/>
    <w:rsid w:val="00A00F74"/>
    <w:rsid w:val="00A0102D"/>
    <w:rsid w:val="00A02B63"/>
    <w:rsid w:val="00A03520"/>
    <w:rsid w:val="00A0655B"/>
    <w:rsid w:val="00A0729D"/>
    <w:rsid w:val="00A12497"/>
    <w:rsid w:val="00A1286C"/>
    <w:rsid w:val="00A13086"/>
    <w:rsid w:val="00A135FA"/>
    <w:rsid w:val="00A13A3C"/>
    <w:rsid w:val="00A14835"/>
    <w:rsid w:val="00A14CB6"/>
    <w:rsid w:val="00A157C1"/>
    <w:rsid w:val="00A1604F"/>
    <w:rsid w:val="00A17694"/>
    <w:rsid w:val="00A21517"/>
    <w:rsid w:val="00A217C0"/>
    <w:rsid w:val="00A22EEF"/>
    <w:rsid w:val="00A24DFE"/>
    <w:rsid w:val="00A25605"/>
    <w:rsid w:val="00A3161F"/>
    <w:rsid w:val="00A32CC8"/>
    <w:rsid w:val="00A32EE0"/>
    <w:rsid w:val="00A3328B"/>
    <w:rsid w:val="00A3617C"/>
    <w:rsid w:val="00A40663"/>
    <w:rsid w:val="00A421FA"/>
    <w:rsid w:val="00A429ED"/>
    <w:rsid w:val="00A44192"/>
    <w:rsid w:val="00A465EC"/>
    <w:rsid w:val="00A507C6"/>
    <w:rsid w:val="00A509B7"/>
    <w:rsid w:val="00A5344C"/>
    <w:rsid w:val="00A535E5"/>
    <w:rsid w:val="00A5391C"/>
    <w:rsid w:val="00A56475"/>
    <w:rsid w:val="00A56EF8"/>
    <w:rsid w:val="00A60A22"/>
    <w:rsid w:val="00A617B6"/>
    <w:rsid w:val="00A620E1"/>
    <w:rsid w:val="00A63204"/>
    <w:rsid w:val="00A63B7C"/>
    <w:rsid w:val="00A65932"/>
    <w:rsid w:val="00A67FCD"/>
    <w:rsid w:val="00A75880"/>
    <w:rsid w:val="00A76277"/>
    <w:rsid w:val="00A764CD"/>
    <w:rsid w:val="00A76D7E"/>
    <w:rsid w:val="00A80826"/>
    <w:rsid w:val="00A83D2D"/>
    <w:rsid w:val="00A8408E"/>
    <w:rsid w:val="00A85BDE"/>
    <w:rsid w:val="00A9175A"/>
    <w:rsid w:val="00A96FAF"/>
    <w:rsid w:val="00A97ED7"/>
    <w:rsid w:val="00AA1240"/>
    <w:rsid w:val="00AA3AE5"/>
    <w:rsid w:val="00AA3EC6"/>
    <w:rsid w:val="00AA7753"/>
    <w:rsid w:val="00AB0478"/>
    <w:rsid w:val="00AB0D0E"/>
    <w:rsid w:val="00AB1FD3"/>
    <w:rsid w:val="00AB2320"/>
    <w:rsid w:val="00AB2ABE"/>
    <w:rsid w:val="00AB31F6"/>
    <w:rsid w:val="00AB583D"/>
    <w:rsid w:val="00AC06C3"/>
    <w:rsid w:val="00AC0B6A"/>
    <w:rsid w:val="00AC120B"/>
    <w:rsid w:val="00AC178C"/>
    <w:rsid w:val="00AC1DC1"/>
    <w:rsid w:val="00AC7B07"/>
    <w:rsid w:val="00AD0428"/>
    <w:rsid w:val="00AD2618"/>
    <w:rsid w:val="00AD525B"/>
    <w:rsid w:val="00AD5503"/>
    <w:rsid w:val="00AD7306"/>
    <w:rsid w:val="00AD761B"/>
    <w:rsid w:val="00AE24FC"/>
    <w:rsid w:val="00AE256E"/>
    <w:rsid w:val="00AE60DE"/>
    <w:rsid w:val="00AE7327"/>
    <w:rsid w:val="00AE77E0"/>
    <w:rsid w:val="00AF0CBF"/>
    <w:rsid w:val="00AF5581"/>
    <w:rsid w:val="00AF5D69"/>
    <w:rsid w:val="00AF671F"/>
    <w:rsid w:val="00B024AA"/>
    <w:rsid w:val="00B04B2F"/>
    <w:rsid w:val="00B05D40"/>
    <w:rsid w:val="00B06414"/>
    <w:rsid w:val="00B15079"/>
    <w:rsid w:val="00B15220"/>
    <w:rsid w:val="00B1558E"/>
    <w:rsid w:val="00B15765"/>
    <w:rsid w:val="00B157ED"/>
    <w:rsid w:val="00B16CA6"/>
    <w:rsid w:val="00B20648"/>
    <w:rsid w:val="00B23A75"/>
    <w:rsid w:val="00B30BDE"/>
    <w:rsid w:val="00B32605"/>
    <w:rsid w:val="00B348F3"/>
    <w:rsid w:val="00B35143"/>
    <w:rsid w:val="00B35575"/>
    <w:rsid w:val="00B36DE5"/>
    <w:rsid w:val="00B40510"/>
    <w:rsid w:val="00B4165D"/>
    <w:rsid w:val="00B41ABF"/>
    <w:rsid w:val="00B4226E"/>
    <w:rsid w:val="00B460FE"/>
    <w:rsid w:val="00B46FAA"/>
    <w:rsid w:val="00B539DE"/>
    <w:rsid w:val="00B56BB6"/>
    <w:rsid w:val="00B56D08"/>
    <w:rsid w:val="00B56E4A"/>
    <w:rsid w:val="00B57AEC"/>
    <w:rsid w:val="00B61833"/>
    <w:rsid w:val="00B6249C"/>
    <w:rsid w:val="00B639BD"/>
    <w:rsid w:val="00B67B39"/>
    <w:rsid w:val="00B700E0"/>
    <w:rsid w:val="00B70653"/>
    <w:rsid w:val="00B7496F"/>
    <w:rsid w:val="00B775EC"/>
    <w:rsid w:val="00B8095C"/>
    <w:rsid w:val="00B81137"/>
    <w:rsid w:val="00B81B93"/>
    <w:rsid w:val="00B83D67"/>
    <w:rsid w:val="00B851D1"/>
    <w:rsid w:val="00B87EA8"/>
    <w:rsid w:val="00B9621A"/>
    <w:rsid w:val="00BA367C"/>
    <w:rsid w:val="00BA3DCB"/>
    <w:rsid w:val="00BA58CC"/>
    <w:rsid w:val="00BB3716"/>
    <w:rsid w:val="00BB3F9B"/>
    <w:rsid w:val="00BC1E2A"/>
    <w:rsid w:val="00BC545D"/>
    <w:rsid w:val="00BC5E8B"/>
    <w:rsid w:val="00BC7A4C"/>
    <w:rsid w:val="00BD1221"/>
    <w:rsid w:val="00BD2A2B"/>
    <w:rsid w:val="00BD2F85"/>
    <w:rsid w:val="00BD38BC"/>
    <w:rsid w:val="00BD38D4"/>
    <w:rsid w:val="00BD3DB9"/>
    <w:rsid w:val="00BD590A"/>
    <w:rsid w:val="00BD5AD6"/>
    <w:rsid w:val="00BD76D7"/>
    <w:rsid w:val="00BE352D"/>
    <w:rsid w:val="00BE7CD6"/>
    <w:rsid w:val="00BF16FF"/>
    <w:rsid w:val="00BF3B9B"/>
    <w:rsid w:val="00BF5715"/>
    <w:rsid w:val="00C00872"/>
    <w:rsid w:val="00C103BD"/>
    <w:rsid w:val="00C114E9"/>
    <w:rsid w:val="00C11EB8"/>
    <w:rsid w:val="00C124D2"/>
    <w:rsid w:val="00C129D4"/>
    <w:rsid w:val="00C141DF"/>
    <w:rsid w:val="00C15EDF"/>
    <w:rsid w:val="00C1612F"/>
    <w:rsid w:val="00C168D5"/>
    <w:rsid w:val="00C16CCB"/>
    <w:rsid w:val="00C200BE"/>
    <w:rsid w:val="00C22C47"/>
    <w:rsid w:val="00C241A6"/>
    <w:rsid w:val="00C2428F"/>
    <w:rsid w:val="00C24473"/>
    <w:rsid w:val="00C265AC"/>
    <w:rsid w:val="00C27D79"/>
    <w:rsid w:val="00C27D9B"/>
    <w:rsid w:val="00C32B72"/>
    <w:rsid w:val="00C35C98"/>
    <w:rsid w:val="00C3728B"/>
    <w:rsid w:val="00C42F7C"/>
    <w:rsid w:val="00C433D6"/>
    <w:rsid w:val="00C448F5"/>
    <w:rsid w:val="00C525FD"/>
    <w:rsid w:val="00C53595"/>
    <w:rsid w:val="00C56757"/>
    <w:rsid w:val="00C56BB7"/>
    <w:rsid w:val="00C5765B"/>
    <w:rsid w:val="00C600D1"/>
    <w:rsid w:val="00C606B4"/>
    <w:rsid w:val="00C61172"/>
    <w:rsid w:val="00C64A5E"/>
    <w:rsid w:val="00C72C4D"/>
    <w:rsid w:val="00C747A1"/>
    <w:rsid w:val="00C77AC1"/>
    <w:rsid w:val="00C77C19"/>
    <w:rsid w:val="00C82A0D"/>
    <w:rsid w:val="00C82C62"/>
    <w:rsid w:val="00C8597A"/>
    <w:rsid w:val="00C87796"/>
    <w:rsid w:val="00C87BA7"/>
    <w:rsid w:val="00C911DC"/>
    <w:rsid w:val="00C94987"/>
    <w:rsid w:val="00C95373"/>
    <w:rsid w:val="00C9693A"/>
    <w:rsid w:val="00CA088C"/>
    <w:rsid w:val="00CA64FA"/>
    <w:rsid w:val="00CB5217"/>
    <w:rsid w:val="00CB7329"/>
    <w:rsid w:val="00CC2E98"/>
    <w:rsid w:val="00CC33AB"/>
    <w:rsid w:val="00CC783B"/>
    <w:rsid w:val="00CC7D61"/>
    <w:rsid w:val="00CD0074"/>
    <w:rsid w:val="00CD5434"/>
    <w:rsid w:val="00CD56B1"/>
    <w:rsid w:val="00CD701A"/>
    <w:rsid w:val="00CD7AB0"/>
    <w:rsid w:val="00CD7EC4"/>
    <w:rsid w:val="00CE09B1"/>
    <w:rsid w:val="00CE2A2E"/>
    <w:rsid w:val="00CE3BCC"/>
    <w:rsid w:val="00CE5F06"/>
    <w:rsid w:val="00CE6FCB"/>
    <w:rsid w:val="00CF03F9"/>
    <w:rsid w:val="00CF09C5"/>
    <w:rsid w:val="00CF2AAC"/>
    <w:rsid w:val="00CF46D9"/>
    <w:rsid w:val="00D00DD0"/>
    <w:rsid w:val="00D011B7"/>
    <w:rsid w:val="00D024B2"/>
    <w:rsid w:val="00D028D9"/>
    <w:rsid w:val="00D04007"/>
    <w:rsid w:val="00D06D72"/>
    <w:rsid w:val="00D077EA"/>
    <w:rsid w:val="00D14308"/>
    <w:rsid w:val="00D15697"/>
    <w:rsid w:val="00D20CA0"/>
    <w:rsid w:val="00D22E31"/>
    <w:rsid w:val="00D246EB"/>
    <w:rsid w:val="00D27991"/>
    <w:rsid w:val="00D27A7F"/>
    <w:rsid w:val="00D27BCA"/>
    <w:rsid w:val="00D3050E"/>
    <w:rsid w:val="00D32D8F"/>
    <w:rsid w:val="00D33943"/>
    <w:rsid w:val="00D33D7E"/>
    <w:rsid w:val="00D34A5D"/>
    <w:rsid w:val="00D34C5F"/>
    <w:rsid w:val="00D35455"/>
    <w:rsid w:val="00D35704"/>
    <w:rsid w:val="00D405C2"/>
    <w:rsid w:val="00D4218F"/>
    <w:rsid w:val="00D43422"/>
    <w:rsid w:val="00D45E65"/>
    <w:rsid w:val="00D47CEB"/>
    <w:rsid w:val="00D50519"/>
    <w:rsid w:val="00D54722"/>
    <w:rsid w:val="00D564FF"/>
    <w:rsid w:val="00D659BC"/>
    <w:rsid w:val="00D65CC9"/>
    <w:rsid w:val="00D673D0"/>
    <w:rsid w:val="00D6773A"/>
    <w:rsid w:val="00D71631"/>
    <w:rsid w:val="00D7294C"/>
    <w:rsid w:val="00D77244"/>
    <w:rsid w:val="00D819C3"/>
    <w:rsid w:val="00D81EBB"/>
    <w:rsid w:val="00D85EDB"/>
    <w:rsid w:val="00D86F7E"/>
    <w:rsid w:val="00D922E7"/>
    <w:rsid w:val="00D93C5F"/>
    <w:rsid w:val="00D9408C"/>
    <w:rsid w:val="00D96BA3"/>
    <w:rsid w:val="00D9724C"/>
    <w:rsid w:val="00D97803"/>
    <w:rsid w:val="00DA1384"/>
    <w:rsid w:val="00DA2F72"/>
    <w:rsid w:val="00DA49A1"/>
    <w:rsid w:val="00DB1508"/>
    <w:rsid w:val="00DB241E"/>
    <w:rsid w:val="00DB570E"/>
    <w:rsid w:val="00DB6530"/>
    <w:rsid w:val="00DC1392"/>
    <w:rsid w:val="00DC1543"/>
    <w:rsid w:val="00DC3BB0"/>
    <w:rsid w:val="00DC3EEE"/>
    <w:rsid w:val="00DC5147"/>
    <w:rsid w:val="00DC5555"/>
    <w:rsid w:val="00DC68FC"/>
    <w:rsid w:val="00DD29B1"/>
    <w:rsid w:val="00DD30BA"/>
    <w:rsid w:val="00DD5E2B"/>
    <w:rsid w:val="00DD5E3F"/>
    <w:rsid w:val="00DD7083"/>
    <w:rsid w:val="00DD7D5D"/>
    <w:rsid w:val="00DE118A"/>
    <w:rsid w:val="00DE2095"/>
    <w:rsid w:val="00DE35C1"/>
    <w:rsid w:val="00DE4EF7"/>
    <w:rsid w:val="00DE526B"/>
    <w:rsid w:val="00DE55DB"/>
    <w:rsid w:val="00DE569B"/>
    <w:rsid w:val="00DE5F75"/>
    <w:rsid w:val="00DE7E6D"/>
    <w:rsid w:val="00DF270A"/>
    <w:rsid w:val="00DF6455"/>
    <w:rsid w:val="00DF689C"/>
    <w:rsid w:val="00E006B3"/>
    <w:rsid w:val="00E0307D"/>
    <w:rsid w:val="00E04F00"/>
    <w:rsid w:val="00E058A0"/>
    <w:rsid w:val="00E1543C"/>
    <w:rsid w:val="00E15C93"/>
    <w:rsid w:val="00E17A40"/>
    <w:rsid w:val="00E2039C"/>
    <w:rsid w:val="00E20747"/>
    <w:rsid w:val="00E2098D"/>
    <w:rsid w:val="00E22BD3"/>
    <w:rsid w:val="00E25EAD"/>
    <w:rsid w:val="00E26485"/>
    <w:rsid w:val="00E30285"/>
    <w:rsid w:val="00E30AED"/>
    <w:rsid w:val="00E33944"/>
    <w:rsid w:val="00E36C13"/>
    <w:rsid w:val="00E36D4D"/>
    <w:rsid w:val="00E378B7"/>
    <w:rsid w:val="00E41D0E"/>
    <w:rsid w:val="00E41DB6"/>
    <w:rsid w:val="00E43677"/>
    <w:rsid w:val="00E44C1E"/>
    <w:rsid w:val="00E45D15"/>
    <w:rsid w:val="00E464F0"/>
    <w:rsid w:val="00E4693A"/>
    <w:rsid w:val="00E475AF"/>
    <w:rsid w:val="00E47AA5"/>
    <w:rsid w:val="00E501A5"/>
    <w:rsid w:val="00E507EC"/>
    <w:rsid w:val="00E50B27"/>
    <w:rsid w:val="00E51A85"/>
    <w:rsid w:val="00E51D34"/>
    <w:rsid w:val="00E52320"/>
    <w:rsid w:val="00E53977"/>
    <w:rsid w:val="00E53C6D"/>
    <w:rsid w:val="00E54DBB"/>
    <w:rsid w:val="00E550EC"/>
    <w:rsid w:val="00E55C57"/>
    <w:rsid w:val="00E55CB7"/>
    <w:rsid w:val="00E60B9C"/>
    <w:rsid w:val="00E62661"/>
    <w:rsid w:val="00E672DB"/>
    <w:rsid w:val="00E7084E"/>
    <w:rsid w:val="00E73419"/>
    <w:rsid w:val="00E744E5"/>
    <w:rsid w:val="00E751E8"/>
    <w:rsid w:val="00E765E2"/>
    <w:rsid w:val="00E7756C"/>
    <w:rsid w:val="00E80595"/>
    <w:rsid w:val="00E846E2"/>
    <w:rsid w:val="00E84FE9"/>
    <w:rsid w:val="00E85B5D"/>
    <w:rsid w:val="00E90D50"/>
    <w:rsid w:val="00E91250"/>
    <w:rsid w:val="00E92C12"/>
    <w:rsid w:val="00E93845"/>
    <w:rsid w:val="00EA2C7E"/>
    <w:rsid w:val="00EA5BFF"/>
    <w:rsid w:val="00EA7C7B"/>
    <w:rsid w:val="00EB09A6"/>
    <w:rsid w:val="00EB0DA6"/>
    <w:rsid w:val="00EB0F34"/>
    <w:rsid w:val="00EB17E0"/>
    <w:rsid w:val="00EB4378"/>
    <w:rsid w:val="00EB472B"/>
    <w:rsid w:val="00EB547A"/>
    <w:rsid w:val="00EB64BB"/>
    <w:rsid w:val="00EB67BD"/>
    <w:rsid w:val="00EB718B"/>
    <w:rsid w:val="00EB73A3"/>
    <w:rsid w:val="00EB7E52"/>
    <w:rsid w:val="00EC0279"/>
    <w:rsid w:val="00EC1479"/>
    <w:rsid w:val="00EC3AA1"/>
    <w:rsid w:val="00EC7C29"/>
    <w:rsid w:val="00ED236E"/>
    <w:rsid w:val="00ED2939"/>
    <w:rsid w:val="00ED4C0C"/>
    <w:rsid w:val="00ED74FE"/>
    <w:rsid w:val="00ED7920"/>
    <w:rsid w:val="00EE179F"/>
    <w:rsid w:val="00EE2304"/>
    <w:rsid w:val="00EE555B"/>
    <w:rsid w:val="00EF0C96"/>
    <w:rsid w:val="00EF3E11"/>
    <w:rsid w:val="00EF4CD9"/>
    <w:rsid w:val="00F00B5B"/>
    <w:rsid w:val="00F01859"/>
    <w:rsid w:val="00F043DA"/>
    <w:rsid w:val="00F04926"/>
    <w:rsid w:val="00F05C7F"/>
    <w:rsid w:val="00F12D2D"/>
    <w:rsid w:val="00F12F23"/>
    <w:rsid w:val="00F1625F"/>
    <w:rsid w:val="00F17C71"/>
    <w:rsid w:val="00F21062"/>
    <w:rsid w:val="00F21468"/>
    <w:rsid w:val="00F21977"/>
    <w:rsid w:val="00F252B2"/>
    <w:rsid w:val="00F26742"/>
    <w:rsid w:val="00F26A30"/>
    <w:rsid w:val="00F27228"/>
    <w:rsid w:val="00F30BE6"/>
    <w:rsid w:val="00F33F54"/>
    <w:rsid w:val="00F35CAB"/>
    <w:rsid w:val="00F3694D"/>
    <w:rsid w:val="00F425C4"/>
    <w:rsid w:val="00F44863"/>
    <w:rsid w:val="00F45FC8"/>
    <w:rsid w:val="00F469D2"/>
    <w:rsid w:val="00F55A54"/>
    <w:rsid w:val="00F62CAE"/>
    <w:rsid w:val="00F64144"/>
    <w:rsid w:val="00F663EC"/>
    <w:rsid w:val="00F71291"/>
    <w:rsid w:val="00F720D9"/>
    <w:rsid w:val="00F721B5"/>
    <w:rsid w:val="00F74E78"/>
    <w:rsid w:val="00F75898"/>
    <w:rsid w:val="00F7617B"/>
    <w:rsid w:val="00F76515"/>
    <w:rsid w:val="00F80E4E"/>
    <w:rsid w:val="00F828D2"/>
    <w:rsid w:val="00F82C2D"/>
    <w:rsid w:val="00F82ED6"/>
    <w:rsid w:val="00F8511A"/>
    <w:rsid w:val="00F85356"/>
    <w:rsid w:val="00F864CD"/>
    <w:rsid w:val="00F92A14"/>
    <w:rsid w:val="00F9319F"/>
    <w:rsid w:val="00F97456"/>
    <w:rsid w:val="00FA0470"/>
    <w:rsid w:val="00FA1FED"/>
    <w:rsid w:val="00FA6243"/>
    <w:rsid w:val="00FB0C5F"/>
    <w:rsid w:val="00FB4F6E"/>
    <w:rsid w:val="00FB5AF1"/>
    <w:rsid w:val="00FB5FBA"/>
    <w:rsid w:val="00FB6CAE"/>
    <w:rsid w:val="00FB70A2"/>
    <w:rsid w:val="00FB7575"/>
    <w:rsid w:val="00FC01E8"/>
    <w:rsid w:val="00FC1132"/>
    <w:rsid w:val="00FC2778"/>
    <w:rsid w:val="00FC58FE"/>
    <w:rsid w:val="00FC6EEC"/>
    <w:rsid w:val="00FD18E1"/>
    <w:rsid w:val="00FD25D7"/>
    <w:rsid w:val="00FD281B"/>
    <w:rsid w:val="00FD28AF"/>
    <w:rsid w:val="00FD2E06"/>
    <w:rsid w:val="00FD6FCA"/>
    <w:rsid w:val="00FE02CD"/>
    <w:rsid w:val="00FE0D68"/>
    <w:rsid w:val="00FE1361"/>
    <w:rsid w:val="00FE19BA"/>
    <w:rsid w:val="00FE31E2"/>
    <w:rsid w:val="00FE357F"/>
    <w:rsid w:val="00FE408C"/>
    <w:rsid w:val="00FE5607"/>
    <w:rsid w:val="00FE5FF7"/>
    <w:rsid w:val="00FF0C66"/>
    <w:rsid w:val="00FF1644"/>
    <w:rsid w:val="00FF19DD"/>
    <w:rsid w:val="00FF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76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CC6"/>
    <w:pPr>
      <w:spacing w:after="240" w:line="240" w:lineRule="auto"/>
      <w:jc w:val="both"/>
    </w:pPr>
    <w:rPr>
      <w:rFonts w:ascii="Garamond" w:hAnsi="Garamond"/>
      <w:sz w:val="24"/>
    </w:rPr>
  </w:style>
  <w:style w:type="paragraph" w:styleId="Heading1">
    <w:name w:val="heading 1"/>
    <w:basedOn w:val="Normal"/>
    <w:next w:val="BodyText"/>
    <w:link w:val="Heading1Char"/>
    <w:qFormat/>
    <w:rsid w:val="00DC1392"/>
    <w:pPr>
      <w:keepNext/>
      <w:pBdr>
        <w:bottom w:val="single" w:sz="18" w:space="1" w:color="C00000"/>
      </w:pBdr>
      <w:spacing w:after="600"/>
      <w:jc w:val="left"/>
      <w:outlineLvl w:val="0"/>
    </w:pPr>
    <w:rPr>
      <w:b/>
      <w:caps/>
      <w:kern w:val="28"/>
      <w:sz w:val="36"/>
      <w:szCs w:val="36"/>
    </w:rPr>
  </w:style>
  <w:style w:type="paragraph" w:styleId="Heading2">
    <w:name w:val="heading 2"/>
    <w:basedOn w:val="Normal"/>
    <w:next w:val="BodyText"/>
    <w:link w:val="Heading2Char"/>
    <w:qFormat/>
    <w:rsid w:val="00157E71"/>
    <w:pPr>
      <w:keepNext/>
      <w:spacing w:before="240"/>
      <w:jc w:val="left"/>
      <w:outlineLvl w:val="1"/>
    </w:pPr>
    <w:rPr>
      <w:b/>
      <w:sz w:val="26"/>
      <w:szCs w:val="20"/>
    </w:rPr>
  </w:style>
  <w:style w:type="paragraph" w:styleId="Heading3">
    <w:name w:val="heading 3"/>
    <w:basedOn w:val="Normal"/>
    <w:next w:val="BodyText"/>
    <w:link w:val="Heading3Char"/>
    <w:qFormat/>
    <w:rsid w:val="000822E1"/>
    <w:pPr>
      <w:keepNext/>
      <w:spacing w:before="120"/>
      <w:jc w:val="lef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392"/>
    <w:rPr>
      <w:rFonts w:ascii="Garamond" w:hAnsi="Garamond"/>
      <w:b/>
      <w:caps/>
      <w:kern w:val="28"/>
      <w:sz w:val="36"/>
      <w:szCs w:val="36"/>
    </w:rPr>
  </w:style>
  <w:style w:type="paragraph" w:styleId="BodyText">
    <w:name w:val="Body Text"/>
    <w:basedOn w:val="Normal"/>
    <w:link w:val="BodyTextChar"/>
    <w:qFormat/>
    <w:rsid w:val="004C3812"/>
  </w:style>
  <w:style w:type="character" w:customStyle="1" w:styleId="BodyTextChar">
    <w:name w:val="Body Text Char"/>
    <w:basedOn w:val="DefaultParagraphFont"/>
    <w:link w:val="BodyText"/>
    <w:rsid w:val="004C3812"/>
    <w:rPr>
      <w:rFonts w:ascii="Garamond" w:hAnsi="Garamond"/>
      <w:sz w:val="24"/>
    </w:rPr>
  </w:style>
  <w:style w:type="character" w:customStyle="1" w:styleId="Heading2Char">
    <w:name w:val="Heading 2 Char"/>
    <w:basedOn w:val="DefaultParagraphFont"/>
    <w:link w:val="Heading2"/>
    <w:rsid w:val="00157E71"/>
    <w:rPr>
      <w:rFonts w:ascii="Garamond" w:hAnsi="Garamond"/>
      <w:b/>
      <w:sz w:val="26"/>
      <w:szCs w:val="20"/>
    </w:rPr>
  </w:style>
  <w:style w:type="character" w:customStyle="1" w:styleId="Heading3Char">
    <w:name w:val="Heading 3 Char"/>
    <w:basedOn w:val="DefaultParagraphFont"/>
    <w:link w:val="Heading3"/>
    <w:rsid w:val="000822E1"/>
    <w:rPr>
      <w:rFonts w:ascii="Garamond" w:hAnsi="Garamond"/>
      <w:b/>
      <w:i/>
      <w:sz w:val="24"/>
    </w:rPr>
  </w:style>
  <w:style w:type="paragraph" w:styleId="TOC2">
    <w:name w:val="toc 2"/>
    <w:basedOn w:val="Normal"/>
    <w:next w:val="Normal"/>
    <w:autoRedefine/>
    <w:uiPriority w:val="39"/>
    <w:unhideWhenUsed/>
    <w:rsid w:val="00E058A0"/>
    <w:pPr>
      <w:tabs>
        <w:tab w:val="right" w:leader="dot" w:pos="10070"/>
      </w:tabs>
      <w:spacing w:after="100"/>
      <w:ind w:left="220"/>
    </w:pPr>
  </w:style>
  <w:style w:type="paragraph" w:styleId="ListBullet">
    <w:name w:val="List Bullet"/>
    <w:basedOn w:val="Normal"/>
    <w:qFormat/>
    <w:rsid w:val="009A5CC6"/>
    <w:pPr>
      <w:numPr>
        <w:numId w:val="34"/>
      </w:numPr>
      <w:ind w:left="360"/>
    </w:pPr>
    <w:rPr>
      <w:szCs w:val="24"/>
    </w:rPr>
  </w:style>
  <w:style w:type="paragraph" w:customStyle="1" w:styleId="ListDash">
    <w:name w:val="List Dash"/>
    <w:basedOn w:val="Normal"/>
    <w:qFormat/>
    <w:rsid w:val="00B700E0"/>
    <w:pPr>
      <w:numPr>
        <w:numId w:val="8"/>
      </w:numPr>
    </w:pPr>
    <w:rPr>
      <w:szCs w:val="24"/>
    </w:rPr>
  </w:style>
  <w:style w:type="table" w:styleId="TableGrid">
    <w:name w:val="Table Grid"/>
    <w:basedOn w:val="TableNormal"/>
    <w:rsid w:val="00B4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BodyText"/>
    <w:basedOn w:val="Normal"/>
    <w:qFormat/>
    <w:rsid w:val="009A5CC6"/>
    <w:pPr>
      <w:spacing w:before="60" w:after="60"/>
      <w:jc w:val="left"/>
    </w:pPr>
    <w:rPr>
      <w:szCs w:val="24"/>
    </w:rPr>
  </w:style>
  <w:style w:type="paragraph" w:customStyle="1" w:styleId="TableNormal0">
    <w:name w:val="TableNormal"/>
    <w:basedOn w:val="Normal"/>
    <w:semiHidden/>
    <w:qFormat/>
    <w:rsid w:val="004B502E"/>
    <w:pPr>
      <w:jc w:val="left"/>
    </w:pPr>
    <w:rPr>
      <w:sz w:val="20"/>
    </w:rPr>
  </w:style>
  <w:style w:type="paragraph" w:styleId="TOCHeading">
    <w:name w:val="TOC Heading"/>
    <w:basedOn w:val="Heading1"/>
    <w:next w:val="Normal"/>
    <w:uiPriority w:val="39"/>
    <w:semiHidden/>
    <w:unhideWhenUsed/>
    <w:qFormat/>
    <w:rsid w:val="00AF5D69"/>
    <w:pPr>
      <w:keepLines/>
      <w:spacing w:before="480" w:after="0" w:line="276" w:lineRule="auto"/>
      <w:outlineLvl w:val="9"/>
    </w:pPr>
    <w:rPr>
      <w:rFonts w:asciiTheme="majorHAnsi" w:eastAsiaTheme="majorEastAsia" w:hAnsiTheme="majorHAnsi" w:cstheme="majorBidi"/>
      <w:bCs/>
      <w:color w:val="1890C1" w:themeColor="accent1" w:themeShade="BF"/>
      <w:kern w:val="0"/>
      <w:sz w:val="28"/>
      <w:szCs w:val="28"/>
      <w:lang w:eastAsia="ja-JP"/>
    </w:rPr>
  </w:style>
  <w:style w:type="paragraph" w:styleId="BalloonText">
    <w:name w:val="Balloon Text"/>
    <w:basedOn w:val="Normal"/>
    <w:link w:val="BalloonTextChar"/>
    <w:uiPriority w:val="99"/>
    <w:semiHidden/>
    <w:unhideWhenUsed/>
    <w:rsid w:val="00AF5D69"/>
    <w:rPr>
      <w:rFonts w:ascii="Tahoma" w:hAnsi="Tahoma" w:cs="Tahoma"/>
      <w:sz w:val="16"/>
      <w:szCs w:val="16"/>
    </w:rPr>
  </w:style>
  <w:style w:type="character" w:customStyle="1" w:styleId="BalloonTextChar">
    <w:name w:val="Balloon Text Char"/>
    <w:basedOn w:val="DefaultParagraphFont"/>
    <w:link w:val="BalloonText"/>
    <w:uiPriority w:val="99"/>
    <w:semiHidden/>
    <w:rsid w:val="00AF5D69"/>
    <w:rPr>
      <w:rFonts w:ascii="Tahoma" w:hAnsi="Tahoma" w:cs="Tahoma"/>
      <w:sz w:val="16"/>
      <w:szCs w:val="16"/>
    </w:rPr>
  </w:style>
  <w:style w:type="paragraph" w:customStyle="1" w:styleId="Headerodd">
    <w:name w:val="Header_odd"/>
    <w:basedOn w:val="Normal"/>
    <w:uiPriority w:val="3"/>
    <w:qFormat/>
    <w:rsid w:val="00A44192"/>
    <w:pPr>
      <w:tabs>
        <w:tab w:val="center" w:pos="4680"/>
        <w:tab w:val="right" w:pos="9360"/>
      </w:tabs>
      <w:jc w:val="right"/>
    </w:pPr>
    <w:rPr>
      <w:i/>
      <w:sz w:val="20"/>
      <w:szCs w:val="20"/>
    </w:rPr>
  </w:style>
  <w:style w:type="paragraph" w:customStyle="1" w:styleId="Headereven">
    <w:name w:val="Header_even"/>
    <w:basedOn w:val="Normal"/>
    <w:uiPriority w:val="3"/>
    <w:qFormat/>
    <w:rsid w:val="00A44192"/>
    <w:pPr>
      <w:tabs>
        <w:tab w:val="center" w:pos="4680"/>
        <w:tab w:val="right" w:pos="9360"/>
      </w:tabs>
      <w:jc w:val="left"/>
    </w:pPr>
    <w:rPr>
      <w:i/>
      <w:sz w:val="20"/>
      <w:szCs w:val="20"/>
    </w:rPr>
  </w:style>
  <w:style w:type="paragraph" w:styleId="TOC1">
    <w:name w:val="toc 1"/>
    <w:basedOn w:val="Normal"/>
    <w:next w:val="Normal"/>
    <w:autoRedefine/>
    <w:uiPriority w:val="39"/>
    <w:unhideWhenUsed/>
    <w:rsid w:val="00E058A0"/>
    <w:pPr>
      <w:tabs>
        <w:tab w:val="right" w:leader="dot" w:pos="10070"/>
      </w:tabs>
      <w:spacing w:line="360" w:lineRule="auto"/>
    </w:pPr>
    <w:rPr>
      <w:b/>
      <w:caps/>
    </w:rPr>
  </w:style>
  <w:style w:type="character" w:styleId="Hyperlink">
    <w:name w:val="Hyperlink"/>
    <w:basedOn w:val="DefaultParagraphFont"/>
    <w:uiPriority w:val="99"/>
    <w:unhideWhenUsed/>
    <w:rsid w:val="00585C73"/>
    <w:rPr>
      <w:color w:val="0000FF" w:themeColor="hyperlink"/>
      <w:u w:val="single"/>
    </w:rPr>
  </w:style>
  <w:style w:type="paragraph" w:customStyle="1" w:styleId="ToCHeading0">
    <w:name w:val="ToC_Heading"/>
    <w:next w:val="BodyText"/>
    <w:uiPriority w:val="3"/>
    <w:qFormat/>
    <w:rsid w:val="00DC1392"/>
    <w:pPr>
      <w:pBdr>
        <w:bottom w:val="single" w:sz="18" w:space="1" w:color="C20000" w:themeColor="accent6"/>
      </w:pBdr>
    </w:pPr>
    <w:rPr>
      <w:rFonts w:ascii="Garamond" w:hAnsi="Garamond"/>
      <w:b/>
      <w:caps/>
      <w:kern w:val="28"/>
      <w:sz w:val="36"/>
      <w:szCs w:val="36"/>
    </w:rPr>
  </w:style>
  <w:style w:type="paragraph" w:customStyle="1" w:styleId="FigureTitle">
    <w:name w:val="Figure Title"/>
    <w:basedOn w:val="BodyText"/>
    <w:next w:val="BodyText"/>
    <w:uiPriority w:val="1"/>
    <w:qFormat/>
    <w:rsid w:val="00030EDC"/>
    <w:pPr>
      <w:spacing w:after="120"/>
    </w:pPr>
    <w:rPr>
      <w:b/>
      <w:color w:val="106081" w:themeColor="accent1" w:themeShade="80"/>
    </w:rPr>
  </w:style>
  <w:style w:type="paragraph" w:customStyle="1" w:styleId="Source">
    <w:name w:val="Source"/>
    <w:basedOn w:val="BodyText"/>
    <w:next w:val="BodyText"/>
    <w:qFormat/>
    <w:rsid w:val="00466A72"/>
    <w:pPr>
      <w:spacing w:after="480"/>
      <w:ind w:left="907" w:hanging="907"/>
    </w:pPr>
    <w:rPr>
      <w:i/>
      <w:sz w:val="22"/>
    </w:rPr>
  </w:style>
  <w:style w:type="paragraph" w:styleId="NormalWeb">
    <w:name w:val="Normal (Web)"/>
    <w:basedOn w:val="Normal"/>
    <w:uiPriority w:val="99"/>
    <w:unhideWhenUsed/>
    <w:rsid w:val="004C3812"/>
    <w:pPr>
      <w:spacing w:before="100" w:beforeAutospacing="1" w:after="100" w:afterAutospacing="1"/>
      <w:jc w:val="left"/>
    </w:pPr>
    <w:rPr>
      <w:rFonts w:ascii="Times New Roman" w:hAnsi="Times New Roman"/>
      <w:szCs w:val="24"/>
    </w:rPr>
  </w:style>
  <w:style w:type="paragraph" w:customStyle="1" w:styleId="ExecSumTitle">
    <w:name w:val="ExecSum_Title"/>
    <w:next w:val="ExecSumtext"/>
    <w:uiPriority w:val="3"/>
    <w:qFormat/>
    <w:rsid w:val="000248BE"/>
    <w:pPr>
      <w:jc w:val="center"/>
    </w:pPr>
    <w:rPr>
      <w:rFonts w:ascii="Garamond" w:hAnsi="Garamond"/>
      <w:b/>
      <w:kern w:val="28"/>
      <w:sz w:val="28"/>
      <w:szCs w:val="28"/>
    </w:rPr>
  </w:style>
  <w:style w:type="paragraph" w:customStyle="1" w:styleId="ExecSumtext">
    <w:name w:val="ExecSum_text"/>
    <w:basedOn w:val="BodyText"/>
    <w:uiPriority w:val="3"/>
    <w:qFormat/>
    <w:rsid w:val="000248BE"/>
    <w:pPr>
      <w:spacing w:line="360" w:lineRule="auto"/>
    </w:pPr>
  </w:style>
  <w:style w:type="paragraph" w:styleId="TOC3">
    <w:name w:val="toc 3"/>
    <w:basedOn w:val="Normal"/>
    <w:next w:val="Normal"/>
    <w:autoRedefine/>
    <w:uiPriority w:val="39"/>
    <w:unhideWhenUsed/>
    <w:rsid w:val="00B700E0"/>
    <w:pPr>
      <w:spacing w:after="100"/>
      <w:ind w:left="440"/>
    </w:pPr>
  </w:style>
  <w:style w:type="paragraph" w:customStyle="1" w:styleId="TableTitle">
    <w:name w:val="Table Title"/>
    <w:basedOn w:val="FigureTitle"/>
    <w:next w:val="BodyText"/>
    <w:uiPriority w:val="1"/>
    <w:qFormat/>
    <w:rsid w:val="00571BB8"/>
  </w:style>
  <w:style w:type="paragraph" w:customStyle="1" w:styleId="TableHeadText">
    <w:name w:val="TableHeadText"/>
    <w:basedOn w:val="BodyText"/>
    <w:qFormat/>
    <w:rsid w:val="009A5CC6"/>
    <w:pPr>
      <w:spacing w:before="120" w:after="0"/>
      <w:jc w:val="left"/>
    </w:pPr>
    <w:rPr>
      <w:b/>
      <w:szCs w:val="24"/>
    </w:rPr>
  </w:style>
  <w:style w:type="paragraph" w:customStyle="1" w:styleId="MainTitle">
    <w:name w:val="MainTitle"/>
    <w:basedOn w:val="BodyText"/>
    <w:uiPriority w:val="2"/>
    <w:qFormat/>
    <w:rsid w:val="00831040"/>
    <w:pPr>
      <w:spacing w:before="2040" w:after="480"/>
      <w:jc w:val="center"/>
    </w:pPr>
    <w:rPr>
      <w:b/>
      <w:sz w:val="40"/>
      <w:szCs w:val="40"/>
    </w:rPr>
  </w:style>
  <w:style w:type="paragraph" w:customStyle="1" w:styleId="SubmittedBy">
    <w:name w:val="Submitted By"/>
    <w:basedOn w:val="BodyText"/>
    <w:uiPriority w:val="2"/>
    <w:qFormat/>
    <w:rsid w:val="002055C3"/>
    <w:pPr>
      <w:jc w:val="center"/>
    </w:pPr>
    <w:rPr>
      <w:b/>
      <w:sz w:val="32"/>
      <w:szCs w:val="32"/>
    </w:rPr>
  </w:style>
  <w:style w:type="paragraph" w:customStyle="1" w:styleId="TitleDate">
    <w:name w:val="Title Date"/>
    <w:basedOn w:val="BodyText"/>
    <w:uiPriority w:val="2"/>
    <w:qFormat/>
    <w:rsid w:val="002055C3"/>
    <w:pPr>
      <w:jc w:val="center"/>
    </w:pPr>
    <w:rPr>
      <w:b/>
      <w:i/>
      <w:sz w:val="28"/>
      <w:szCs w:val="28"/>
    </w:rPr>
  </w:style>
  <w:style w:type="paragraph" w:styleId="TableofFigures">
    <w:name w:val="table of figures"/>
    <w:basedOn w:val="Normal"/>
    <w:next w:val="Normal"/>
    <w:uiPriority w:val="99"/>
    <w:unhideWhenUsed/>
    <w:rsid w:val="008423AC"/>
    <w:rPr>
      <w:b/>
    </w:rPr>
  </w:style>
  <w:style w:type="paragraph" w:styleId="Header">
    <w:name w:val="header"/>
    <w:basedOn w:val="Normal"/>
    <w:link w:val="HeaderChar"/>
    <w:uiPriority w:val="99"/>
    <w:unhideWhenUsed/>
    <w:rsid w:val="00DD7083"/>
    <w:pPr>
      <w:tabs>
        <w:tab w:val="center" w:pos="4680"/>
        <w:tab w:val="right" w:pos="9360"/>
      </w:tabs>
    </w:pPr>
  </w:style>
  <w:style w:type="character" w:customStyle="1" w:styleId="HeaderChar">
    <w:name w:val="Header Char"/>
    <w:basedOn w:val="DefaultParagraphFont"/>
    <w:link w:val="Header"/>
    <w:uiPriority w:val="99"/>
    <w:rsid w:val="00DD7083"/>
    <w:rPr>
      <w:rFonts w:ascii="Book Antiqua" w:hAnsi="Book Antiqua"/>
    </w:rPr>
  </w:style>
  <w:style w:type="paragraph" w:styleId="Footer">
    <w:name w:val="footer"/>
    <w:basedOn w:val="Normal"/>
    <w:link w:val="FooterChar"/>
    <w:uiPriority w:val="99"/>
    <w:unhideWhenUsed/>
    <w:rsid w:val="00DD7083"/>
    <w:pPr>
      <w:tabs>
        <w:tab w:val="center" w:pos="4680"/>
        <w:tab w:val="right" w:pos="9360"/>
      </w:tabs>
    </w:pPr>
  </w:style>
  <w:style w:type="character" w:customStyle="1" w:styleId="FooterChar">
    <w:name w:val="Footer Char"/>
    <w:basedOn w:val="DefaultParagraphFont"/>
    <w:link w:val="Footer"/>
    <w:uiPriority w:val="99"/>
    <w:rsid w:val="00DD7083"/>
    <w:rPr>
      <w:rFonts w:ascii="Book Antiqua" w:hAnsi="Book Antiqua"/>
    </w:rPr>
  </w:style>
  <w:style w:type="paragraph" w:styleId="ListParagraph">
    <w:name w:val="List Paragraph"/>
    <w:basedOn w:val="Normal"/>
    <w:uiPriority w:val="34"/>
    <w:qFormat/>
    <w:rsid w:val="00FD18E1"/>
    <w:pPr>
      <w:ind w:left="720"/>
      <w:contextualSpacing/>
    </w:pPr>
  </w:style>
  <w:style w:type="paragraph" w:styleId="FootnoteText">
    <w:name w:val="footnote text"/>
    <w:aliases w:val="ft"/>
    <w:basedOn w:val="Normal"/>
    <w:link w:val="FootnoteTextChar"/>
    <w:uiPriority w:val="99"/>
    <w:unhideWhenUsed/>
    <w:qFormat/>
    <w:rsid w:val="009A5CC6"/>
    <w:pPr>
      <w:spacing w:before="60" w:after="60"/>
    </w:pPr>
    <w:rPr>
      <w:sz w:val="20"/>
      <w:szCs w:val="20"/>
    </w:rPr>
  </w:style>
  <w:style w:type="character" w:customStyle="1" w:styleId="FootnoteTextChar">
    <w:name w:val="Footnote Text Char"/>
    <w:aliases w:val="ft Char"/>
    <w:basedOn w:val="DefaultParagraphFont"/>
    <w:link w:val="FootnoteText"/>
    <w:uiPriority w:val="99"/>
    <w:rsid w:val="009A5CC6"/>
    <w:rPr>
      <w:rFonts w:ascii="Garamond" w:hAnsi="Garamond"/>
      <w:sz w:val="20"/>
      <w:szCs w:val="20"/>
    </w:rPr>
  </w:style>
  <w:style w:type="character" w:styleId="FootnoteReference">
    <w:name w:val="footnote reference"/>
    <w:aliases w:val="fr"/>
    <w:basedOn w:val="DefaultParagraphFont"/>
    <w:uiPriority w:val="99"/>
    <w:unhideWhenUsed/>
    <w:qFormat/>
    <w:rsid w:val="009A5CC6"/>
    <w:rPr>
      <w:rFonts w:ascii="Garamond" w:hAnsi="Garamond"/>
      <w:vertAlign w:val="superscript"/>
    </w:rPr>
  </w:style>
  <w:style w:type="character" w:styleId="CommentReference">
    <w:name w:val="annotation reference"/>
    <w:basedOn w:val="DefaultParagraphFont"/>
    <w:uiPriority w:val="99"/>
    <w:semiHidden/>
    <w:unhideWhenUsed/>
    <w:rsid w:val="009C5072"/>
    <w:rPr>
      <w:sz w:val="16"/>
      <w:szCs w:val="16"/>
    </w:rPr>
  </w:style>
  <w:style w:type="paragraph" w:styleId="CommentText">
    <w:name w:val="annotation text"/>
    <w:basedOn w:val="Normal"/>
    <w:link w:val="CommentTextChar"/>
    <w:uiPriority w:val="99"/>
    <w:unhideWhenUsed/>
    <w:rsid w:val="009C5072"/>
    <w:rPr>
      <w:sz w:val="20"/>
      <w:szCs w:val="20"/>
    </w:rPr>
  </w:style>
  <w:style w:type="character" w:customStyle="1" w:styleId="CommentTextChar">
    <w:name w:val="Comment Text Char"/>
    <w:basedOn w:val="DefaultParagraphFont"/>
    <w:link w:val="CommentText"/>
    <w:uiPriority w:val="99"/>
    <w:rsid w:val="009C5072"/>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9C5072"/>
    <w:rPr>
      <w:b/>
      <w:bCs/>
    </w:rPr>
  </w:style>
  <w:style w:type="character" w:customStyle="1" w:styleId="CommentSubjectChar">
    <w:name w:val="Comment Subject Char"/>
    <w:basedOn w:val="CommentTextChar"/>
    <w:link w:val="CommentSubject"/>
    <w:uiPriority w:val="99"/>
    <w:semiHidden/>
    <w:rsid w:val="009C5072"/>
    <w:rPr>
      <w:rFonts w:ascii="Book Antiqua" w:hAnsi="Book Antiqua"/>
      <w:b/>
      <w:bCs/>
      <w:sz w:val="20"/>
      <w:szCs w:val="20"/>
    </w:rPr>
  </w:style>
  <w:style w:type="table" w:styleId="ListTable3-Accent3">
    <w:name w:val="List Table 3 Accent 3"/>
    <w:basedOn w:val="TableNormal"/>
    <w:uiPriority w:val="48"/>
    <w:rsid w:val="00384692"/>
    <w:pPr>
      <w:spacing w:after="0" w:line="240" w:lineRule="auto"/>
    </w:pPr>
    <w:rPr>
      <w:rFonts w:asciiTheme="minorHAnsi" w:eastAsiaTheme="minorHAnsi" w:hAnsiTheme="minorHAnsi" w:cstheme="minorBidi"/>
    </w:rPr>
    <w:tblPr>
      <w:tblStyleRowBandSize w:val="1"/>
      <w:tblStyleColBandSize w:val="1"/>
      <w:tblBorders>
        <w:top w:val="single" w:sz="4" w:space="0" w:color="E6E6E6" w:themeColor="accent3"/>
        <w:left w:val="single" w:sz="4" w:space="0" w:color="E6E6E6" w:themeColor="accent3"/>
        <w:bottom w:val="single" w:sz="4" w:space="0" w:color="E6E6E6" w:themeColor="accent3"/>
        <w:right w:val="single" w:sz="4" w:space="0" w:color="E6E6E6" w:themeColor="accent3"/>
      </w:tblBorders>
    </w:tblPr>
    <w:tblStylePr w:type="firstRow">
      <w:rPr>
        <w:b/>
        <w:bCs/>
        <w:color w:val="000000" w:themeColor="background1"/>
      </w:rPr>
      <w:tblPr/>
      <w:tcPr>
        <w:shd w:val="clear" w:color="auto" w:fill="E6E6E6" w:themeFill="accent3"/>
      </w:tcPr>
    </w:tblStylePr>
    <w:tblStylePr w:type="lastRow">
      <w:rPr>
        <w:b/>
        <w:bCs/>
      </w:rPr>
      <w:tblPr/>
      <w:tcPr>
        <w:tcBorders>
          <w:top w:val="double" w:sz="4" w:space="0" w:color="E6E6E6" w:themeColor="accent3"/>
        </w:tcBorders>
        <w:shd w:val="clear" w:color="auto" w:fill="000000" w:themeFill="background1"/>
      </w:tcPr>
    </w:tblStylePr>
    <w:tblStylePr w:type="firstCol">
      <w:rPr>
        <w:b/>
        <w:bCs/>
      </w:rPr>
      <w:tblPr/>
      <w:tcPr>
        <w:tcBorders>
          <w:right w:val="nil"/>
        </w:tcBorders>
        <w:shd w:val="clear" w:color="auto" w:fill="000000" w:themeFill="background1"/>
      </w:tcPr>
    </w:tblStylePr>
    <w:tblStylePr w:type="lastCol">
      <w:rPr>
        <w:b/>
        <w:bCs/>
      </w:rPr>
      <w:tblPr/>
      <w:tcPr>
        <w:tcBorders>
          <w:left w:val="nil"/>
        </w:tcBorders>
        <w:shd w:val="clear" w:color="auto" w:fill="000000" w:themeFill="background1"/>
      </w:tcPr>
    </w:tblStylePr>
    <w:tblStylePr w:type="band1Vert">
      <w:tblPr/>
      <w:tcPr>
        <w:tcBorders>
          <w:left w:val="single" w:sz="4" w:space="0" w:color="E6E6E6" w:themeColor="accent3"/>
          <w:right w:val="single" w:sz="4" w:space="0" w:color="E6E6E6" w:themeColor="accent3"/>
        </w:tcBorders>
      </w:tcPr>
    </w:tblStylePr>
    <w:tblStylePr w:type="band1Horz">
      <w:tblPr/>
      <w:tcPr>
        <w:tcBorders>
          <w:top w:val="single" w:sz="4" w:space="0" w:color="E6E6E6" w:themeColor="accent3"/>
          <w:bottom w:val="single" w:sz="4" w:space="0" w:color="E6E6E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E6E6" w:themeColor="accent3"/>
          <w:left w:val="nil"/>
        </w:tcBorders>
      </w:tcPr>
    </w:tblStylePr>
    <w:tblStylePr w:type="swCell">
      <w:tblPr/>
      <w:tcPr>
        <w:tcBorders>
          <w:top w:val="double" w:sz="4" w:space="0" w:color="E6E6E6" w:themeColor="accent3"/>
          <w:right w:val="nil"/>
        </w:tcBorders>
      </w:tcPr>
    </w:tblStylePr>
  </w:style>
  <w:style w:type="paragraph" w:styleId="ListBullet3">
    <w:name w:val="List Bullet 3"/>
    <w:basedOn w:val="Normal"/>
    <w:uiPriority w:val="99"/>
    <w:semiHidden/>
    <w:unhideWhenUsed/>
    <w:rsid w:val="001C6A24"/>
    <w:pPr>
      <w:numPr>
        <w:numId w:val="27"/>
      </w:numPr>
      <w:contextualSpacing/>
    </w:pPr>
  </w:style>
  <w:style w:type="table" w:styleId="GridTable1Light">
    <w:name w:val="Grid Table 1 Light"/>
    <w:basedOn w:val="TableNormal"/>
    <w:uiPriority w:val="46"/>
    <w:rsid w:val="00274D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9A5C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val="0"/>
        <w:bCs/>
        <w:color w:val="000000"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val="0"/>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005FB4"/>
    <w:pPr>
      <w:autoSpaceDE w:val="0"/>
      <w:autoSpaceDN w:val="0"/>
      <w:adjustRightInd w:val="0"/>
      <w:spacing w:after="0" w:line="240" w:lineRule="auto"/>
    </w:pPr>
    <w:rPr>
      <w:rFonts w:ascii="Palatino Linotype" w:hAnsi="Palatino Linotype" w:cs="Palatino Linotype"/>
      <w:color w:val="000000"/>
      <w:sz w:val="24"/>
      <w:szCs w:val="24"/>
    </w:rPr>
  </w:style>
  <w:style w:type="table" w:styleId="GridTable6Colorful">
    <w:name w:val="Grid Table 6 Colorful"/>
    <w:basedOn w:val="TableNormal"/>
    <w:uiPriority w:val="51"/>
    <w:rsid w:val="004F2F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4F2F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3B6C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val="0"/>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val="0"/>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292E4C"/>
    <w:rPr>
      <w:color w:val="605E5C"/>
      <w:shd w:val="clear" w:color="auto" w:fill="E1DFDD"/>
    </w:rPr>
  </w:style>
  <w:style w:type="character" w:styleId="FollowedHyperlink">
    <w:name w:val="FollowedHyperlink"/>
    <w:basedOn w:val="DefaultParagraphFont"/>
    <w:uiPriority w:val="99"/>
    <w:semiHidden/>
    <w:unhideWhenUsed/>
    <w:rsid w:val="007B6DBC"/>
    <w:rPr>
      <w:color w:val="800080" w:themeColor="followedHyperlink"/>
      <w:u w:val="single"/>
    </w:rPr>
  </w:style>
  <w:style w:type="paragraph" w:styleId="Revision">
    <w:name w:val="Revision"/>
    <w:hidden/>
    <w:uiPriority w:val="99"/>
    <w:semiHidden/>
    <w:rsid w:val="00922031"/>
    <w:pPr>
      <w:spacing w:after="0" w:line="240" w:lineRule="auto"/>
    </w:pPr>
    <w:rPr>
      <w:rFonts w:ascii="Book Antiqua" w:hAnsi="Book Antiqua"/>
    </w:rPr>
  </w:style>
  <w:style w:type="paragraph" w:customStyle="1" w:styleId="Pa4">
    <w:name w:val="Pa4"/>
    <w:basedOn w:val="Default"/>
    <w:next w:val="Default"/>
    <w:uiPriority w:val="99"/>
    <w:rsid w:val="00FE5FF7"/>
    <w:pPr>
      <w:spacing w:line="201" w:lineRule="atLeast"/>
    </w:pPr>
    <w:rPr>
      <w:rFonts w:ascii="Proxima Nova" w:hAnsi="Proxima Nova" w:cs="Times New Roman"/>
      <w:color w:val="auto"/>
    </w:rPr>
  </w:style>
  <w:style w:type="paragraph" w:customStyle="1" w:styleId="Pa18">
    <w:name w:val="Pa18"/>
    <w:basedOn w:val="Default"/>
    <w:next w:val="Default"/>
    <w:uiPriority w:val="99"/>
    <w:rsid w:val="005F6C99"/>
    <w:pPr>
      <w:spacing w:line="201" w:lineRule="atLeast"/>
    </w:pPr>
    <w:rPr>
      <w:rFonts w:ascii="Proxima Nova" w:hAnsi="Proxima Nova" w:cs="Times New Roman"/>
      <w:color w:val="auto"/>
    </w:rPr>
  </w:style>
  <w:style w:type="character" w:customStyle="1" w:styleId="A6">
    <w:name w:val="A6"/>
    <w:uiPriority w:val="99"/>
    <w:rsid w:val="00B05D40"/>
    <w:rPr>
      <w:rFonts w:ascii="Proxima Nova Black" w:hAnsi="Proxima Nova Black" w:cs="Proxima Nova Black"/>
      <w:b/>
      <w:bCs/>
      <w:color w:val="000000"/>
      <w:sz w:val="48"/>
      <w:szCs w:val="48"/>
    </w:rPr>
  </w:style>
  <w:style w:type="character" w:styleId="UnresolvedMention">
    <w:name w:val="Unresolved Mention"/>
    <w:basedOn w:val="DefaultParagraphFont"/>
    <w:uiPriority w:val="99"/>
    <w:semiHidden/>
    <w:unhideWhenUsed/>
    <w:rsid w:val="005E072F"/>
    <w:rPr>
      <w:color w:val="605E5C"/>
      <w:shd w:val="clear" w:color="auto" w:fill="E1DFDD"/>
    </w:rPr>
  </w:style>
  <w:style w:type="paragraph" w:styleId="ListNumber">
    <w:name w:val="List Number"/>
    <w:basedOn w:val="Normal"/>
    <w:rsid w:val="0003093F"/>
    <w:pPr>
      <w:numPr>
        <w:numId w:val="25"/>
      </w:numPr>
      <w:tabs>
        <w:tab w:val="left" w:pos="2250"/>
      </w:tabs>
      <w:ind w:left="360"/>
    </w:pPr>
    <w:rPr>
      <w:rFonts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387">
      <w:bodyDiv w:val="1"/>
      <w:marLeft w:val="0"/>
      <w:marRight w:val="0"/>
      <w:marTop w:val="0"/>
      <w:marBottom w:val="0"/>
      <w:divBdr>
        <w:top w:val="none" w:sz="0" w:space="0" w:color="auto"/>
        <w:left w:val="none" w:sz="0" w:space="0" w:color="auto"/>
        <w:bottom w:val="none" w:sz="0" w:space="0" w:color="auto"/>
        <w:right w:val="none" w:sz="0" w:space="0" w:color="auto"/>
      </w:divBdr>
    </w:div>
    <w:div w:id="110975644">
      <w:bodyDiv w:val="1"/>
      <w:marLeft w:val="0"/>
      <w:marRight w:val="0"/>
      <w:marTop w:val="0"/>
      <w:marBottom w:val="0"/>
      <w:divBdr>
        <w:top w:val="none" w:sz="0" w:space="0" w:color="auto"/>
        <w:left w:val="none" w:sz="0" w:space="0" w:color="auto"/>
        <w:bottom w:val="none" w:sz="0" w:space="0" w:color="auto"/>
        <w:right w:val="none" w:sz="0" w:space="0" w:color="auto"/>
      </w:divBdr>
    </w:div>
    <w:div w:id="210311964">
      <w:bodyDiv w:val="1"/>
      <w:marLeft w:val="0"/>
      <w:marRight w:val="0"/>
      <w:marTop w:val="0"/>
      <w:marBottom w:val="0"/>
      <w:divBdr>
        <w:top w:val="none" w:sz="0" w:space="0" w:color="auto"/>
        <w:left w:val="none" w:sz="0" w:space="0" w:color="auto"/>
        <w:bottom w:val="none" w:sz="0" w:space="0" w:color="auto"/>
        <w:right w:val="none" w:sz="0" w:space="0" w:color="auto"/>
      </w:divBdr>
    </w:div>
    <w:div w:id="438527201">
      <w:bodyDiv w:val="1"/>
      <w:marLeft w:val="0"/>
      <w:marRight w:val="0"/>
      <w:marTop w:val="0"/>
      <w:marBottom w:val="0"/>
      <w:divBdr>
        <w:top w:val="none" w:sz="0" w:space="0" w:color="auto"/>
        <w:left w:val="none" w:sz="0" w:space="0" w:color="auto"/>
        <w:bottom w:val="none" w:sz="0" w:space="0" w:color="auto"/>
        <w:right w:val="none" w:sz="0" w:space="0" w:color="auto"/>
      </w:divBdr>
      <w:divsChild>
        <w:div w:id="2082948241">
          <w:marLeft w:val="432"/>
          <w:marRight w:val="0"/>
          <w:marTop w:val="360"/>
          <w:marBottom w:val="0"/>
          <w:divBdr>
            <w:top w:val="none" w:sz="0" w:space="0" w:color="auto"/>
            <w:left w:val="none" w:sz="0" w:space="0" w:color="auto"/>
            <w:bottom w:val="none" w:sz="0" w:space="0" w:color="auto"/>
            <w:right w:val="none" w:sz="0" w:space="0" w:color="auto"/>
          </w:divBdr>
        </w:div>
      </w:divsChild>
    </w:div>
    <w:div w:id="521474008">
      <w:bodyDiv w:val="1"/>
      <w:marLeft w:val="0"/>
      <w:marRight w:val="0"/>
      <w:marTop w:val="0"/>
      <w:marBottom w:val="0"/>
      <w:divBdr>
        <w:top w:val="none" w:sz="0" w:space="0" w:color="auto"/>
        <w:left w:val="none" w:sz="0" w:space="0" w:color="auto"/>
        <w:bottom w:val="none" w:sz="0" w:space="0" w:color="auto"/>
        <w:right w:val="none" w:sz="0" w:space="0" w:color="auto"/>
      </w:divBdr>
      <w:divsChild>
        <w:div w:id="1530681911">
          <w:marLeft w:val="432"/>
          <w:marRight w:val="0"/>
          <w:marTop w:val="360"/>
          <w:marBottom w:val="0"/>
          <w:divBdr>
            <w:top w:val="none" w:sz="0" w:space="0" w:color="auto"/>
            <w:left w:val="none" w:sz="0" w:space="0" w:color="auto"/>
            <w:bottom w:val="none" w:sz="0" w:space="0" w:color="auto"/>
            <w:right w:val="none" w:sz="0" w:space="0" w:color="auto"/>
          </w:divBdr>
        </w:div>
      </w:divsChild>
    </w:div>
    <w:div w:id="542063777">
      <w:bodyDiv w:val="1"/>
      <w:marLeft w:val="0"/>
      <w:marRight w:val="0"/>
      <w:marTop w:val="0"/>
      <w:marBottom w:val="0"/>
      <w:divBdr>
        <w:top w:val="none" w:sz="0" w:space="0" w:color="auto"/>
        <w:left w:val="none" w:sz="0" w:space="0" w:color="auto"/>
        <w:bottom w:val="none" w:sz="0" w:space="0" w:color="auto"/>
        <w:right w:val="none" w:sz="0" w:space="0" w:color="auto"/>
      </w:divBdr>
    </w:div>
    <w:div w:id="648439716">
      <w:bodyDiv w:val="1"/>
      <w:marLeft w:val="0"/>
      <w:marRight w:val="0"/>
      <w:marTop w:val="0"/>
      <w:marBottom w:val="0"/>
      <w:divBdr>
        <w:top w:val="none" w:sz="0" w:space="0" w:color="auto"/>
        <w:left w:val="none" w:sz="0" w:space="0" w:color="auto"/>
        <w:bottom w:val="none" w:sz="0" w:space="0" w:color="auto"/>
        <w:right w:val="none" w:sz="0" w:space="0" w:color="auto"/>
      </w:divBdr>
    </w:div>
    <w:div w:id="719213601">
      <w:bodyDiv w:val="1"/>
      <w:marLeft w:val="0"/>
      <w:marRight w:val="0"/>
      <w:marTop w:val="0"/>
      <w:marBottom w:val="0"/>
      <w:divBdr>
        <w:top w:val="none" w:sz="0" w:space="0" w:color="auto"/>
        <w:left w:val="none" w:sz="0" w:space="0" w:color="auto"/>
        <w:bottom w:val="none" w:sz="0" w:space="0" w:color="auto"/>
        <w:right w:val="none" w:sz="0" w:space="0" w:color="auto"/>
      </w:divBdr>
      <w:divsChild>
        <w:div w:id="240407588">
          <w:marLeft w:val="360"/>
          <w:marRight w:val="0"/>
          <w:marTop w:val="200"/>
          <w:marBottom w:val="0"/>
          <w:divBdr>
            <w:top w:val="none" w:sz="0" w:space="0" w:color="auto"/>
            <w:left w:val="none" w:sz="0" w:space="0" w:color="auto"/>
            <w:bottom w:val="none" w:sz="0" w:space="0" w:color="auto"/>
            <w:right w:val="none" w:sz="0" w:space="0" w:color="auto"/>
          </w:divBdr>
        </w:div>
        <w:div w:id="371468902">
          <w:marLeft w:val="360"/>
          <w:marRight w:val="0"/>
          <w:marTop w:val="200"/>
          <w:marBottom w:val="0"/>
          <w:divBdr>
            <w:top w:val="none" w:sz="0" w:space="0" w:color="auto"/>
            <w:left w:val="none" w:sz="0" w:space="0" w:color="auto"/>
            <w:bottom w:val="none" w:sz="0" w:space="0" w:color="auto"/>
            <w:right w:val="none" w:sz="0" w:space="0" w:color="auto"/>
          </w:divBdr>
        </w:div>
        <w:div w:id="493448042">
          <w:marLeft w:val="360"/>
          <w:marRight w:val="0"/>
          <w:marTop w:val="200"/>
          <w:marBottom w:val="0"/>
          <w:divBdr>
            <w:top w:val="none" w:sz="0" w:space="0" w:color="auto"/>
            <w:left w:val="none" w:sz="0" w:space="0" w:color="auto"/>
            <w:bottom w:val="none" w:sz="0" w:space="0" w:color="auto"/>
            <w:right w:val="none" w:sz="0" w:space="0" w:color="auto"/>
          </w:divBdr>
        </w:div>
        <w:div w:id="643201201">
          <w:marLeft w:val="1080"/>
          <w:marRight w:val="0"/>
          <w:marTop w:val="100"/>
          <w:marBottom w:val="0"/>
          <w:divBdr>
            <w:top w:val="none" w:sz="0" w:space="0" w:color="auto"/>
            <w:left w:val="none" w:sz="0" w:space="0" w:color="auto"/>
            <w:bottom w:val="none" w:sz="0" w:space="0" w:color="auto"/>
            <w:right w:val="none" w:sz="0" w:space="0" w:color="auto"/>
          </w:divBdr>
        </w:div>
        <w:div w:id="1099452362">
          <w:marLeft w:val="1080"/>
          <w:marRight w:val="0"/>
          <w:marTop w:val="100"/>
          <w:marBottom w:val="0"/>
          <w:divBdr>
            <w:top w:val="none" w:sz="0" w:space="0" w:color="auto"/>
            <w:left w:val="none" w:sz="0" w:space="0" w:color="auto"/>
            <w:bottom w:val="none" w:sz="0" w:space="0" w:color="auto"/>
            <w:right w:val="none" w:sz="0" w:space="0" w:color="auto"/>
          </w:divBdr>
        </w:div>
        <w:div w:id="2013990593">
          <w:marLeft w:val="1080"/>
          <w:marRight w:val="0"/>
          <w:marTop w:val="100"/>
          <w:marBottom w:val="0"/>
          <w:divBdr>
            <w:top w:val="none" w:sz="0" w:space="0" w:color="auto"/>
            <w:left w:val="none" w:sz="0" w:space="0" w:color="auto"/>
            <w:bottom w:val="none" w:sz="0" w:space="0" w:color="auto"/>
            <w:right w:val="none" w:sz="0" w:space="0" w:color="auto"/>
          </w:divBdr>
        </w:div>
        <w:div w:id="2103798094">
          <w:marLeft w:val="1080"/>
          <w:marRight w:val="0"/>
          <w:marTop w:val="100"/>
          <w:marBottom w:val="0"/>
          <w:divBdr>
            <w:top w:val="none" w:sz="0" w:space="0" w:color="auto"/>
            <w:left w:val="none" w:sz="0" w:space="0" w:color="auto"/>
            <w:bottom w:val="none" w:sz="0" w:space="0" w:color="auto"/>
            <w:right w:val="none" w:sz="0" w:space="0" w:color="auto"/>
          </w:divBdr>
        </w:div>
      </w:divsChild>
    </w:div>
    <w:div w:id="924192285">
      <w:bodyDiv w:val="1"/>
      <w:marLeft w:val="0"/>
      <w:marRight w:val="0"/>
      <w:marTop w:val="0"/>
      <w:marBottom w:val="0"/>
      <w:divBdr>
        <w:top w:val="none" w:sz="0" w:space="0" w:color="auto"/>
        <w:left w:val="none" w:sz="0" w:space="0" w:color="auto"/>
        <w:bottom w:val="none" w:sz="0" w:space="0" w:color="auto"/>
        <w:right w:val="none" w:sz="0" w:space="0" w:color="auto"/>
      </w:divBdr>
    </w:div>
    <w:div w:id="1001128044">
      <w:bodyDiv w:val="1"/>
      <w:marLeft w:val="0"/>
      <w:marRight w:val="0"/>
      <w:marTop w:val="0"/>
      <w:marBottom w:val="0"/>
      <w:divBdr>
        <w:top w:val="none" w:sz="0" w:space="0" w:color="auto"/>
        <w:left w:val="none" w:sz="0" w:space="0" w:color="auto"/>
        <w:bottom w:val="none" w:sz="0" w:space="0" w:color="auto"/>
        <w:right w:val="none" w:sz="0" w:space="0" w:color="auto"/>
      </w:divBdr>
      <w:divsChild>
        <w:div w:id="80494958">
          <w:marLeft w:val="1080"/>
          <w:marRight w:val="0"/>
          <w:marTop w:val="100"/>
          <w:marBottom w:val="0"/>
          <w:divBdr>
            <w:top w:val="none" w:sz="0" w:space="0" w:color="auto"/>
            <w:left w:val="none" w:sz="0" w:space="0" w:color="auto"/>
            <w:bottom w:val="none" w:sz="0" w:space="0" w:color="auto"/>
            <w:right w:val="none" w:sz="0" w:space="0" w:color="auto"/>
          </w:divBdr>
        </w:div>
        <w:div w:id="249890704">
          <w:marLeft w:val="1080"/>
          <w:marRight w:val="0"/>
          <w:marTop w:val="100"/>
          <w:marBottom w:val="0"/>
          <w:divBdr>
            <w:top w:val="none" w:sz="0" w:space="0" w:color="auto"/>
            <w:left w:val="none" w:sz="0" w:space="0" w:color="auto"/>
            <w:bottom w:val="none" w:sz="0" w:space="0" w:color="auto"/>
            <w:right w:val="none" w:sz="0" w:space="0" w:color="auto"/>
          </w:divBdr>
        </w:div>
        <w:div w:id="1523477511">
          <w:marLeft w:val="360"/>
          <w:marRight w:val="0"/>
          <w:marTop w:val="200"/>
          <w:marBottom w:val="0"/>
          <w:divBdr>
            <w:top w:val="none" w:sz="0" w:space="0" w:color="auto"/>
            <w:left w:val="none" w:sz="0" w:space="0" w:color="auto"/>
            <w:bottom w:val="none" w:sz="0" w:space="0" w:color="auto"/>
            <w:right w:val="none" w:sz="0" w:space="0" w:color="auto"/>
          </w:divBdr>
        </w:div>
        <w:div w:id="1709334692">
          <w:marLeft w:val="1080"/>
          <w:marRight w:val="0"/>
          <w:marTop w:val="100"/>
          <w:marBottom w:val="0"/>
          <w:divBdr>
            <w:top w:val="none" w:sz="0" w:space="0" w:color="auto"/>
            <w:left w:val="none" w:sz="0" w:space="0" w:color="auto"/>
            <w:bottom w:val="none" w:sz="0" w:space="0" w:color="auto"/>
            <w:right w:val="none" w:sz="0" w:space="0" w:color="auto"/>
          </w:divBdr>
        </w:div>
        <w:div w:id="1970088733">
          <w:marLeft w:val="1080"/>
          <w:marRight w:val="0"/>
          <w:marTop w:val="100"/>
          <w:marBottom w:val="0"/>
          <w:divBdr>
            <w:top w:val="none" w:sz="0" w:space="0" w:color="auto"/>
            <w:left w:val="none" w:sz="0" w:space="0" w:color="auto"/>
            <w:bottom w:val="none" w:sz="0" w:space="0" w:color="auto"/>
            <w:right w:val="none" w:sz="0" w:space="0" w:color="auto"/>
          </w:divBdr>
        </w:div>
        <w:div w:id="1994722627">
          <w:marLeft w:val="360"/>
          <w:marRight w:val="0"/>
          <w:marTop w:val="200"/>
          <w:marBottom w:val="0"/>
          <w:divBdr>
            <w:top w:val="none" w:sz="0" w:space="0" w:color="auto"/>
            <w:left w:val="none" w:sz="0" w:space="0" w:color="auto"/>
            <w:bottom w:val="none" w:sz="0" w:space="0" w:color="auto"/>
            <w:right w:val="none" w:sz="0" w:space="0" w:color="auto"/>
          </w:divBdr>
        </w:div>
        <w:div w:id="2074311762">
          <w:marLeft w:val="1080"/>
          <w:marRight w:val="0"/>
          <w:marTop w:val="100"/>
          <w:marBottom w:val="0"/>
          <w:divBdr>
            <w:top w:val="none" w:sz="0" w:space="0" w:color="auto"/>
            <w:left w:val="none" w:sz="0" w:space="0" w:color="auto"/>
            <w:bottom w:val="none" w:sz="0" w:space="0" w:color="auto"/>
            <w:right w:val="none" w:sz="0" w:space="0" w:color="auto"/>
          </w:divBdr>
        </w:div>
      </w:divsChild>
    </w:div>
    <w:div w:id="1011876193">
      <w:bodyDiv w:val="1"/>
      <w:marLeft w:val="0"/>
      <w:marRight w:val="0"/>
      <w:marTop w:val="0"/>
      <w:marBottom w:val="0"/>
      <w:divBdr>
        <w:top w:val="none" w:sz="0" w:space="0" w:color="auto"/>
        <w:left w:val="none" w:sz="0" w:space="0" w:color="auto"/>
        <w:bottom w:val="none" w:sz="0" w:space="0" w:color="auto"/>
        <w:right w:val="none" w:sz="0" w:space="0" w:color="auto"/>
      </w:divBdr>
    </w:div>
    <w:div w:id="1070422886">
      <w:bodyDiv w:val="1"/>
      <w:marLeft w:val="0"/>
      <w:marRight w:val="0"/>
      <w:marTop w:val="0"/>
      <w:marBottom w:val="0"/>
      <w:divBdr>
        <w:top w:val="none" w:sz="0" w:space="0" w:color="auto"/>
        <w:left w:val="none" w:sz="0" w:space="0" w:color="auto"/>
        <w:bottom w:val="none" w:sz="0" w:space="0" w:color="auto"/>
        <w:right w:val="none" w:sz="0" w:space="0" w:color="auto"/>
      </w:divBdr>
    </w:div>
    <w:div w:id="1156923105">
      <w:bodyDiv w:val="1"/>
      <w:marLeft w:val="0"/>
      <w:marRight w:val="0"/>
      <w:marTop w:val="0"/>
      <w:marBottom w:val="0"/>
      <w:divBdr>
        <w:top w:val="none" w:sz="0" w:space="0" w:color="auto"/>
        <w:left w:val="none" w:sz="0" w:space="0" w:color="auto"/>
        <w:bottom w:val="none" w:sz="0" w:space="0" w:color="auto"/>
        <w:right w:val="none" w:sz="0" w:space="0" w:color="auto"/>
      </w:divBdr>
    </w:div>
    <w:div w:id="1349260567">
      <w:bodyDiv w:val="1"/>
      <w:marLeft w:val="0"/>
      <w:marRight w:val="0"/>
      <w:marTop w:val="0"/>
      <w:marBottom w:val="0"/>
      <w:divBdr>
        <w:top w:val="none" w:sz="0" w:space="0" w:color="auto"/>
        <w:left w:val="none" w:sz="0" w:space="0" w:color="auto"/>
        <w:bottom w:val="none" w:sz="0" w:space="0" w:color="auto"/>
        <w:right w:val="none" w:sz="0" w:space="0" w:color="auto"/>
      </w:divBdr>
    </w:div>
    <w:div w:id="1709455720">
      <w:bodyDiv w:val="1"/>
      <w:marLeft w:val="0"/>
      <w:marRight w:val="0"/>
      <w:marTop w:val="0"/>
      <w:marBottom w:val="0"/>
      <w:divBdr>
        <w:top w:val="none" w:sz="0" w:space="0" w:color="auto"/>
        <w:left w:val="none" w:sz="0" w:space="0" w:color="auto"/>
        <w:bottom w:val="none" w:sz="0" w:space="0" w:color="auto"/>
        <w:right w:val="none" w:sz="0" w:space="0" w:color="auto"/>
      </w:divBdr>
      <w:divsChild>
        <w:div w:id="131749595">
          <w:marLeft w:val="1080"/>
          <w:marRight w:val="0"/>
          <w:marTop w:val="100"/>
          <w:marBottom w:val="0"/>
          <w:divBdr>
            <w:top w:val="none" w:sz="0" w:space="0" w:color="auto"/>
            <w:left w:val="none" w:sz="0" w:space="0" w:color="auto"/>
            <w:bottom w:val="none" w:sz="0" w:space="0" w:color="auto"/>
            <w:right w:val="none" w:sz="0" w:space="0" w:color="auto"/>
          </w:divBdr>
        </w:div>
        <w:div w:id="155345271">
          <w:marLeft w:val="1080"/>
          <w:marRight w:val="0"/>
          <w:marTop w:val="100"/>
          <w:marBottom w:val="0"/>
          <w:divBdr>
            <w:top w:val="none" w:sz="0" w:space="0" w:color="auto"/>
            <w:left w:val="none" w:sz="0" w:space="0" w:color="auto"/>
            <w:bottom w:val="none" w:sz="0" w:space="0" w:color="auto"/>
            <w:right w:val="none" w:sz="0" w:space="0" w:color="auto"/>
          </w:divBdr>
        </w:div>
        <w:div w:id="1025014484">
          <w:marLeft w:val="1080"/>
          <w:marRight w:val="0"/>
          <w:marTop w:val="100"/>
          <w:marBottom w:val="0"/>
          <w:divBdr>
            <w:top w:val="none" w:sz="0" w:space="0" w:color="auto"/>
            <w:left w:val="none" w:sz="0" w:space="0" w:color="auto"/>
            <w:bottom w:val="none" w:sz="0" w:space="0" w:color="auto"/>
            <w:right w:val="none" w:sz="0" w:space="0" w:color="auto"/>
          </w:divBdr>
        </w:div>
        <w:div w:id="1387874869">
          <w:marLeft w:val="1080"/>
          <w:marRight w:val="0"/>
          <w:marTop w:val="100"/>
          <w:marBottom w:val="0"/>
          <w:divBdr>
            <w:top w:val="none" w:sz="0" w:space="0" w:color="auto"/>
            <w:left w:val="none" w:sz="0" w:space="0" w:color="auto"/>
            <w:bottom w:val="none" w:sz="0" w:space="0" w:color="auto"/>
            <w:right w:val="none" w:sz="0" w:space="0" w:color="auto"/>
          </w:divBdr>
        </w:div>
        <w:div w:id="1503424182">
          <w:marLeft w:val="1080"/>
          <w:marRight w:val="0"/>
          <w:marTop w:val="100"/>
          <w:marBottom w:val="0"/>
          <w:divBdr>
            <w:top w:val="none" w:sz="0" w:space="0" w:color="auto"/>
            <w:left w:val="none" w:sz="0" w:space="0" w:color="auto"/>
            <w:bottom w:val="none" w:sz="0" w:space="0" w:color="auto"/>
            <w:right w:val="none" w:sz="0" w:space="0" w:color="auto"/>
          </w:divBdr>
        </w:div>
      </w:divsChild>
    </w:div>
    <w:div w:id="174675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805">
          <w:marLeft w:val="1080"/>
          <w:marRight w:val="0"/>
          <w:marTop w:val="100"/>
          <w:marBottom w:val="0"/>
          <w:divBdr>
            <w:top w:val="none" w:sz="0" w:space="0" w:color="auto"/>
            <w:left w:val="none" w:sz="0" w:space="0" w:color="auto"/>
            <w:bottom w:val="none" w:sz="0" w:space="0" w:color="auto"/>
            <w:right w:val="none" w:sz="0" w:space="0" w:color="auto"/>
          </w:divBdr>
        </w:div>
        <w:div w:id="309750196">
          <w:marLeft w:val="1080"/>
          <w:marRight w:val="0"/>
          <w:marTop w:val="100"/>
          <w:marBottom w:val="0"/>
          <w:divBdr>
            <w:top w:val="none" w:sz="0" w:space="0" w:color="auto"/>
            <w:left w:val="none" w:sz="0" w:space="0" w:color="auto"/>
            <w:bottom w:val="none" w:sz="0" w:space="0" w:color="auto"/>
            <w:right w:val="none" w:sz="0" w:space="0" w:color="auto"/>
          </w:divBdr>
        </w:div>
        <w:div w:id="571240000">
          <w:marLeft w:val="1080"/>
          <w:marRight w:val="0"/>
          <w:marTop w:val="100"/>
          <w:marBottom w:val="0"/>
          <w:divBdr>
            <w:top w:val="none" w:sz="0" w:space="0" w:color="auto"/>
            <w:left w:val="none" w:sz="0" w:space="0" w:color="auto"/>
            <w:bottom w:val="none" w:sz="0" w:space="0" w:color="auto"/>
            <w:right w:val="none" w:sz="0" w:space="0" w:color="auto"/>
          </w:divBdr>
        </w:div>
        <w:div w:id="636765263">
          <w:marLeft w:val="1800"/>
          <w:marRight w:val="0"/>
          <w:marTop w:val="100"/>
          <w:marBottom w:val="0"/>
          <w:divBdr>
            <w:top w:val="none" w:sz="0" w:space="0" w:color="auto"/>
            <w:left w:val="none" w:sz="0" w:space="0" w:color="auto"/>
            <w:bottom w:val="none" w:sz="0" w:space="0" w:color="auto"/>
            <w:right w:val="none" w:sz="0" w:space="0" w:color="auto"/>
          </w:divBdr>
        </w:div>
        <w:div w:id="1245262437">
          <w:marLeft w:val="1080"/>
          <w:marRight w:val="0"/>
          <w:marTop w:val="100"/>
          <w:marBottom w:val="0"/>
          <w:divBdr>
            <w:top w:val="none" w:sz="0" w:space="0" w:color="auto"/>
            <w:left w:val="none" w:sz="0" w:space="0" w:color="auto"/>
            <w:bottom w:val="none" w:sz="0" w:space="0" w:color="auto"/>
            <w:right w:val="none" w:sz="0" w:space="0" w:color="auto"/>
          </w:divBdr>
        </w:div>
        <w:div w:id="1439442974">
          <w:marLeft w:val="360"/>
          <w:marRight w:val="0"/>
          <w:marTop w:val="200"/>
          <w:marBottom w:val="0"/>
          <w:divBdr>
            <w:top w:val="none" w:sz="0" w:space="0" w:color="auto"/>
            <w:left w:val="none" w:sz="0" w:space="0" w:color="auto"/>
            <w:bottom w:val="none" w:sz="0" w:space="0" w:color="auto"/>
            <w:right w:val="none" w:sz="0" w:space="0" w:color="auto"/>
          </w:divBdr>
        </w:div>
        <w:div w:id="1745687476">
          <w:marLeft w:val="1800"/>
          <w:marRight w:val="0"/>
          <w:marTop w:val="100"/>
          <w:marBottom w:val="0"/>
          <w:divBdr>
            <w:top w:val="none" w:sz="0" w:space="0" w:color="auto"/>
            <w:left w:val="none" w:sz="0" w:space="0" w:color="auto"/>
            <w:bottom w:val="none" w:sz="0" w:space="0" w:color="auto"/>
            <w:right w:val="none" w:sz="0" w:space="0" w:color="auto"/>
          </w:divBdr>
        </w:div>
      </w:divsChild>
    </w:div>
    <w:div w:id="1788770729">
      <w:bodyDiv w:val="1"/>
      <w:marLeft w:val="0"/>
      <w:marRight w:val="0"/>
      <w:marTop w:val="0"/>
      <w:marBottom w:val="0"/>
      <w:divBdr>
        <w:top w:val="none" w:sz="0" w:space="0" w:color="auto"/>
        <w:left w:val="none" w:sz="0" w:space="0" w:color="auto"/>
        <w:bottom w:val="none" w:sz="0" w:space="0" w:color="auto"/>
        <w:right w:val="none" w:sz="0" w:space="0" w:color="auto"/>
      </w:divBdr>
    </w:div>
    <w:div w:id="1823621563">
      <w:bodyDiv w:val="1"/>
      <w:marLeft w:val="0"/>
      <w:marRight w:val="0"/>
      <w:marTop w:val="0"/>
      <w:marBottom w:val="0"/>
      <w:divBdr>
        <w:top w:val="none" w:sz="0" w:space="0" w:color="auto"/>
        <w:left w:val="none" w:sz="0" w:space="0" w:color="auto"/>
        <w:bottom w:val="none" w:sz="0" w:space="0" w:color="auto"/>
        <w:right w:val="none" w:sz="0" w:space="0" w:color="auto"/>
      </w:divBdr>
    </w:div>
    <w:div w:id="20167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fdotwww.blob.core.windows.net/sitefinity/docs/default-source/safety/11a-safetyengineering/fhwa-reports-plans/hsip-2021---report.pdf?sfvrsn=3b86a611_2" TargetMode="External"/><Relationship Id="rId3" Type="http://schemas.openxmlformats.org/officeDocument/2006/relationships/styles" Target="styles.xml"/><Relationship Id="rId21" Type="http://schemas.openxmlformats.org/officeDocument/2006/relationships/image" Target="media/image8.tmp"/><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fdotwww.blob.core.windows.net/sitefinity/docs/default-source/safety/6-resources/florida-hsip-manual-v2021-f-(2021-08-12).pdf?sfvrsn=960bbf43_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dotwww.blob.core.windows.net/sitefinity/docs/default-source/safety/11a-safetyengineering/fhwa-reports-plans/2022-hsip-implementation-plan_august-2022_final.pdf?sfvrsn=4bf94921_2" TargetMode="External"/><Relationship Id="rId20" Type="http://schemas.openxmlformats.org/officeDocument/2006/relationships/image" Target="media/image7.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fdot.gov/environment/pubs/pdeman/pdeman-curr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1" Type="http://schemas.openxmlformats.org/officeDocument/2006/relationships/image" Target="media/image9.jpeg"/></Relationships>
</file>

<file path=word/_rels/footnotes.xml.rels><?xml version="1.0" encoding="UTF-8" standalone="yes"?>
<Relationships xmlns="http://schemas.openxmlformats.org/package/2006/relationships"><Relationship Id="rId8" Type="http://schemas.openxmlformats.org/officeDocument/2006/relationships/hyperlink" Target="https://www.mympo.org/m/mandates/tip" TargetMode="External"/><Relationship Id="rId13" Type="http://schemas.openxmlformats.org/officeDocument/2006/relationships/hyperlink" Target="https://planhillsborough.org/wp-content/uploads/2022/09/TIP-FY23-27-9-19-22.pdf" TargetMode="External"/><Relationship Id="rId3" Type="http://schemas.openxmlformats.org/officeDocument/2006/relationships/hyperlink" Target="https://www.mympo.org/m/mandates/tip" TargetMode="External"/><Relationship Id="rId7" Type="http://schemas.openxmlformats.org/officeDocument/2006/relationships/hyperlink" Target="https://www.browardmpo.org/images/WhatWeDo/TIP/2023_TIP/Final%20TIP%20FY%2023-27_7-14-2022.pdf" TargetMode="External"/><Relationship Id="rId12" Type="http://schemas.openxmlformats.org/officeDocument/2006/relationships/hyperlink" Target="https://www.r2ctpo.org/wp-content/uploads/FY-2022-23-to-FY-2026-27-TIP-Roll-Forward-Amendment-August-2022.pdf" TargetMode="External"/><Relationship Id="rId17" Type="http://schemas.openxmlformats.org/officeDocument/2006/relationships/hyperlink" Target="https://www.r2ctpo.org/wp-content/uploads/FY-2022-23-to-FY-2026-27-TIP-Roll-Forward-Amendment-August-2022.pdf" TargetMode="External"/><Relationship Id="rId2" Type="http://schemas.openxmlformats.org/officeDocument/2006/relationships/hyperlink" Target="https://www.r2ctpo.org/wp-content/uploads/FY-2022-23-to-FY-2026-27-TIP-Roll-Forward-Amendment-August-2022.pdf" TargetMode="External"/><Relationship Id="rId16" Type="http://schemas.openxmlformats.org/officeDocument/2006/relationships/hyperlink" Target="https://www.r2ctpo.org/wp-content/uploads/FY-2022-23-to-FY-2026-27-TIP-Roll-Forward-Amendment-August-2022.pdf" TargetMode="External"/><Relationship Id="rId1" Type="http://schemas.openxmlformats.org/officeDocument/2006/relationships/hyperlink" Target="https://planhillsborough.org/wp-content/uploads/2022/09/TIP-FY23-27-9-19-22.pdf" TargetMode="External"/><Relationship Id="rId6" Type="http://schemas.openxmlformats.org/officeDocument/2006/relationships/hyperlink" Target="https://www.r2ctpo.org/wp-content/uploads/FY-2022-23-to-FY-2026-27-TIP-Roll-Forward-Amendment-August-2022.pdf" TargetMode="External"/><Relationship Id="rId11" Type="http://schemas.openxmlformats.org/officeDocument/2006/relationships/hyperlink" Target="https://forwardpinellas.org/document-portal/current-transportation-improvement-program/" TargetMode="External"/><Relationship Id="rId5" Type="http://schemas.openxmlformats.org/officeDocument/2006/relationships/hyperlink" Target="https://metroplanorlando.org/wp-content/uploads/Transportation-Improvement-Program-TIP-2023-2027-Revised-10-27-2022.pdf" TargetMode="External"/><Relationship Id="rId15" Type="http://schemas.openxmlformats.org/officeDocument/2006/relationships/hyperlink" Target="https://www.fdot.gov/transit/default.shtm" TargetMode="External"/><Relationship Id="rId10" Type="http://schemas.openxmlformats.org/officeDocument/2006/relationships/hyperlink" Target="https://www.spacecoasttpo.com/what-we-do/planning/core-work-products/transportation-improvement-program" TargetMode="External"/><Relationship Id="rId4" Type="http://schemas.openxmlformats.org/officeDocument/2006/relationships/hyperlink" Target="https://www.browardmpo.org/images/WhatWeDo/TIP/2023_TIP/Final%20TIP%20FY%2023-27_7-14-2022.pdf" TargetMode="External"/><Relationship Id="rId9" Type="http://schemas.openxmlformats.org/officeDocument/2006/relationships/hyperlink" Target="https://forwardpinellas.org/programs/transportation-improvement-program/" TargetMode="External"/><Relationship Id="rId14" Type="http://schemas.openxmlformats.org/officeDocument/2006/relationships/hyperlink" Target="https://www.r2ctpo.org/wp-content/uploads/FY-2022-23-to-FY-2026-27-TIP-Roll-Forward-Amendment-August-2022.pdf" TargetMode="External"/></Relationships>
</file>

<file path=word/theme/theme1.xml><?xml version="1.0" encoding="utf-8"?>
<a:theme xmlns:a="http://schemas.openxmlformats.org/drawingml/2006/main" name="Office Theme">
  <a:themeElements>
    <a:clrScheme name="Custom 106">
      <a:dk1>
        <a:srgbClr val="000000"/>
      </a:dk1>
      <a:lt1>
        <a:srgbClr val="000000"/>
      </a:lt1>
      <a:dk2>
        <a:srgbClr val="FFFFFF"/>
      </a:dk2>
      <a:lt2>
        <a:srgbClr val="FFFFFF"/>
      </a:lt2>
      <a:accent1>
        <a:srgbClr val="3CB6E7"/>
      </a:accent1>
      <a:accent2>
        <a:srgbClr val="C00000"/>
      </a:accent2>
      <a:accent3>
        <a:srgbClr val="E6E6E6"/>
      </a:accent3>
      <a:accent4>
        <a:srgbClr val="6CB443"/>
      </a:accent4>
      <a:accent5>
        <a:srgbClr val="DCE7D6"/>
      </a:accent5>
      <a:accent6>
        <a:srgbClr val="C2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F1BEE-83DB-48FE-B13E-2F1AE4A2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14917</Words>
  <Characters>85029</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2023-01-25T12:35:00Z</dcterms:created>
  <dcterms:modified xsi:type="dcterms:W3CDTF">2023-02-23T14:58:00Z</dcterms:modified>
</cp:coreProperties>
</file>