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263E1" w14:textId="4D6B642D" w:rsidR="00860092" w:rsidRDefault="005A7B33" w:rsidP="0011019A">
      <w:pPr>
        <w:pStyle w:val="CoverTitle"/>
        <w:spacing w:after="1680" w:line="240" w:lineRule="auto"/>
        <w:jc w:val="center"/>
      </w:pPr>
      <w:r w:rsidRPr="001227EA">
        <w:rPr>
          <w:sz w:val="44"/>
          <w:szCs w:val="44"/>
        </w:rPr>
        <w:t>P</w:t>
      </w:r>
      <w:r w:rsidRPr="001227EA">
        <w:rPr>
          <w:caps w:val="0"/>
          <w:sz w:val="44"/>
          <w:szCs w:val="44"/>
        </w:rPr>
        <w:t>erformance Management Template</w:t>
      </w:r>
      <w:r w:rsidR="001227EA" w:rsidRPr="001227EA">
        <w:rPr>
          <w:caps w:val="0"/>
          <w:sz w:val="44"/>
          <w:szCs w:val="44"/>
        </w:rPr>
        <w:t>:</w:t>
      </w:r>
      <w:r w:rsidR="0011019A">
        <w:rPr>
          <w:caps w:val="0"/>
          <w:sz w:val="44"/>
          <w:szCs w:val="44"/>
        </w:rPr>
        <w:br/>
      </w:r>
      <w:r w:rsidR="00025ED9" w:rsidRPr="001B4DF4">
        <w:rPr>
          <w:caps w:val="0"/>
          <w:sz w:val="40"/>
          <w:szCs w:val="40"/>
        </w:rPr>
        <w:t>M</w:t>
      </w:r>
      <w:r w:rsidR="001B4DF4" w:rsidRPr="001B4DF4">
        <w:rPr>
          <w:caps w:val="0"/>
          <w:sz w:val="40"/>
          <w:szCs w:val="40"/>
        </w:rPr>
        <w:t>PO Transportation Improvement Program (TIP)</w:t>
      </w:r>
    </w:p>
    <w:p w14:paraId="53112F3B" w14:textId="3869D266" w:rsidR="00E86B8F" w:rsidRDefault="00864C0E" w:rsidP="00AB5ADD">
      <w:pPr>
        <w:pStyle w:val="CoverTitle2"/>
        <w:spacing w:after="0" w:line="240" w:lineRule="auto"/>
        <w:ind w:right="-90"/>
        <w:jc w:val="right"/>
      </w:pPr>
      <w:r>
        <w:t>March</w:t>
      </w:r>
      <w:r w:rsidR="00DA030C">
        <w:t xml:space="preserve"> </w:t>
      </w:r>
      <w:r w:rsidR="00EA2CFB">
        <w:t>202</w:t>
      </w:r>
      <w:r w:rsidR="003373AF">
        <w:t>6</w:t>
      </w:r>
      <w:r w:rsidR="00EA2CFB">
        <w:t xml:space="preserve"> </w:t>
      </w:r>
      <w:r w:rsidR="00DA030C">
        <w:t>Update</w:t>
      </w:r>
    </w:p>
    <w:p w14:paraId="554DDCD9" w14:textId="77777777" w:rsidR="00F80D22" w:rsidRDefault="00F80D22">
      <w:pPr>
        <w:sectPr w:rsidR="00F80D22" w:rsidSect="00CE49E8">
          <w:headerReference w:type="default" r:id="rId11"/>
          <w:footerReference w:type="default" r:id="rId12"/>
          <w:headerReference w:type="first" r:id="rId13"/>
          <w:pgSz w:w="12240" w:h="15840" w:code="1"/>
          <w:pgMar w:top="1440" w:right="1440" w:bottom="1440" w:left="1440" w:header="720" w:footer="720" w:gutter="0"/>
          <w:cols w:space="720"/>
          <w:titlePg/>
          <w:docGrid w:linePitch="360"/>
        </w:sectPr>
      </w:pPr>
    </w:p>
    <w:p w14:paraId="15933389" w14:textId="175AC13E" w:rsidR="003544F9" w:rsidRDefault="0014711F" w:rsidP="003E5417">
      <w:pPr>
        <w:pStyle w:val="TOCHead"/>
        <w:spacing w:after="120"/>
      </w:pPr>
      <w:r>
        <w:lastRenderedPageBreak/>
        <w:t>Contents</w:t>
      </w:r>
    </w:p>
    <w:p w14:paraId="7FEB58F1" w14:textId="15243EBD" w:rsidR="00AB5ADD" w:rsidRDefault="00AB5ADD">
      <w:pPr>
        <w:pStyle w:val="TOC1"/>
        <w:rPr>
          <w:rFonts w:asciiTheme="minorHAnsi" w:eastAsiaTheme="minorEastAsia" w:hAnsiTheme="minorHAnsi" w:cstheme="minorBidi"/>
          <w:b w:val="0"/>
          <w:kern w:val="2"/>
          <w:sz w:val="24"/>
          <w:szCs w:val="24"/>
          <w14:ligatures w14:val="standardContextual"/>
        </w:rPr>
      </w:pPr>
      <w:r>
        <w:rPr>
          <w:rFonts w:asciiTheme="minorHAnsi" w:eastAsiaTheme="minorEastAsia" w:hAnsiTheme="minorHAnsi"/>
          <w:sz w:val="22"/>
          <w:lang w:eastAsia="zh-CN"/>
        </w:rPr>
        <w:fldChar w:fldCharType="begin"/>
      </w:r>
      <w:r>
        <w:rPr>
          <w:rFonts w:asciiTheme="minorHAnsi" w:eastAsiaTheme="minorEastAsia" w:hAnsiTheme="minorHAnsi"/>
          <w:sz w:val="22"/>
          <w:lang w:eastAsia="zh-CN"/>
        </w:rPr>
        <w:instrText xml:space="preserve"> TOC \o "1-1" \h \z \u </w:instrText>
      </w:r>
      <w:r>
        <w:rPr>
          <w:rFonts w:asciiTheme="minorHAnsi" w:eastAsiaTheme="minorEastAsia" w:hAnsiTheme="minorHAnsi"/>
          <w:sz w:val="22"/>
          <w:lang w:eastAsia="zh-CN"/>
        </w:rPr>
        <w:fldChar w:fldCharType="separate"/>
      </w:r>
      <w:hyperlink w:anchor="_Toc225334701" w:history="1">
        <w:r w:rsidRPr="00712EBC">
          <w:rPr>
            <w:rStyle w:val="Hyperlink"/>
          </w:rPr>
          <w:t>Background</w:t>
        </w:r>
        <w:r>
          <w:rPr>
            <w:webHidden/>
          </w:rPr>
          <w:tab/>
        </w:r>
        <w:r>
          <w:rPr>
            <w:webHidden/>
          </w:rPr>
          <w:fldChar w:fldCharType="begin"/>
        </w:r>
        <w:r>
          <w:rPr>
            <w:webHidden/>
          </w:rPr>
          <w:instrText xml:space="preserve"> PAGEREF _Toc225334701 \h </w:instrText>
        </w:r>
        <w:r>
          <w:rPr>
            <w:webHidden/>
          </w:rPr>
        </w:r>
        <w:r>
          <w:rPr>
            <w:webHidden/>
          </w:rPr>
          <w:fldChar w:fldCharType="separate"/>
        </w:r>
        <w:r w:rsidR="00B354C8">
          <w:rPr>
            <w:webHidden/>
          </w:rPr>
          <w:t>1</w:t>
        </w:r>
        <w:r>
          <w:rPr>
            <w:webHidden/>
          </w:rPr>
          <w:fldChar w:fldCharType="end"/>
        </w:r>
      </w:hyperlink>
    </w:p>
    <w:p w14:paraId="02C00BDE" w14:textId="2ED29879" w:rsidR="00AB5ADD" w:rsidRDefault="00AB5ADD">
      <w:pPr>
        <w:pStyle w:val="TOC1"/>
        <w:rPr>
          <w:rFonts w:asciiTheme="minorHAnsi" w:eastAsiaTheme="minorEastAsia" w:hAnsiTheme="minorHAnsi" w:cstheme="minorBidi"/>
          <w:b w:val="0"/>
          <w:kern w:val="2"/>
          <w:sz w:val="24"/>
          <w:szCs w:val="24"/>
          <w14:ligatures w14:val="standardContextual"/>
        </w:rPr>
      </w:pPr>
      <w:hyperlink w:anchor="_Toc225334702" w:history="1">
        <w:r w:rsidRPr="00712EBC">
          <w:rPr>
            <w:rStyle w:val="Hyperlink"/>
          </w:rPr>
          <w:t>Statewide Targets</w:t>
        </w:r>
        <w:r>
          <w:rPr>
            <w:webHidden/>
          </w:rPr>
          <w:tab/>
        </w:r>
        <w:r>
          <w:rPr>
            <w:webHidden/>
          </w:rPr>
          <w:fldChar w:fldCharType="begin"/>
        </w:r>
        <w:r>
          <w:rPr>
            <w:webHidden/>
          </w:rPr>
          <w:instrText xml:space="preserve"> PAGEREF _Toc225334702 \h </w:instrText>
        </w:r>
        <w:r>
          <w:rPr>
            <w:webHidden/>
          </w:rPr>
        </w:r>
        <w:r>
          <w:rPr>
            <w:webHidden/>
          </w:rPr>
          <w:fldChar w:fldCharType="separate"/>
        </w:r>
        <w:r w:rsidR="00B354C8">
          <w:rPr>
            <w:webHidden/>
          </w:rPr>
          <w:t>2</w:t>
        </w:r>
        <w:r>
          <w:rPr>
            <w:webHidden/>
          </w:rPr>
          <w:fldChar w:fldCharType="end"/>
        </w:r>
      </w:hyperlink>
    </w:p>
    <w:p w14:paraId="1C93EFEF" w14:textId="310F8F83" w:rsidR="00AB5ADD" w:rsidRDefault="00AB5ADD">
      <w:pPr>
        <w:pStyle w:val="TOC1"/>
        <w:rPr>
          <w:rFonts w:asciiTheme="minorHAnsi" w:eastAsiaTheme="minorEastAsia" w:hAnsiTheme="minorHAnsi" w:cstheme="minorBidi"/>
          <w:b w:val="0"/>
          <w:kern w:val="2"/>
          <w:sz w:val="24"/>
          <w:szCs w:val="24"/>
          <w14:ligatures w14:val="standardContextual"/>
        </w:rPr>
      </w:pPr>
      <w:hyperlink w:anchor="_Toc225334703" w:history="1">
        <w:r w:rsidRPr="00712EBC">
          <w:rPr>
            <w:rStyle w:val="Hyperlink"/>
          </w:rPr>
          <w:t>1.0</w:t>
        </w:r>
        <w:r>
          <w:rPr>
            <w:rFonts w:asciiTheme="minorHAnsi" w:eastAsiaTheme="minorEastAsia" w:hAnsiTheme="minorHAnsi" w:cstheme="minorBidi"/>
            <w:b w:val="0"/>
            <w:kern w:val="2"/>
            <w:sz w:val="24"/>
            <w:szCs w:val="24"/>
            <w14:ligatures w14:val="standardContextual"/>
          </w:rPr>
          <w:tab/>
        </w:r>
        <w:r w:rsidRPr="00712EBC">
          <w:rPr>
            <w:rStyle w:val="Hyperlink"/>
          </w:rPr>
          <w:t>Investments in the TIP</w:t>
        </w:r>
        <w:r>
          <w:rPr>
            <w:webHidden/>
          </w:rPr>
          <w:tab/>
        </w:r>
        <w:r>
          <w:rPr>
            <w:webHidden/>
          </w:rPr>
          <w:fldChar w:fldCharType="begin"/>
        </w:r>
        <w:r>
          <w:rPr>
            <w:webHidden/>
          </w:rPr>
          <w:instrText xml:space="preserve"> PAGEREF _Toc225334703 \h </w:instrText>
        </w:r>
        <w:r>
          <w:rPr>
            <w:webHidden/>
          </w:rPr>
        </w:r>
        <w:r>
          <w:rPr>
            <w:webHidden/>
          </w:rPr>
          <w:fldChar w:fldCharType="separate"/>
        </w:r>
        <w:r w:rsidR="00B354C8">
          <w:rPr>
            <w:webHidden/>
          </w:rPr>
          <w:t>3</w:t>
        </w:r>
        <w:r>
          <w:rPr>
            <w:webHidden/>
          </w:rPr>
          <w:fldChar w:fldCharType="end"/>
        </w:r>
      </w:hyperlink>
    </w:p>
    <w:p w14:paraId="726864B6" w14:textId="7810A4FF" w:rsidR="00AB5ADD" w:rsidRDefault="00AB5ADD">
      <w:pPr>
        <w:pStyle w:val="TOC1"/>
        <w:rPr>
          <w:rFonts w:asciiTheme="minorHAnsi" w:eastAsiaTheme="minorEastAsia" w:hAnsiTheme="minorHAnsi" w:cstheme="minorBidi"/>
          <w:b w:val="0"/>
          <w:kern w:val="2"/>
          <w:sz w:val="24"/>
          <w:szCs w:val="24"/>
          <w14:ligatures w14:val="standardContextual"/>
        </w:rPr>
      </w:pPr>
      <w:hyperlink w:anchor="_Toc225334704" w:history="1">
        <w:r w:rsidRPr="00712EBC">
          <w:rPr>
            <w:rStyle w:val="Hyperlink"/>
          </w:rPr>
          <w:t>2.0</w:t>
        </w:r>
        <w:r>
          <w:rPr>
            <w:rFonts w:asciiTheme="minorHAnsi" w:eastAsiaTheme="minorEastAsia" w:hAnsiTheme="minorHAnsi" w:cstheme="minorBidi"/>
            <w:b w:val="0"/>
            <w:kern w:val="2"/>
            <w:sz w:val="24"/>
            <w:szCs w:val="24"/>
            <w14:ligatures w14:val="standardContextual"/>
          </w:rPr>
          <w:tab/>
        </w:r>
        <w:r w:rsidRPr="00712EBC">
          <w:rPr>
            <w:rStyle w:val="Hyperlink"/>
          </w:rPr>
          <w:t>Highway Safety Measures (PM1)</w:t>
        </w:r>
        <w:r>
          <w:rPr>
            <w:webHidden/>
          </w:rPr>
          <w:tab/>
        </w:r>
        <w:r>
          <w:rPr>
            <w:webHidden/>
          </w:rPr>
          <w:fldChar w:fldCharType="begin"/>
        </w:r>
        <w:r>
          <w:rPr>
            <w:webHidden/>
          </w:rPr>
          <w:instrText xml:space="preserve"> PAGEREF _Toc225334704 \h </w:instrText>
        </w:r>
        <w:r>
          <w:rPr>
            <w:webHidden/>
          </w:rPr>
        </w:r>
        <w:r>
          <w:rPr>
            <w:webHidden/>
          </w:rPr>
          <w:fldChar w:fldCharType="separate"/>
        </w:r>
        <w:r w:rsidR="00B354C8">
          <w:rPr>
            <w:webHidden/>
          </w:rPr>
          <w:t>4</w:t>
        </w:r>
        <w:r>
          <w:rPr>
            <w:webHidden/>
          </w:rPr>
          <w:fldChar w:fldCharType="end"/>
        </w:r>
      </w:hyperlink>
    </w:p>
    <w:p w14:paraId="29EC9680" w14:textId="7F3B7F82" w:rsidR="00AB5ADD" w:rsidRDefault="00AB5ADD">
      <w:pPr>
        <w:pStyle w:val="TOC1"/>
        <w:rPr>
          <w:rFonts w:asciiTheme="minorHAnsi" w:eastAsiaTheme="minorEastAsia" w:hAnsiTheme="minorHAnsi" w:cstheme="minorBidi"/>
          <w:b w:val="0"/>
          <w:kern w:val="2"/>
          <w:sz w:val="24"/>
          <w:szCs w:val="24"/>
          <w14:ligatures w14:val="standardContextual"/>
        </w:rPr>
      </w:pPr>
      <w:hyperlink w:anchor="_Toc225334705" w:history="1">
        <w:r w:rsidRPr="00712EBC">
          <w:rPr>
            <w:rStyle w:val="Hyperlink"/>
          </w:rPr>
          <w:t>3.0</w:t>
        </w:r>
        <w:r>
          <w:rPr>
            <w:rFonts w:asciiTheme="minorHAnsi" w:eastAsiaTheme="minorEastAsia" w:hAnsiTheme="minorHAnsi" w:cstheme="minorBidi"/>
            <w:b w:val="0"/>
            <w:kern w:val="2"/>
            <w:sz w:val="24"/>
            <w:szCs w:val="24"/>
            <w14:ligatures w14:val="standardContextual"/>
          </w:rPr>
          <w:tab/>
        </w:r>
        <w:r w:rsidRPr="00712EBC">
          <w:rPr>
            <w:rStyle w:val="Hyperlink"/>
          </w:rPr>
          <w:t>Bridge &amp; Pavement Condition Measures (PM2)</w:t>
        </w:r>
        <w:r>
          <w:rPr>
            <w:webHidden/>
          </w:rPr>
          <w:tab/>
        </w:r>
        <w:r>
          <w:rPr>
            <w:webHidden/>
          </w:rPr>
          <w:fldChar w:fldCharType="begin"/>
        </w:r>
        <w:r>
          <w:rPr>
            <w:webHidden/>
          </w:rPr>
          <w:instrText xml:space="preserve"> PAGEREF _Toc225334705 \h </w:instrText>
        </w:r>
        <w:r>
          <w:rPr>
            <w:webHidden/>
          </w:rPr>
        </w:r>
        <w:r>
          <w:rPr>
            <w:webHidden/>
          </w:rPr>
          <w:fldChar w:fldCharType="separate"/>
        </w:r>
        <w:r w:rsidR="00B354C8">
          <w:rPr>
            <w:webHidden/>
          </w:rPr>
          <w:t>5</w:t>
        </w:r>
        <w:r>
          <w:rPr>
            <w:webHidden/>
          </w:rPr>
          <w:fldChar w:fldCharType="end"/>
        </w:r>
      </w:hyperlink>
    </w:p>
    <w:p w14:paraId="7456740E" w14:textId="58C2F505" w:rsidR="00AB5ADD" w:rsidRDefault="00AB5ADD">
      <w:pPr>
        <w:pStyle w:val="TOC1"/>
        <w:rPr>
          <w:rFonts w:asciiTheme="minorHAnsi" w:eastAsiaTheme="minorEastAsia" w:hAnsiTheme="minorHAnsi" w:cstheme="minorBidi"/>
          <w:b w:val="0"/>
          <w:kern w:val="2"/>
          <w:sz w:val="24"/>
          <w:szCs w:val="24"/>
          <w14:ligatures w14:val="standardContextual"/>
        </w:rPr>
      </w:pPr>
      <w:hyperlink w:anchor="_Toc225334706" w:history="1">
        <w:r w:rsidRPr="00712EBC">
          <w:rPr>
            <w:rStyle w:val="Hyperlink"/>
          </w:rPr>
          <w:t>4.0</w:t>
        </w:r>
        <w:r>
          <w:rPr>
            <w:rFonts w:asciiTheme="minorHAnsi" w:eastAsiaTheme="minorEastAsia" w:hAnsiTheme="minorHAnsi" w:cstheme="minorBidi"/>
            <w:b w:val="0"/>
            <w:kern w:val="2"/>
            <w:sz w:val="24"/>
            <w:szCs w:val="24"/>
            <w14:ligatures w14:val="standardContextual"/>
          </w:rPr>
          <w:tab/>
        </w:r>
        <w:r w:rsidRPr="00712EBC">
          <w:rPr>
            <w:rStyle w:val="Hyperlink"/>
          </w:rPr>
          <w:t>System Performance &amp; Air Quality Improvement Program Measures (PM3)</w:t>
        </w:r>
        <w:r>
          <w:rPr>
            <w:webHidden/>
          </w:rPr>
          <w:tab/>
        </w:r>
        <w:r>
          <w:rPr>
            <w:webHidden/>
          </w:rPr>
          <w:fldChar w:fldCharType="begin"/>
        </w:r>
        <w:r>
          <w:rPr>
            <w:webHidden/>
          </w:rPr>
          <w:instrText xml:space="preserve"> PAGEREF _Toc225334706 \h </w:instrText>
        </w:r>
        <w:r>
          <w:rPr>
            <w:webHidden/>
          </w:rPr>
        </w:r>
        <w:r>
          <w:rPr>
            <w:webHidden/>
          </w:rPr>
          <w:fldChar w:fldCharType="separate"/>
        </w:r>
        <w:r w:rsidR="00B354C8">
          <w:rPr>
            <w:webHidden/>
          </w:rPr>
          <w:t>7</w:t>
        </w:r>
        <w:r>
          <w:rPr>
            <w:webHidden/>
          </w:rPr>
          <w:fldChar w:fldCharType="end"/>
        </w:r>
      </w:hyperlink>
    </w:p>
    <w:p w14:paraId="33AF28D5" w14:textId="5E83936B" w:rsidR="00AB5ADD" w:rsidRDefault="00AB5ADD">
      <w:pPr>
        <w:pStyle w:val="TOC1"/>
        <w:rPr>
          <w:rFonts w:asciiTheme="minorHAnsi" w:eastAsiaTheme="minorEastAsia" w:hAnsiTheme="minorHAnsi" w:cstheme="minorBidi"/>
          <w:b w:val="0"/>
          <w:kern w:val="2"/>
          <w:sz w:val="24"/>
          <w:szCs w:val="24"/>
          <w14:ligatures w14:val="standardContextual"/>
        </w:rPr>
      </w:pPr>
      <w:hyperlink w:anchor="_Toc225334707" w:history="1">
        <w:r w:rsidRPr="00712EBC">
          <w:rPr>
            <w:rStyle w:val="Hyperlink"/>
          </w:rPr>
          <w:t>5.0</w:t>
        </w:r>
        <w:r>
          <w:rPr>
            <w:rFonts w:asciiTheme="minorHAnsi" w:eastAsiaTheme="minorEastAsia" w:hAnsiTheme="minorHAnsi" w:cstheme="minorBidi"/>
            <w:b w:val="0"/>
            <w:kern w:val="2"/>
            <w:sz w:val="24"/>
            <w:szCs w:val="24"/>
            <w14:ligatures w14:val="standardContextual"/>
          </w:rPr>
          <w:tab/>
        </w:r>
        <w:r w:rsidRPr="00712EBC">
          <w:rPr>
            <w:rStyle w:val="Hyperlink"/>
          </w:rPr>
          <w:t>Transit Asset Management Measures</w:t>
        </w:r>
        <w:r>
          <w:rPr>
            <w:webHidden/>
          </w:rPr>
          <w:tab/>
        </w:r>
        <w:r>
          <w:rPr>
            <w:webHidden/>
          </w:rPr>
          <w:fldChar w:fldCharType="begin"/>
        </w:r>
        <w:r>
          <w:rPr>
            <w:webHidden/>
          </w:rPr>
          <w:instrText xml:space="preserve"> PAGEREF _Toc225334707 \h </w:instrText>
        </w:r>
        <w:r>
          <w:rPr>
            <w:webHidden/>
          </w:rPr>
        </w:r>
        <w:r>
          <w:rPr>
            <w:webHidden/>
          </w:rPr>
          <w:fldChar w:fldCharType="separate"/>
        </w:r>
        <w:r w:rsidR="00B354C8">
          <w:rPr>
            <w:webHidden/>
          </w:rPr>
          <w:t>9</w:t>
        </w:r>
        <w:r>
          <w:rPr>
            <w:webHidden/>
          </w:rPr>
          <w:fldChar w:fldCharType="end"/>
        </w:r>
      </w:hyperlink>
    </w:p>
    <w:p w14:paraId="61BE5502" w14:textId="456EECA0" w:rsidR="00AB5ADD" w:rsidRDefault="00AB5ADD">
      <w:pPr>
        <w:pStyle w:val="TOC1"/>
        <w:rPr>
          <w:rFonts w:asciiTheme="minorHAnsi" w:eastAsiaTheme="minorEastAsia" w:hAnsiTheme="minorHAnsi" w:cstheme="minorBidi"/>
          <w:b w:val="0"/>
          <w:kern w:val="2"/>
          <w:sz w:val="24"/>
          <w:szCs w:val="24"/>
          <w14:ligatures w14:val="standardContextual"/>
        </w:rPr>
      </w:pPr>
      <w:hyperlink w:anchor="_Toc225334708" w:history="1">
        <w:r w:rsidRPr="00712EBC">
          <w:rPr>
            <w:rStyle w:val="Hyperlink"/>
          </w:rPr>
          <w:t>6.0</w:t>
        </w:r>
        <w:r>
          <w:rPr>
            <w:rFonts w:asciiTheme="minorHAnsi" w:eastAsiaTheme="minorEastAsia" w:hAnsiTheme="minorHAnsi" w:cstheme="minorBidi"/>
            <w:b w:val="0"/>
            <w:kern w:val="2"/>
            <w:sz w:val="24"/>
            <w:szCs w:val="24"/>
            <w14:ligatures w14:val="standardContextual"/>
          </w:rPr>
          <w:tab/>
        </w:r>
        <w:r w:rsidRPr="00712EBC">
          <w:rPr>
            <w:rStyle w:val="Hyperlink"/>
          </w:rPr>
          <w:t>Transit Safety Performance Measures</w:t>
        </w:r>
        <w:r>
          <w:rPr>
            <w:webHidden/>
          </w:rPr>
          <w:tab/>
        </w:r>
        <w:r>
          <w:rPr>
            <w:webHidden/>
          </w:rPr>
          <w:fldChar w:fldCharType="begin"/>
        </w:r>
        <w:r>
          <w:rPr>
            <w:webHidden/>
          </w:rPr>
          <w:instrText xml:space="preserve"> PAGEREF _Toc225334708 \h </w:instrText>
        </w:r>
        <w:r>
          <w:rPr>
            <w:webHidden/>
          </w:rPr>
        </w:r>
        <w:r>
          <w:rPr>
            <w:webHidden/>
          </w:rPr>
          <w:fldChar w:fldCharType="separate"/>
        </w:r>
        <w:r w:rsidR="00B354C8">
          <w:rPr>
            <w:webHidden/>
          </w:rPr>
          <w:t>13</w:t>
        </w:r>
        <w:r>
          <w:rPr>
            <w:webHidden/>
          </w:rPr>
          <w:fldChar w:fldCharType="end"/>
        </w:r>
      </w:hyperlink>
    </w:p>
    <w:p w14:paraId="7A17969A" w14:textId="7FFF7B5E" w:rsidR="008F4255" w:rsidRDefault="00AB5ADD" w:rsidP="003E5417">
      <w:pPr>
        <w:pStyle w:val="TOCHead"/>
        <w:rPr>
          <w:rFonts w:asciiTheme="minorHAnsi" w:eastAsiaTheme="minorEastAsia" w:hAnsiTheme="minorHAnsi" w:cs="Times New Roman"/>
          <w:noProof/>
          <w:kern w:val="0"/>
          <w:sz w:val="22"/>
          <w:szCs w:val="20"/>
          <w:lang w:eastAsia="zh-CN"/>
          <w14:ligatures w14:val="none"/>
        </w:rPr>
      </w:pPr>
      <w:r>
        <w:rPr>
          <w:rFonts w:asciiTheme="minorHAnsi" w:eastAsiaTheme="minorEastAsia" w:hAnsiTheme="minorHAnsi" w:cs="Times New Roman"/>
          <w:noProof/>
          <w:color w:val="auto"/>
          <w:kern w:val="0"/>
          <w:sz w:val="22"/>
          <w:szCs w:val="20"/>
          <w:lang w:eastAsia="zh-CN"/>
          <w14:ligatures w14:val="none"/>
        </w:rPr>
        <w:fldChar w:fldCharType="end"/>
      </w:r>
    </w:p>
    <w:p w14:paraId="74476AD2" w14:textId="77777777" w:rsidR="008F4255" w:rsidRDefault="008F4255" w:rsidP="003E5417">
      <w:pPr>
        <w:pStyle w:val="TOCHead"/>
        <w:rPr>
          <w:rFonts w:asciiTheme="minorHAnsi" w:eastAsiaTheme="minorEastAsia" w:hAnsiTheme="minorHAnsi" w:cs="Times New Roman"/>
          <w:noProof/>
          <w:kern w:val="0"/>
          <w:sz w:val="22"/>
          <w:szCs w:val="20"/>
          <w:lang w:eastAsia="zh-CN"/>
          <w14:ligatures w14:val="none"/>
        </w:rPr>
        <w:sectPr w:rsidR="008F4255" w:rsidSect="00CE49E8">
          <w:headerReference w:type="even" r:id="rId14"/>
          <w:headerReference w:type="default" r:id="rId15"/>
          <w:headerReference w:type="first" r:id="rId16"/>
          <w:footerReference w:type="first" r:id="rId17"/>
          <w:pgSz w:w="12240" w:h="15840" w:code="1"/>
          <w:pgMar w:top="1440" w:right="1440" w:bottom="1440" w:left="1440" w:header="720" w:footer="720" w:gutter="0"/>
          <w:pgNumType w:fmt="lowerRoman" w:start="1"/>
          <w:cols w:space="720"/>
          <w:titlePg/>
          <w:docGrid w:linePitch="360"/>
        </w:sectPr>
      </w:pPr>
    </w:p>
    <w:p w14:paraId="235937DB" w14:textId="52A649F5" w:rsidR="00CD5042" w:rsidRPr="00017E6B" w:rsidRDefault="00CD5042" w:rsidP="00AB5ADD">
      <w:pPr>
        <w:pStyle w:val="Heading1"/>
        <w:numPr>
          <w:ilvl w:val="0"/>
          <w:numId w:val="0"/>
        </w:numPr>
      </w:pPr>
      <w:bookmarkStart w:id="0" w:name="_Toc225334701"/>
      <w:r w:rsidRPr="009911FF">
        <w:lastRenderedPageBreak/>
        <w:t>Background</w:t>
      </w:r>
      <w:bookmarkEnd w:id="0"/>
    </w:p>
    <w:p w14:paraId="1D8DAD1C" w14:textId="2C99A09A" w:rsidR="000D08CC" w:rsidRPr="009911FF" w:rsidRDefault="0030707A" w:rsidP="009911FF">
      <w:pPr>
        <w:pStyle w:val="BodyText"/>
      </w:pPr>
      <w:r w:rsidRPr="009911FF">
        <w:t>Transportation Performance Management (</w:t>
      </w:r>
      <w:r w:rsidR="00FF7182" w:rsidRPr="009911FF">
        <w:t>TPM</w:t>
      </w:r>
      <w:r w:rsidRPr="009911FF">
        <w:t>)</w:t>
      </w:r>
      <w:r w:rsidR="00FF7182" w:rsidRPr="009911FF">
        <w:t xml:space="preserve"> links transportation investments to policy goals by using performance measures and targets to evaluate progress. Federal law mandates state </w:t>
      </w:r>
      <w:r w:rsidR="003834A7" w:rsidRPr="009911FF">
        <w:t>Departments of Transportation (</w:t>
      </w:r>
      <w:r w:rsidR="00FF7182" w:rsidRPr="009911FF">
        <w:t>DOTs</w:t>
      </w:r>
      <w:r w:rsidR="003834A7" w:rsidRPr="009911FF">
        <w:t>)</w:t>
      </w:r>
      <w:r w:rsidR="00FF7182" w:rsidRPr="009911FF">
        <w:t xml:space="preserve">, </w:t>
      </w:r>
      <w:r w:rsidR="00A07D2B" w:rsidRPr="009911FF">
        <w:t>metropolitan planning organizations (</w:t>
      </w:r>
      <w:r w:rsidR="00FF7182" w:rsidRPr="009911FF">
        <w:t>MPOs</w:t>
      </w:r>
      <w:r w:rsidR="00A07D2B" w:rsidRPr="009911FF">
        <w:t>)</w:t>
      </w:r>
      <w:r w:rsidR="00FF7182" w:rsidRPr="009911FF">
        <w:t>, and transit providers to track performance and set data-driven targets</w:t>
      </w:r>
      <w:r w:rsidR="00D8301A" w:rsidRPr="009911FF">
        <w:t xml:space="preserve"> (</w:t>
      </w:r>
      <w:hyperlink r:id="rId18" w:history="1">
        <w:r w:rsidR="00D8301A" w:rsidRPr="009911FF">
          <w:rPr>
            <w:rStyle w:val="Hyperlink"/>
            <w:rFonts w:cs="Calibri"/>
            <w:kern w:val="28"/>
          </w:rPr>
          <w:t>23 CFR 490</w:t>
        </w:r>
      </w:hyperlink>
      <w:r w:rsidR="00D8301A" w:rsidRPr="009911FF">
        <w:t>)</w:t>
      </w:r>
      <w:r w:rsidR="00FF7182" w:rsidRPr="009911FF">
        <w:t xml:space="preserve">. </w:t>
      </w:r>
    </w:p>
    <w:p w14:paraId="47E23DEA" w14:textId="53B3504E" w:rsidR="007C4A1C" w:rsidRDefault="007C4A1C" w:rsidP="009911FF">
      <w:pPr>
        <w:pStyle w:val="BodyText"/>
      </w:pPr>
      <w:hyperlink r:id="rId19" w:history="1">
        <w:r w:rsidRPr="00486407">
          <w:rPr>
            <w:rStyle w:val="Hyperlink"/>
          </w:rPr>
          <w:t xml:space="preserve">Section </w:t>
        </w:r>
        <w:r w:rsidRPr="00486407">
          <w:rPr>
            <w:rStyle w:val="Hyperlink"/>
            <w:rFonts w:asciiTheme="minorHAnsi" w:hAnsiTheme="minorHAnsi"/>
          </w:rPr>
          <w:t>339.175(10)(b)</w:t>
        </w:r>
      </w:hyperlink>
      <w:r w:rsidRPr="00017E6B">
        <w:t xml:space="preserve">, Florida Statutes, </w:t>
      </w:r>
      <w:r w:rsidR="00457D2F" w:rsidRPr="00017E6B">
        <w:t xml:space="preserve">also </w:t>
      </w:r>
      <w:r w:rsidR="006334CD" w:rsidRPr="00017E6B">
        <w:t>requires</w:t>
      </w:r>
      <w:r w:rsidRPr="00017E6B">
        <w:t xml:space="preserve"> F</w:t>
      </w:r>
      <w:r w:rsidR="00A07D2B" w:rsidRPr="00017E6B">
        <w:t xml:space="preserve">lorida </w:t>
      </w:r>
      <w:r w:rsidRPr="00017E6B">
        <w:t>DOT</w:t>
      </w:r>
      <w:r w:rsidR="00A07D2B" w:rsidRPr="00017E6B">
        <w:t xml:space="preserve"> (FDOT)</w:t>
      </w:r>
      <w:r w:rsidRPr="00017E6B">
        <w:t xml:space="preserve"> to establish quality performance metrics in collaboration with the MPOs. The</w:t>
      </w:r>
      <w:r w:rsidR="00706195" w:rsidRPr="00017E6B">
        <w:t>se</w:t>
      </w:r>
      <w:r w:rsidRPr="00017E6B">
        <w:t xml:space="preserve"> metrics mirror the federal performance measure topics. The</w:t>
      </w:r>
      <w:r w:rsidR="00706195" w:rsidRPr="00017E6B">
        <w:t>refore,</w:t>
      </w:r>
      <w:r w:rsidRPr="00017E6B">
        <w:t xml:space="preserve"> </w:t>
      </w:r>
      <w:r w:rsidR="00706195" w:rsidRPr="00017E6B">
        <w:t xml:space="preserve">only </w:t>
      </w:r>
      <w:r w:rsidRPr="00017E6B">
        <w:t>one set of targets will be needed to meet both federal and state requirements.</w:t>
      </w:r>
    </w:p>
    <w:p w14:paraId="3EEED848" w14:textId="77777777" w:rsidR="00025372" w:rsidRDefault="00C30FF0" w:rsidP="009911FF">
      <w:pPr>
        <w:pStyle w:val="BodyText"/>
      </w:pPr>
      <w:r w:rsidRPr="00017E6B">
        <w:t xml:space="preserve">This document provides language that Florida’s MPOs may </w:t>
      </w:r>
      <w:r w:rsidR="00700C80" w:rsidRPr="00017E6B">
        <w:t xml:space="preserve">adapt as needed when updating their </w:t>
      </w:r>
      <w:r w:rsidRPr="00017E6B">
        <w:t xml:space="preserve">Transportation Improvement Programs (TIPs) to meet </w:t>
      </w:r>
      <w:r w:rsidR="00D564B0" w:rsidRPr="00017E6B">
        <w:t>federal TPM requirements</w:t>
      </w:r>
      <w:r w:rsidRPr="00017E6B">
        <w:t xml:space="preserve">. </w:t>
      </w:r>
    </w:p>
    <w:p w14:paraId="1F529A2F" w14:textId="25C7A38E" w:rsidR="00DA030C" w:rsidRPr="00017E6B" w:rsidRDefault="009F3AC9" w:rsidP="009911FF">
      <w:pPr>
        <w:pStyle w:val="BodyText"/>
      </w:pPr>
      <w:r w:rsidRPr="00017E6B">
        <w:t>Every section outlines the timeline, reporting options, and information to include</w:t>
      </w:r>
      <w:r w:rsidR="00192C9E" w:rsidRPr="00017E6B">
        <w:t xml:space="preserve"> when reporting performance measures in the TIP. </w:t>
      </w:r>
      <w:r w:rsidR="008D61E5" w:rsidRPr="00017E6B">
        <w:t xml:space="preserve">Places to tailor for your MPO </w:t>
      </w:r>
      <w:r w:rsidR="00700C80" w:rsidRPr="00017E6B">
        <w:t>are</w:t>
      </w:r>
      <w:r w:rsidR="008D61E5" w:rsidRPr="00017E6B">
        <w:t xml:space="preserve"> identified </w:t>
      </w:r>
      <w:r w:rsidR="00C217DB" w:rsidRPr="006B0EC9">
        <w:rPr>
          <w:i/>
          <w:iCs/>
        </w:rPr>
        <w:t>[</w:t>
      </w:r>
      <w:r w:rsidR="00F01B94" w:rsidRPr="006B0EC9">
        <w:rPr>
          <w:i/>
          <w:iCs/>
        </w:rPr>
        <w:t xml:space="preserve">in </w:t>
      </w:r>
      <w:r w:rsidR="008D61E5" w:rsidRPr="006B0EC9">
        <w:rPr>
          <w:i/>
          <w:iCs/>
        </w:rPr>
        <w:t>italics with brackets</w:t>
      </w:r>
      <w:r w:rsidR="00C217DB" w:rsidRPr="006B0EC9">
        <w:rPr>
          <w:i/>
          <w:iCs/>
        </w:rPr>
        <w:t>]</w:t>
      </w:r>
      <w:r w:rsidR="008D61E5" w:rsidRPr="006B0EC9">
        <w:rPr>
          <w:i/>
          <w:iCs/>
        </w:rPr>
        <w:t>.</w:t>
      </w:r>
      <w:r w:rsidR="008D61E5" w:rsidRPr="00017E6B">
        <w:t xml:space="preserve"> </w:t>
      </w:r>
    </w:p>
    <w:p w14:paraId="18FA84E3" w14:textId="77777777" w:rsidR="000B02F7" w:rsidRDefault="000B02F7" w:rsidP="009911FF">
      <w:pPr>
        <w:pStyle w:val="Heading1"/>
        <w:sectPr w:rsidR="000B02F7" w:rsidSect="00AB5ADD">
          <w:headerReference w:type="even" r:id="rId20"/>
          <w:headerReference w:type="default" r:id="rId21"/>
          <w:headerReference w:type="first" r:id="rId22"/>
          <w:footerReference w:type="first" r:id="rId23"/>
          <w:pgSz w:w="12240" w:h="15840" w:code="1"/>
          <w:pgMar w:top="1440" w:right="1440" w:bottom="1440" w:left="1440" w:header="720" w:footer="720" w:gutter="0"/>
          <w:pgNumType w:start="1"/>
          <w:cols w:space="720"/>
          <w:titlePg/>
          <w:docGrid w:linePitch="360"/>
        </w:sectPr>
      </w:pPr>
    </w:p>
    <w:p w14:paraId="50E7B013" w14:textId="1528A7B0" w:rsidR="0014344E" w:rsidRPr="006F460F" w:rsidRDefault="00150271" w:rsidP="00AB5ADD">
      <w:pPr>
        <w:pStyle w:val="Heading1"/>
        <w:numPr>
          <w:ilvl w:val="0"/>
          <w:numId w:val="0"/>
        </w:numPr>
      </w:pPr>
      <w:bookmarkStart w:id="1" w:name="_Toc225334702"/>
      <w:r w:rsidRPr="006F460F">
        <w:lastRenderedPageBreak/>
        <w:t>Statewide Targets</w:t>
      </w:r>
      <w:bookmarkEnd w:id="1"/>
    </w:p>
    <w:p w14:paraId="1D49B5EF" w14:textId="2B5BEC2D" w:rsidR="00223500" w:rsidRDefault="00223500" w:rsidP="009911FF">
      <w:pPr>
        <w:pStyle w:val="BodyText"/>
      </w:pPr>
      <w:r w:rsidRPr="004F40BA">
        <w:t>The table</w:t>
      </w:r>
      <w:r w:rsidR="00AF2EF1" w:rsidRPr="004F40BA">
        <w:t>s</w:t>
      </w:r>
      <w:r w:rsidRPr="004F40BA">
        <w:t xml:space="preserve"> </w:t>
      </w:r>
      <w:r w:rsidR="00FD33D1" w:rsidRPr="004F40BA">
        <w:t xml:space="preserve">below </w:t>
      </w:r>
      <w:r w:rsidR="004C0AF8" w:rsidRPr="004F40BA">
        <w:t xml:space="preserve">present the statewide targets for </w:t>
      </w:r>
      <w:r w:rsidR="006F435A" w:rsidRPr="004F40BA">
        <w:t>the federal performance measures.</w:t>
      </w:r>
    </w:p>
    <w:tbl>
      <w:tblPr>
        <w:tblStyle w:val="Style1"/>
        <w:tblW w:w="9360" w:type="dxa"/>
        <w:tblLook w:val="04A0" w:firstRow="1" w:lastRow="0" w:firstColumn="1" w:lastColumn="0" w:noHBand="0" w:noVBand="1"/>
      </w:tblPr>
      <w:tblGrid>
        <w:gridCol w:w="7650"/>
        <w:gridCol w:w="1710"/>
      </w:tblGrid>
      <w:tr w:rsidR="00307233" w:rsidRPr="00F4642E" w14:paraId="179A9156" w14:textId="77777777" w:rsidTr="00B354C8">
        <w:trPr>
          <w:cnfStyle w:val="100000000000" w:firstRow="1" w:lastRow="0" w:firstColumn="0" w:lastColumn="0" w:oddVBand="0" w:evenVBand="0" w:oddHBand="0" w:evenHBand="0" w:firstRowFirstColumn="0" w:firstRowLastColumn="0" w:lastRowFirstColumn="0" w:lastRowLastColumn="0"/>
          <w:trHeight w:val="532"/>
          <w:tblHeader/>
        </w:trPr>
        <w:tc>
          <w:tcPr>
            <w:tcW w:w="7650" w:type="dxa"/>
            <w:vAlign w:val="bottom"/>
          </w:tcPr>
          <w:p w14:paraId="5AA38211" w14:textId="5D182F77" w:rsidR="000B279A" w:rsidRPr="00F4642E" w:rsidRDefault="009911FF" w:rsidP="005C1D75">
            <w:pPr>
              <w:pStyle w:val="TableHead"/>
            </w:pPr>
            <w:r>
              <w:t>Safety Performance Measures (PM1)</w:t>
            </w:r>
          </w:p>
        </w:tc>
        <w:tc>
          <w:tcPr>
            <w:tcW w:w="1710" w:type="dxa"/>
          </w:tcPr>
          <w:p w14:paraId="4DC19C6B" w14:textId="509AE1A7" w:rsidR="000B279A" w:rsidRPr="00F4642E" w:rsidRDefault="000B279A" w:rsidP="005C1D75">
            <w:pPr>
              <w:pStyle w:val="TableHead"/>
              <w:jc w:val="center"/>
            </w:pPr>
            <w:r>
              <w:t>Calendar Year 2026 Target</w:t>
            </w:r>
          </w:p>
        </w:tc>
      </w:tr>
      <w:tr w:rsidR="00307233" w:rsidRPr="00F4642E" w14:paraId="27212C41" w14:textId="77777777" w:rsidTr="00486407">
        <w:trPr>
          <w:trHeight w:val="49"/>
        </w:trPr>
        <w:tc>
          <w:tcPr>
            <w:tcW w:w="7650" w:type="dxa"/>
          </w:tcPr>
          <w:p w14:paraId="1FC64944" w14:textId="77777777" w:rsidR="000B279A" w:rsidRPr="00042121" w:rsidRDefault="000B279A" w:rsidP="005C1D75">
            <w:pPr>
              <w:pStyle w:val="TableText"/>
              <w:rPr>
                <w:sz w:val="22"/>
                <w:szCs w:val="22"/>
              </w:rPr>
            </w:pPr>
            <w:r w:rsidRPr="00042121">
              <w:rPr>
                <w:sz w:val="22"/>
                <w:szCs w:val="22"/>
              </w:rPr>
              <w:t>Number of fatalities</w:t>
            </w:r>
          </w:p>
        </w:tc>
        <w:tc>
          <w:tcPr>
            <w:tcW w:w="1710" w:type="dxa"/>
          </w:tcPr>
          <w:p w14:paraId="14F571F3" w14:textId="77777777" w:rsidR="000B279A" w:rsidRPr="00042121" w:rsidRDefault="000B279A" w:rsidP="005C1D75">
            <w:pPr>
              <w:pStyle w:val="TableText"/>
              <w:jc w:val="center"/>
              <w:rPr>
                <w:sz w:val="22"/>
                <w:szCs w:val="22"/>
              </w:rPr>
            </w:pPr>
            <w:r w:rsidRPr="00042121">
              <w:rPr>
                <w:sz w:val="22"/>
                <w:szCs w:val="22"/>
              </w:rPr>
              <w:t>0</w:t>
            </w:r>
          </w:p>
        </w:tc>
      </w:tr>
      <w:tr w:rsidR="00307233" w:rsidRPr="00F4642E" w14:paraId="0E431D6E" w14:textId="77777777" w:rsidTr="00486407">
        <w:trPr>
          <w:trHeight w:val="49"/>
        </w:trPr>
        <w:tc>
          <w:tcPr>
            <w:tcW w:w="7650" w:type="dxa"/>
          </w:tcPr>
          <w:p w14:paraId="3EAB7D33" w14:textId="77777777" w:rsidR="000B279A" w:rsidRPr="00042121" w:rsidRDefault="000B279A" w:rsidP="005C1D75">
            <w:pPr>
              <w:pStyle w:val="TableText"/>
              <w:rPr>
                <w:sz w:val="22"/>
                <w:szCs w:val="22"/>
              </w:rPr>
            </w:pPr>
            <w:r w:rsidRPr="00042121">
              <w:rPr>
                <w:sz w:val="22"/>
                <w:szCs w:val="22"/>
              </w:rPr>
              <w:t>Rate of fatalities per 100 million vehicle miles traveled (VMT)</w:t>
            </w:r>
          </w:p>
        </w:tc>
        <w:tc>
          <w:tcPr>
            <w:tcW w:w="1710" w:type="dxa"/>
          </w:tcPr>
          <w:p w14:paraId="53EEE139" w14:textId="77777777" w:rsidR="000B279A" w:rsidRPr="00042121" w:rsidRDefault="000B279A" w:rsidP="005C1D75">
            <w:pPr>
              <w:pStyle w:val="TableText"/>
              <w:jc w:val="center"/>
              <w:rPr>
                <w:sz w:val="22"/>
                <w:szCs w:val="22"/>
              </w:rPr>
            </w:pPr>
            <w:r w:rsidRPr="00042121">
              <w:rPr>
                <w:sz w:val="22"/>
                <w:szCs w:val="22"/>
              </w:rPr>
              <w:t>0</w:t>
            </w:r>
          </w:p>
        </w:tc>
      </w:tr>
      <w:tr w:rsidR="00307233" w:rsidRPr="00F4642E" w14:paraId="10B10830" w14:textId="77777777" w:rsidTr="00486407">
        <w:trPr>
          <w:trHeight w:val="49"/>
        </w:trPr>
        <w:tc>
          <w:tcPr>
            <w:tcW w:w="7650" w:type="dxa"/>
          </w:tcPr>
          <w:p w14:paraId="3FCCB0A5" w14:textId="77777777" w:rsidR="000B279A" w:rsidRPr="00042121" w:rsidRDefault="000B279A" w:rsidP="005C1D75">
            <w:pPr>
              <w:pStyle w:val="TableText"/>
              <w:rPr>
                <w:sz w:val="22"/>
                <w:szCs w:val="22"/>
              </w:rPr>
            </w:pPr>
            <w:r w:rsidRPr="00042121">
              <w:rPr>
                <w:sz w:val="22"/>
                <w:szCs w:val="22"/>
              </w:rPr>
              <w:t>Number of serious injuries</w:t>
            </w:r>
          </w:p>
        </w:tc>
        <w:tc>
          <w:tcPr>
            <w:tcW w:w="1710" w:type="dxa"/>
          </w:tcPr>
          <w:p w14:paraId="2AA17FD0" w14:textId="77777777" w:rsidR="000B279A" w:rsidRPr="00042121" w:rsidRDefault="000B279A" w:rsidP="005C1D75">
            <w:pPr>
              <w:pStyle w:val="TableText"/>
              <w:jc w:val="center"/>
              <w:rPr>
                <w:sz w:val="22"/>
                <w:szCs w:val="22"/>
              </w:rPr>
            </w:pPr>
            <w:r w:rsidRPr="00042121">
              <w:rPr>
                <w:sz w:val="22"/>
                <w:szCs w:val="22"/>
              </w:rPr>
              <w:t>0</w:t>
            </w:r>
          </w:p>
        </w:tc>
      </w:tr>
      <w:tr w:rsidR="00307233" w:rsidRPr="00F4642E" w14:paraId="27E9C680" w14:textId="77777777" w:rsidTr="00486407">
        <w:trPr>
          <w:trHeight w:val="49"/>
        </w:trPr>
        <w:tc>
          <w:tcPr>
            <w:tcW w:w="7650" w:type="dxa"/>
          </w:tcPr>
          <w:p w14:paraId="7293C0B2" w14:textId="77777777" w:rsidR="000B279A" w:rsidRPr="00042121" w:rsidRDefault="000B279A" w:rsidP="005C1D75">
            <w:pPr>
              <w:pStyle w:val="TableText"/>
              <w:rPr>
                <w:sz w:val="22"/>
                <w:szCs w:val="22"/>
              </w:rPr>
            </w:pPr>
            <w:r w:rsidRPr="00042121">
              <w:rPr>
                <w:sz w:val="22"/>
                <w:szCs w:val="22"/>
              </w:rPr>
              <w:t>Rate of serious injuries per 100 million vehicle miles traveled (VMT)</w:t>
            </w:r>
          </w:p>
        </w:tc>
        <w:tc>
          <w:tcPr>
            <w:tcW w:w="1710" w:type="dxa"/>
          </w:tcPr>
          <w:p w14:paraId="295473C3" w14:textId="77777777" w:rsidR="000B279A" w:rsidRPr="00042121" w:rsidRDefault="000B279A" w:rsidP="005C1D75">
            <w:pPr>
              <w:pStyle w:val="TableText"/>
              <w:jc w:val="center"/>
              <w:rPr>
                <w:sz w:val="22"/>
                <w:szCs w:val="22"/>
              </w:rPr>
            </w:pPr>
            <w:r w:rsidRPr="00042121">
              <w:rPr>
                <w:sz w:val="22"/>
                <w:szCs w:val="22"/>
              </w:rPr>
              <w:t>0</w:t>
            </w:r>
          </w:p>
        </w:tc>
      </w:tr>
      <w:tr w:rsidR="00307233" w:rsidRPr="00F4642E" w14:paraId="15E83818" w14:textId="77777777" w:rsidTr="00486407">
        <w:trPr>
          <w:trHeight w:val="131"/>
        </w:trPr>
        <w:tc>
          <w:tcPr>
            <w:tcW w:w="7650" w:type="dxa"/>
          </w:tcPr>
          <w:p w14:paraId="4E70DAFD" w14:textId="77777777" w:rsidR="000B279A" w:rsidRPr="00042121" w:rsidRDefault="000B279A" w:rsidP="005C1D75">
            <w:pPr>
              <w:pStyle w:val="TableText"/>
              <w:rPr>
                <w:sz w:val="22"/>
                <w:szCs w:val="22"/>
              </w:rPr>
            </w:pPr>
            <w:r w:rsidRPr="00042121">
              <w:rPr>
                <w:sz w:val="22"/>
                <w:szCs w:val="22"/>
              </w:rPr>
              <w:t>Number of non-motorized fatalities and serious injuries</w:t>
            </w:r>
          </w:p>
        </w:tc>
        <w:tc>
          <w:tcPr>
            <w:tcW w:w="1710" w:type="dxa"/>
          </w:tcPr>
          <w:p w14:paraId="5A8E087B" w14:textId="77777777" w:rsidR="000B279A" w:rsidRPr="00042121" w:rsidRDefault="000B279A" w:rsidP="005C1D75">
            <w:pPr>
              <w:pStyle w:val="TableText"/>
              <w:jc w:val="center"/>
              <w:rPr>
                <w:sz w:val="22"/>
                <w:szCs w:val="22"/>
              </w:rPr>
            </w:pPr>
            <w:r w:rsidRPr="00042121">
              <w:rPr>
                <w:sz w:val="22"/>
                <w:szCs w:val="22"/>
              </w:rPr>
              <w:t>0</w:t>
            </w:r>
          </w:p>
        </w:tc>
      </w:tr>
    </w:tbl>
    <w:p w14:paraId="14B3ADE1" w14:textId="77777777" w:rsidR="00B354C8" w:rsidRDefault="00B354C8" w:rsidP="00B354C8">
      <w:pPr>
        <w:pStyle w:val="Caption"/>
        <w:spacing w:before="240" w:after="0" w:line="240" w:lineRule="auto"/>
      </w:pPr>
      <w:r>
        <w:t>NHS Bridge and Pavement Performance Measures (PM2)</w:t>
      </w:r>
    </w:p>
    <w:tbl>
      <w:tblPr>
        <w:tblStyle w:val="Style1"/>
        <w:tblW w:w="4808" w:type="pct"/>
        <w:tblLayout w:type="fixed"/>
        <w:tblCellMar>
          <w:left w:w="58" w:type="dxa"/>
          <w:right w:w="58" w:type="dxa"/>
        </w:tblCellMar>
        <w:tblLook w:val="01E0" w:firstRow="1" w:lastRow="1" w:firstColumn="1" w:lastColumn="1" w:noHBand="0" w:noVBand="0"/>
      </w:tblPr>
      <w:tblGrid>
        <w:gridCol w:w="5940"/>
        <w:gridCol w:w="1440"/>
        <w:gridCol w:w="1621"/>
      </w:tblGrid>
      <w:tr w:rsidR="00B354C8" w:rsidRPr="007E16DA" w14:paraId="67F9684E" w14:textId="77777777" w:rsidTr="00B354C8">
        <w:trPr>
          <w:cnfStyle w:val="100000000000" w:firstRow="1" w:lastRow="0" w:firstColumn="0" w:lastColumn="0" w:oddVBand="0" w:evenVBand="0" w:oddHBand="0" w:evenHBand="0" w:firstRowFirstColumn="0" w:firstRowLastColumn="0" w:lastRowFirstColumn="0" w:lastRowLastColumn="0"/>
          <w:trHeight w:val="24"/>
          <w:tblHeader/>
        </w:trPr>
        <w:tc>
          <w:tcPr>
            <w:tcW w:w="5940" w:type="dxa"/>
            <w:vAlign w:val="bottom"/>
          </w:tcPr>
          <w:p w14:paraId="4C224FE7" w14:textId="77777777" w:rsidR="00B354C8" w:rsidRPr="007E16DA" w:rsidRDefault="00B354C8" w:rsidP="00D3730E">
            <w:pPr>
              <w:pStyle w:val="TableHead"/>
            </w:pPr>
            <w:r>
              <w:t>Performance Measure</w:t>
            </w:r>
          </w:p>
        </w:tc>
        <w:tc>
          <w:tcPr>
            <w:tcW w:w="1440" w:type="dxa"/>
          </w:tcPr>
          <w:p w14:paraId="5B602F7A" w14:textId="77777777" w:rsidR="00B354C8" w:rsidRPr="007E16DA" w:rsidRDefault="00B354C8" w:rsidP="00D3730E">
            <w:pPr>
              <w:pStyle w:val="TableHead"/>
              <w:ind w:right="-84"/>
              <w:jc w:val="center"/>
            </w:pPr>
            <w:r w:rsidRPr="00983577">
              <w:t>20</w:t>
            </w:r>
            <w:r>
              <w:t>23</w:t>
            </w:r>
            <w:r w:rsidRPr="007E16DA">
              <w:t xml:space="preserve"> Target</w:t>
            </w:r>
          </w:p>
        </w:tc>
        <w:tc>
          <w:tcPr>
            <w:tcW w:w="1621" w:type="dxa"/>
          </w:tcPr>
          <w:p w14:paraId="140A3E01" w14:textId="77777777" w:rsidR="00B354C8" w:rsidRPr="007E16DA" w:rsidRDefault="00B354C8" w:rsidP="00D3730E">
            <w:pPr>
              <w:pStyle w:val="TableHead"/>
              <w:jc w:val="center"/>
            </w:pPr>
            <w:r w:rsidRPr="00983577">
              <w:t>202</w:t>
            </w:r>
            <w:r>
              <w:t>5</w:t>
            </w:r>
            <w:r w:rsidRPr="007E16DA">
              <w:t xml:space="preserve"> Target</w:t>
            </w:r>
          </w:p>
        </w:tc>
      </w:tr>
      <w:tr w:rsidR="00B354C8" w:rsidRPr="007E16DA" w14:paraId="53DA1EFF" w14:textId="77777777" w:rsidTr="00D3730E">
        <w:trPr>
          <w:trHeight w:val="24"/>
        </w:trPr>
        <w:tc>
          <w:tcPr>
            <w:tcW w:w="5940" w:type="dxa"/>
          </w:tcPr>
          <w:p w14:paraId="66235E29" w14:textId="77777777" w:rsidR="00B354C8" w:rsidRPr="00042121" w:rsidRDefault="00B354C8" w:rsidP="00D3730E">
            <w:pPr>
              <w:pStyle w:val="TableText"/>
              <w:rPr>
                <w:sz w:val="22"/>
                <w:szCs w:val="22"/>
              </w:rPr>
            </w:pPr>
            <w:r w:rsidRPr="00042121">
              <w:rPr>
                <w:sz w:val="22"/>
                <w:szCs w:val="22"/>
              </w:rPr>
              <w:t>Percent of NHS bridges (by deck area) in good condition</w:t>
            </w:r>
          </w:p>
        </w:tc>
        <w:tc>
          <w:tcPr>
            <w:tcW w:w="1440" w:type="dxa"/>
          </w:tcPr>
          <w:p w14:paraId="75E04553" w14:textId="77777777" w:rsidR="00B354C8" w:rsidRPr="00042121" w:rsidRDefault="00B354C8" w:rsidP="00D3730E">
            <w:pPr>
              <w:pStyle w:val="TableText"/>
              <w:tabs>
                <w:tab w:val="decimal" w:pos="479"/>
              </w:tabs>
              <w:ind w:right="-84"/>
              <w:jc w:val="center"/>
              <w:rPr>
                <w:sz w:val="22"/>
                <w:szCs w:val="22"/>
              </w:rPr>
            </w:pPr>
            <w:r w:rsidRPr="00042121">
              <w:rPr>
                <w:sz w:val="22"/>
                <w:szCs w:val="22"/>
              </w:rPr>
              <w:t>≥50.0%</w:t>
            </w:r>
          </w:p>
        </w:tc>
        <w:tc>
          <w:tcPr>
            <w:tcW w:w="1621" w:type="dxa"/>
          </w:tcPr>
          <w:p w14:paraId="37D079B6" w14:textId="77777777" w:rsidR="00B354C8" w:rsidRPr="00042121" w:rsidRDefault="00B354C8" w:rsidP="00D3730E">
            <w:pPr>
              <w:pStyle w:val="TableText"/>
              <w:tabs>
                <w:tab w:val="decimal" w:pos="479"/>
              </w:tabs>
              <w:jc w:val="center"/>
              <w:rPr>
                <w:sz w:val="22"/>
                <w:szCs w:val="22"/>
              </w:rPr>
            </w:pPr>
            <w:r w:rsidRPr="00042121">
              <w:rPr>
                <w:sz w:val="22"/>
                <w:szCs w:val="22"/>
              </w:rPr>
              <w:t>≥50.0%</w:t>
            </w:r>
          </w:p>
        </w:tc>
      </w:tr>
      <w:tr w:rsidR="00B354C8" w:rsidRPr="007E16DA" w14:paraId="5D219908" w14:textId="77777777" w:rsidTr="00D3730E">
        <w:trPr>
          <w:trHeight w:val="290"/>
        </w:trPr>
        <w:tc>
          <w:tcPr>
            <w:tcW w:w="5940" w:type="dxa"/>
          </w:tcPr>
          <w:p w14:paraId="71E3FB58" w14:textId="77777777" w:rsidR="00B354C8" w:rsidRPr="00042121" w:rsidRDefault="00B354C8" w:rsidP="00D3730E">
            <w:pPr>
              <w:pStyle w:val="TableText"/>
              <w:rPr>
                <w:sz w:val="22"/>
                <w:szCs w:val="22"/>
              </w:rPr>
            </w:pPr>
            <w:r w:rsidRPr="00042121">
              <w:rPr>
                <w:sz w:val="22"/>
                <w:szCs w:val="22"/>
              </w:rPr>
              <w:t>Percent of NHS bridges (by deck area) in poor condition</w:t>
            </w:r>
          </w:p>
        </w:tc>
        <w:tc>
          <w:tcPr>
            <w:tcW w:w="1440" w:type="dxa"/>
          </w:tcPr>
          <w:p w14:paraId="522E4F96" w14:textId="77777777" w:rsidR="00B354C8" w:rsidRPr="00042121" w:rsidRDefault="00B354C8" w:rsidP="00D3730E">
            <w:pPr>
              <w:pStyle w:val="TableText"/>
              <w:tabs>
                <w:tab w:val="decimal" w:pos="479"/>
              </w:tabs>
              <w:ind w:right="-84"/>
              <w:jc w:val="center"/>
              <w:rPr>
                <w:sz w:val="22"/>
                <w:szCs w:val="22"/>
              </w:rPr>
            </w:pPr>
            <w:r w:rsidRPr="00042121">
              <w:rPr>
                <w:sz w:val="22"/>
                <w:szCs w:val="22"/>
              </w:rPr>
              <w:t>≤10.0%</w:t>
            </w:r>
          </w:p>
        </w:tc>
        <w:tc>
          <w:tcPr>
            <w:tcW w:w="1621" w:type="dxa"/>
          </w:tcPr>
          <w:p w14:paraId="55B007A1" w14:textId="77777777" w:rsidR="00B354C8" w:rsidRPr="00042121" w:rsidRDefault="00B354C8" w:rsidP="00D3730E">
            <w:pPr>
              <w:pStyle w:val="TableText"/>
              <w:tabs>
                <w:tab w:val="decimal" w:pos="479"/>
              </w:tabs>
              <w:jc w:val="center"/>
              <w:rPr>
                <w:sz w:val="22"/>
                <w:szCs w:val="22"/>
              </w:rPr>
            </w:pPr>
            <w:r w:rsidRPr="00042121">
              <w:rPr>
                <w:sz w:val="22"/>
                <w:szCs w:val="22"/>
              </w:rPr>
              <w:t>≤5.0%</w:t>
            </w:r>
          </w:p>
        </w:tc>
      </w:tr>
      <w:tr w:rsidR="00B354C8" w:rsidRPr="007E16DA" w14:paraId="29143653" w14:textId="77777777" w:rsidTr="00D3730E">
        <w:trPr>
          <w:trHeight w:val="290"/>
        </w:trPr>
        <w:tc>
          <w:tcPr>
            <w:tcW w:w="5940" w:type="dxa"/>
          </w:tcPr>
          <w:p w14:paraId="6CF8B72C" w14:textId="77777777" w:rsidR="00B354C8" w:rsidRPr="00042121" w:rsidRDefault="00B354C8" w:rsidP="00D3730E">
            <w:pPr>
              <w:pStyle w:val="TableText"/>
              <w:rPr>
                <w:sz w:val="22"/>
                <w:szCs w:val="22"/>
              </w:rPr>
            </w:pPr>
            <w:r w:rsidRPr="00042121">
              <w:rPr>
                <w:sz w:val="22"/>
                <w:szCs w:val="22"/>
              </w:rPr>
              <w:t>Percent of Interstate pavements in good condition</w:t>
            </w:r>
          </w:p>
        </w:tc>
        <w:tc>
          <w:tcPr>
            <w:tcW w:w="1440" w:type="dxa"/>
          </w:tcPr>
          <w:p w14:paraId="1C980913" w14:textId="77777777" w:rsidR="00B354C8" w:rsidRPr="00042121" w:rsidRDefault="00B354C8" w:rsidP="00D3730E">
            <w:pPr>
              <w:pStyle w:val="TableText"/>
              <w:tabs>
                <w:tab w:val="decimal" w:pos="479"/>
              </w:tabs>
              <w:ind w:right="-84"/>
              <w:jc w:val="center"/>
              <w:rPr>
                <w:sz w:val="22"/>
                <w:szCs w:val="22"/>
              </w:rPr>
            </w:pPr>
            <w:r w:rsidRPr="00042121">
              <w:rPr>
                <w:sz w:val="22"/>
                <w:szCs w:val="22"/>
              </w:rPr>
              <w:t>≥60.0%</w:t>
            </w:r>
          </w:p>
        </w:tc>
        <w:tc>
          <w:tcPr>
            <w:tcW w:w="1621" w:type="dxa"/>
          </w:tcPr>
          <w:p w14:paraId="0FA0DB92" w14:textId="77777777" w:rsidR="00B354C8" w:rsidRPr="00042121" w:rsidRDefault="00B354C8" w:rsidP="00D3730E">
            <w:pPr>
              <w:pStyle w:val="TableText"/>
              <w:tabs>
                <w:tab w:val="decimal" w:pos="479"/>
              </w:tabs>
              <w:jc w:val="center"/>
              <w:rPr>
                <w:sz w:val="22"/>
                <w:szCs w:val="22"/>
              </w:rPr>
            </w:pPr>
            <w:r w:rsidRPr="00042121">
              <w:rPr>
                <w:sz w:val="22"/>
                <w:szCs w:val="22"/>
              </w:rPr>
              <w:t>≥60.0%</w:t>
            </w:r>
          </w:p>
        </w:tc>
      </w:tr>
      <w:tr w:rsidR="00B354C8" w:rsidRPr="007E16DA" w14:paraId="56429315" w14:textId="77777777" w:rsidTr="00D3730E">
        <w:trPr>
          <w:trHeight w:val="290"/>
        </w:trPr>
        <w:tc>
          <w:tcPr>
            <w:tcW w:w="5940" w:type="dxa"/>
          </w:tcPr>
          <w:p w14:paraId="0774D02B" w14:textId="77777777" w:rsidR="00B354C8" w:rsidRPr="00042121" w:rsidRDefault="00B354C8" w:rsidP="00D3730E">
            <w:pPr>
              <w:pStyle w:val="TableText"/>
              <w:rPr>
                <w:sz w:val="22"/>
                <w:szCs w:val="22"/>
              </w:rPr>
            </w:pPr>
            <w:r w:rsidRPr="00042121">
              <w:rPr>
                <w:sz w:val="22"/>
                <w:szCs w:val="22"/>
              </w:rPr>
              <w:t>Percent of Interstate pavements in poor condition</w:t>
            </w:r>
          </w:p>
        </w:tc>
        <w:tc>
          <w:tcPr>
            <w:tcW w:w="1440" w:type="dxa"/>
          </w:tcPr>
          <w:p w14:paraId="2762B613" w14:textId="77777777" w:rsidR="00B354C8" w:rsidRPr="00042121" w:rsidRDefault="00B354C8" w:rsidP="00D3730E">
            <w:pPr>
              <w:pStyle w:val="TableText"/>
              <w:tabs>
                <w:tab w:val="decimal" w:pos="479"/>
              </w:tabs>
              <w:ind w:right="-84"/>
              <w:jc w:val="center"/>
              <w:rPr>
                <w:sz w:val="22"/>
                <w:szCs w:val="22"/>
              </w:rPr>
            </w:pPr>
            <w:r w:rsidRPr="00042121">
              <w:rPr>
                <w:sz w:val="22"/>
                <w:szCs w:val="22"/>
              </w:rPr>
              <w:t>≤5.0%</w:t>
            </w:r>
          </w:p>
        </w:tc>
        <w:tc>
          <w:tcPr>
            <w:tcW w:w="1621" w:type="dxa"/>
          </w:tcPr>
          <w:p w14:paraId="10EFB013" w14:textId="77777777" w:rsidR="00B354C8" w:rsidRPr="00042121" w:rsidRDefault="00B354C8" w:rsidP="00D3730E">
            <w:pPr>
              <w:pStyle w:val="TableText"/>
              <w:tabs>
                <w:tab w:val="decimal" w:pos="479"/>
              </w:tabs>
              <w:jc w:val="center"/>
              <w:rPr>
                <w:sz w:val="22"/>
                <w:szCs w:val="22"/>
              </w:rPr>
            </w:pPr>
            <w:r w:rsidRPr="00042121">
              <w:rPr>
                <w:sz w:val="22"/>
                <w:szCs w:val="22"/>
              </w:rPr>
              <w:t>≤5.0%</w:t>
            </w:r>
          </w:p>
        </w:tc>
      </w:tr>
      <w:tr w:rsidR="00B354C8" w:rsidRPr="007E16DA" w14:paraId="79A5C9B1" w14:textId="77777777" w:rsidTr="00D3730E">
        <w:trPr>
          <w:trHeight w:val="304"/>
        </w:trPr>
        <w:tc>
          <w:tcPr>
            <w:tcW w:w="5940" w:type="dxa"/>
          </w:tcPr>
          <w:p w14:paraId="53115FB9" w14:textId="77777777" w:rsidR="00B354C8" w:rsidRPr="00042121" w:rsidRDefault="00B354C8" w:rsidP="00D3730E">
            <w:pPr>
              <w:pStyle w:val="TableText"/>
              <w:rPr>
                <w:sz w:val="22"/>
                <w:szCs w:val="22"/>
              </w:rPr>
            </w:pPr>
            <w:r w:rsidRPr="00042121">
              <w:rPr>
                <w:sz w:val="22"/>
                <w:szCs w:val="22"/>
              </w:rPr>
              <w:t>Percent of non-Interstate pavements in good condition</w:t>
            </w:r>
          </w:p>
        </w:tc>
        <w:tc>
          <w:tcPr>
            <w:tcW w:w="1440" w:type="dxa"/>
          </w:tcPr>
          <w:p w14:paraId="5C9226E7" w14:textId="77777777" w:rsidR="00B354C8" w:rsidRPr="00042121" w:rsidRDefault="00B354C8" w:rsidP="00D3730E">
            <w:pPr>
              <w:pStyle w:val="TableText"/>
              <w:tabs>
                <w:tab w:val="decimal" w:pos="479"/>
              </w:tabs>
              <w:ind w:right="-84"/>
              <w:jc w:val="center"/>
              <w:rPr>
                <w:sz w:val="22"/>
                <w:szCs w:val="22"/>
              </w:rPr>
            </w:pPr>
            <w:r w:rsidRPr="00042121">
              <w:rPr>
                <w:sz w:val="22"/>
                <w:szCs w:val="22"/>
              </w:rPr>
              <w:t>≥40.0%</w:t>
            </w:r>
          </w:p>
        </w:tc>
        <w:tc>
          <w:tcPr>
            <w:tcW w:w="1621" w:type="dxa"/>
          </w:tcPr>
          <w:p w14:paraId="6DEB5EEE" w14:textId="77777777" w:rsidR="00B354C8" w:rsidRPr="00042121" w:rsidRDefault="00B354C8" w:rsidP="00D3730E">
            <w:pPr>
              <w:pStyle w:val="TableText"/>
              <w:tabs>
                <w:tab w:val="decimal" w:pos="479"/>
              </w:tabs>
              <w:jc w:val="center"/>
              <w:rPr>
                <w:sz w:val="22"/>
                <w:szCs w:val="22"/>
              </w:rPr>
            </w:pPr>
            <w:r w:rsidRPr="00042121">
              <w:rPr>
                <w:sz w:val="22"/>
                <w:szCs w:val="22"/>
              </w:rPr>
              <w:t>≥40.0%</w:t>
            </w:r>
          </w:p>
        </w:tc>
      </w:tr>
      <w:tr w:rsidR="00B354C8" w:rsidRPr="007E16DA" w14:paraId="0E58DC78" w14:textId="77777777" w:rsidTr="00D3730E">
        <w:trPr>
          <w:trHeight w:val="290"/>
        </w:trPr>
        <w:tc>
          <w:tcPr>
            <w:tcW w:w="5940" w:type="dxa"/>
          </w:tcPr>
          <w:p w14:paraId="6837879B" w14:textId="77777777" w:rsidR="00B354C8" w:rsidRPr="00042121" w:rsidRDefault="00B354C8" w:rsidP="00D3730E">
            <w:pPr>
              <w:pStyle w:val="TableText"/>
              <w:rPr>
                <w:sz w:val="22"/>
                <w:szCs w:val="22"/>
              </w:rPr>
            </w:pPr>
            <w:r w:rsidRPr="00042121">
              <w:rPr>
                <w:sz w:val="22"/>
                <w:szCs w:val="22"/>
              </w:rPr>
              <w:t>Percent of non-Interstate pavements in poor condition</w:t>
            </w:r>
          </w:p>
        </w:tc>
        <w:tc>
          <w:tcPr>
            <w:tcW w:w="1440" w:type="dxa"/>
          </w:tcPr>
          <w:p w14:paraId="355A2C56" w14:textId="77777777" w:rsidR="00B354C8" w:rsidRPr="00042121" w:rsidRDefault="00B354C8" w:rsidP="00D3730E">
            <w:pPr>
              <w:pStyle w:val="TableText"/>
              <w:tabs>
                <w:tab w:val="decimal" w:pos="479"/>
              </w:tabs>
              <w:ind w:right="-84"/>
              <w:jc w:val="center"/>
              <w:rPr>
                <w:sz w:val="22"/>
                <w:szCs w:val="22"/>
              </w:rPr>
            </w:pPr>
            <w:r w:rsidRPr="00042121">
              <w:rPr>
                <w:sz w:val="22"/>
                <w:szCs w:val="22"/>
              </w:rPr>
              <w:t>≤5.0%</w:t>
            </w:r>
          </w:p>
        </w:tc>
        <w:tc>
          <w:tcPr>
            <w:tcW w:w="1621" w:type="dxa"/>
          </w:tcPr>
          <w:p w14:paraId="5F63AFB7" w14:textId="77777777" w:rsidR="00B354C8" w:rsidRPr="00042121" w:rsidRDefault="00B354C8" w:rsidP="00D3730E">
            <w:pPr>
              <w:pStyle w:val="TableText"/>
              <w:tabs>
                <w:tab w:val="decimal" w:pos="479"/>
              </w:tabs>
              <w:jc w:val="center"/>
              <w:rPr>
                <w:sz w:val="22"/>
                <w:szCs w:val="22"/>
              </w:rPr>
            </w:pPr>
            <w:r w:rsidRPr="00042121">
              <w:rPr>
                <w:sz w:val="22"/>
                <w:szCs w:val="22"/>
              </w:rPr>
              <w:t>≤5.0%</w:t>
            </w:r>
          </w:p>
        </w:tc>
      </w:tr>
    </w:tbl>
    <w:p w14:paraId="07C417AB" w14:textId="77777777" w:rsidR="00B354C8" w:rsidRDefault="00B354C8" w:rsidP="00B354C8">
      <w:pPr>
        <w:pStyle w:val="Caption"/>
        <w:spacing w:before="240" w:after="0" w:line="240" w:lineRule="auto"/>
      </w:pPr>
      <w:r>
        <w:t>System Performance and Freight Measures (PM</w:t>
      </w:r>
      <w:r w:rsidRPr="00B354C8">
        <w:t>s</w:t>
      </w:r>
      <w:r>
        <w:t>)</w:t>
      </w:r>
    </w:p>
    <w:tbl>
      <w:tblPr>
        <w:tblStyle w:val="Style1"/>
        <w:tblW w:w="4808" w:type="pct"/>
        <w:tblLayout w:type="fixed"/>
        <w:tblCellMar>
          <w:left w:w="58" w:type="dxa"/>
          <w:right w:w="58" w:type="dxa"/>
        </w:tblCellMar>
        <w:tblLook w:val="01E0" w:firstRow="1" w:lastRow="1" w:firstColumn="1" w:lastColumn="1" w:noHBand="0" w:noVBand="0"/>
      </w:tblPr>
      <w:tblGrid>
        <w:gridCol w:w="5940"/>
        <w:gridCol w:w="1440"/>
        <w:gridCol w:w="1621"/>
      </w:tblGrid>
      <w:tr w:rsidR="00B354C8" w:rsidRPr="007E16DA" w14:paraId="64BC96F2" w14:textId="77777777" w:rsidTr="00B354C8">
        <w:trPr>
          <w:cnfStyle w:val="100000000000" w:firstRow="1" w:lastRow="0" w:firstColumn="0" w:lastColumn="0" w:oddVBand="0" w:evenVBand="0" w:oddHBand="0" w:evenHBand="0" w:firstRowFirstColumn="0" w:firstRowLastColumn="0" w:lastRowFirstColumn="0" w:lastRowLastColumn="0"/>
          <w:trHeight w:val="290"/>
          <w:tblHeader/>
        </w:trPr>
        <w:tc>
          <w:tcPr>
            <w:tcW w:w="5940" w:type="dxa"/>
            <w:vAlign w:val="bottom"/>
          </w:tcPr>
          <w:p w14:paraId="08CCB2B9" w14:textId="77777777" w:rsidR="00B354C8" w:rsidRPr="00042121" w:rsidRDefault="00B354C8" w:rsidP="00D3730E">
            <w:pPr>
              <w:pStyle w:val="TableText"/>
              <w:spacing w:before="120"/>
              <w:rPr>
                <w:b/>
                <w:bCs/>
                <w:sz w:val="22"/>
                <w:szCs w:val="22"/>
              </w:rPr>
            </w:pPr>
            <w:r w:rsidRPr="00FF1CAB">
              <w:rPr>
                <w:b/>
                <w:bCs/>
              </w:rPr>
              <w:t>Performance Measure</w:t>
            </w:r>
          </w:p>
        </w:tc>
        <w:tc>
          <w:tcPr>
            <w:tcW w:w="1440" w:type="dxa"/>
          </w:tcPr>
          <w:p w14:paraId="2FF12523" w14:textId="77777777" w:rsidR="00B354C8" w:rsidRPr="00FF1CAB" w:rsidRDefault="00B354C8" w:rsidP="00D3730E">
            <w:pPr>
              <w:pStyle w:val="TableText"/>
              <w:tabs>
                <w:tab w:val="decimal" w:pos="479"/>
              </w:tabs>
              <w:spacing w:before="120"/>
              <w:jc w:val="center"/>
              <w:rPr>
                <w:b/>
                <w:sz w:val="22"/>
                <w:szCs w:val="22"/>
              </w:rPr>
            </w:pPr>
            <w:r w:rsidRPr="00FF1CAB">
              <w:rPr>
                <w:b/>
                <w:bCs/>
              </w:rPr>
              <w:t>2023 Target</w:t>
            </w:r>
          </w:p>
        </w:tc>
        <w:tc>
          <w:tcPr>
            <w:tcW w:w="1621" w:type="dxa"/>
          </w:tcPr>
          <w:p w14:paraId="512A744D" w14:textId="77777777" w:rsidR="00B354C8" w:rsidRPr="00FF1CAB" w:rsidRDefault="00B354C8" w:rsidP="00D3730E">
            <w:pPr>
              <w:pStyle w:val="TableText"/>
              <w:tabs>
                <w:tab w:val="decimal" w:pos="479"/>
              </w:tabs>
              <w:spacing w:before="120"/>
              <w:jc w:val="center"/>
              <w:rPr>
                <w:b/>
                <w:sz w:val="22"/>
                <w:szCs w:val="22"/>
              </w:rPr>
            </w:pPr>
            <w:r w:rsidRPr="00FF1CAB">
              <w:rPr>
                <w:b/>
                <w:bCs/>
              </w:rPr>
              <w:t>2025 Target</w:t>
            </w:r>
          </w:p>
        </w:tc>
      </w:tr>
      <w:tr w:rsidR="00B354C8" w:rsidRPr="007E16DA" w14:paraId="55CDD00C" w14:textId="77777777" w:rsidTr="00D3730E">
        <w:trPr>
          <w:trHeight w:val="290"/>
        </w:trPr>
        <w:tc>
          <w:tcPr>
            <w:tcW w:w="5940" w:type="dxa"/>
          </w:tcPr>
          <w:p w14:paraId="31F7AE1D" w14:textId="77777777" w:rsidR="00B354C8" w:rsidRPr="00042121" w:rsidRDefault="00B354C8" w:rsidP="00D3730E">
            <w:pPr>
              <w:pStyle w:val="TableText"/>
              <w:rPr>
                <w:sz w:val="22"/>
                <w:szCs w:val="22"/>
              </w:rPr>
            </w:pPr>
            <w:r w:rsidRPr="00042121">
              <w:rPr>
                <w:sz w:val="22"/>
                <w:szCs w:val="22"/>
              </w:rPr>
              <w:t xml:space="preserve">Percent of person-miles traveled on the Interstate system that are reliable </w:t>
            </w:r>
          </w:p>
        </w:tc>
        <w:tc>
          <w:tcPr>
            <w:tcW w:w="1440" w:type="dxa"/>
          </w:tcPr>
          <w:p w14:paraId="05DF4D1B" w14:textId="77777777" w:rsidR="00B354C8" w:rsidRPr="00042121" w:rsidRDefault="00B354C8" w:rsidP="00B354C8">
            <w:pPr>
              <w:pStyle w:val="TableText"/>
              <w:jc w:val="center"/>
              <w:rPr>
                <w:sz w:val="22"/>
                <w:szCs w:val="22"/>
              </w:rPr>
            </w:pPr>
            <w:r w:rsidRPr="00042121">
              <w:rPr>
                <w:sz w:val="22"/>
                <w:szCs w:val="22"/>
              </w:rPr>
              <w:t>≥75.0%</w:t>
            </w:r>
          </w:p>
        </w:tc>
        <w:tc>
          <w:tcPr>
            <w:tcW w:w="1621" w:type="dxa"/>
          </w:tcPr>
          <w:p w14:paraId="629DAB9F" w14:textId="77777777" w:rsidR="00B354C8" w:rsidRPr="00042121" w:rsidRDefault="00B354C8" w:rsidP="00B354C8">
            <w:pPr>
              <w:pStyle w:val="TableText"/>
              <w:jc w:val="center"/>
              <w:rPr>
                <w:sz w:val="22"/>
                <w:szCs w:val="22"/>
              </w:rPr>
            </w:pPr>
            <w:r w:rsidRPr="00042121">
              <w:rPr>
                <w:sz w:val="22"/>
                <w:szCs w:val="22"/>
              </w:rPr>
              <w:t>≥75.0%</w:t>
            </w:r>
          </w:p>
        </w:tc>
      </w:tr>
      <w:tr w:rsidR="00B354C8" w:rsidRPr="007E16DA" w14:paraId="7BD10165" w14:textId="77777777" w:rsidTr="00D3730E">
        <w:trPr>
          <w:trHeight w:val="304"/>
        </w:trPr>
        <w:tc>
          <w:tcPr>
            <w:tcW w:w="5940" w:type="dxa"/>
          </w:tcPr>
          <w:p w14:paraId="53B33BAB" w14:textId="77777777" w:rsidR="00B354C8" w:rsidRPr="00042121" w:rsidRDefault="00B354C8" w:rsidP="00D3730E">
            <w:pPr>
              <w:pStyle w:val="TableText"/>
              <w:rPr>
                <w:sz w:val="22"/>
                <w:szCs w:val="22"/>
              </w:rPr>
            </w:pPr>
            <w:r w:rsidRPr="00042121">
              <w:rPr>
                <w:sz w:val="22"/>
                <w:szCs w:val="22"/>
              </w:rPr>
              <w:t xml:space="preserve">Percent of person-miles traveled on the non-Interstate NHS that are reliable </w:t>
            </w:r>
          </w:p>
        </w:tc>
        <w:tc>
          <w:tcPr>
            <w:tcW w:w="1440" w:type="dxa"/>
          </w:tcPr>
          <w:p w14:paraId="1E04EAC3" w14:textId="77777777" w:rsidR="00B354C8" w:rsidRPr="00042121" w:rsidRDefault="00B354C8" w:rsidP="00B354C8">
            <w:pPr>
              <w:pStyle w:val="TableText"/>
              <w:jc w:val="center"/>
              <w:rPr>
                <w:sz w:val="22"/>
                <w:szCs w:val="22"/>
              </w:rPr>
            </w:pPr>
            <w:r w:rsidRPr="00042121">
              <w:rPr>
                <w:sz w:val="22"/>
                <w:szCs w:val="22"/>
              </w:rPr>
              <w:t>≥50.0%</w:t>
            </w:r>
          </w:p>
        </w:tc>
        <w:tc>
          <w:tcPr>
            <w:tcW w:w="1621" w:type="dxa"/>
          </w:tcPr>
          <w:p w14:paraId="3DAEF3F0" w14:textId="77777777" w:rsidR="00B354C8" w:rsidRPr="00042121" w:rsidRDefault="00B354C8" w:rsidP="00B354C8">
            <w:pPr>
              <w:pStyle w:val="TableText"/>
              <w:jc w:val="center"/>
              <w:rPr>
                <w:sz w:val="22"/>
                <w:szCs w:val="22"/>
              </w:rPr>
            </w:pPr>
            <w:r w:rsidRPr="00042121">
              <w:rPr>
                <w:sz w:val="22"/>
                <w:szCs w:val="22"/>
              </w:rPr>
              <w:t>≥60.0%</w:t>
            </w:r>
          </w:p>
        </w:tc>
      </w:tr>
      <w:tr w:rsidR="00B354C8" w:rsidRPr="007E16DA" w14:paraId="3155ABFA" w14:textId="77777777" w:rsidTr="00D3730E">
        <w:trPr>
          <w:trHeight w:val="275"/>
        </w:trPr>
        <w:tc>
          <w:tcPr>
            <w:tcW w:w="5940" w:type="dxa"/>
          </w:tcPr>
          <w:p w14:paraId="1C2F7D46" w14:textId="77777777" w:rsidR="00B354C8" w:rsidRPr="00042121" w:rsidRDefault="00B354C8" w:rsidP="00D3730E">
            <w:pPr>
              <w:pStyle w:val="TableText"/>
              <w:rPr>
                <w:sz w:val="22"/>
                <w:szCs w:val="22"/>
              </w:rPr>
            </w:pPr>
            <w:r w:rsidRPr="00042121">
              <w:rPr>
                <w:sz w:val="22"/>
                <w:szCs w:val="22"/>
              </w:rPr>
              <w:t>Truck travel time reliability (Interstate)</w:t>
            </w:r>
          </w:p>
        </w:tc>
        <w:tc>
          <w:tcPr>
            <w:tcW w:w="1440" w:type="dxa"/>
          </w:tcPr>
          <w:p w14:paraId="64E5AA63" w14:textId="77777777" w:rsidR="00B354C8" w:rsidRPr="00042121" w:rsidRDefault="00B354C8" w:rsidP="00B354C8">
            <w:pPr>
              <w:pStyle w:val="TableText"/>
              <w:jc w:val="center"/>
              <w:rPr>
                <w:sz w:val="22"/>
                <w:szCs w:val="22"/>
              </w:rPr>
            </w:pPr>
            <w:r w:rsidRPr="00042121">
              <w:rPr>
                <w:sz w:val="22"/>
                <w:szCs w:val="22"/>
              </w:rPr>
              <w:t>1.75</w:t>
            </w:r>
          </w:p>
        </w:tc>
        <w:tc>
          <w:tcPr>
            <w:tcW w:w="1621" w:type="dxa"/>
          </w:tcPr>
          <w:p w14:paraId="59C68E80" w14:textId="77777777" w:rsidR="00B354C8" w:rsidRPr="00042121" w:rsidRDefault="00B354C8" w:rsidP="00B354C8">
            <w:pPr>
              <w:pStyle w:val="TableText"/>
              <w:jc w:val="center"/>
              <w:rPr>
                <w:sz w:val="22"/>
                <w:szCs w:val="22"/>
              </w:rPr>
            </w:pPr>
            <w:r w:rsidRPr="00042121">
              <w:rPr>
                <w:sz w:val="22"/>
                <w:szCs w:val="22"/>
              </w:rPr>
              <w:t>2.00</w:t>
            </w:r>
          </w:p>
        </w:tc>
      </w:tr>
    </w:tbl>
    <w:p w14:paraId="3EB369BE" w14:textId="77777777" w:rsidR="00B354C8" w:rsidRDefault="00B354C8" w:rsidP="00B354C8">
      <w:pPr>
        <w:spacing w:after="0" w:line="240" w:lineRule="auto"/>
      </w:pPr>
    </w:p>
    <w:p w14:paraId="1D5A4747" w14:textId="77777777" w:rsidR="00B354C8" w:rsidRDefault="00B354C8">
      <w:pPr>
        <w:sectPr w:rsidR="00B354C8" w:rsidSect="002B54F2">
          <w:headerReference w:type="even" r:id="rId24"/>
          <w:headerReference w:type="default" r:id="rId25"/>
          <w:headerReference w:type="first" r:id="rId26"/>
          <w:pgSz w:w="12240" w:h="15840" w:code="1"/>
          <w:pgMar w:top="1440" w:right="1440" w:bottom="1440" w:left="1440" w:header="720" w:footer="720" w:gutter="0"/>
          <w:cols w:space="720"/>
          <w:titlePg/>
          <w:docGrid w:linePitch="360"/>
        </w:sectPr>
      </w:pPr>
    </w:p>
    <w:p w14:paraId="051B7DD1" w14:textId="77777777" w:rsidR="00F412F8" w:rsidRDefault="004F6288" w:rsidP="004E6DBC">
      <w:pPr>
        <w:pStyle w:val="Heading1"/>
      </w:pPr>
      <w:bookmarkStart w:id="2" w:name="_Toc225334703"/>
      <w:r w:rsidRPr="004F6288">
        <w:lastRenderedPageBreak/>
        <w:t>Investments in the TIP</w:t>
      </w:r>
      <w:bookmarkEnd w:id="2"/>
    </w:p>
    <w:p w14:paraId="04CC0B4E" w14:textId="2D12D206" w:rsidR="00822726" w:rsidRDefault="00EF7914" w:rsidP="004E6DBC">
      <w:pPr>
        <w:pStyle w:val="BodyText"/>
        <w:spacing w:after="120"/>
      </w:pPr>
      <w:r w:rsidRPr="00486407">
        <w:rPr>
          <w:rFonts w:cs="Calibri"/>
          <w:b/>
          <w:color w:val="000000"/>
          <w:kern w:val="36"/>
        </w:rPr>
        <w:t>Sample language:</w:t>
      </w:r>
      <w:r w:rsidRPr="00547813">
        <w:rPr>
          <w:rFonts w:cs="Calibri"/>
          <w:bCs/>
          <w:color w:val="000000"/>
          <w:kern w:val="36"/>
        </w:rPr>
        <w:t xml:space="preserve"> </w:t>
      </w:r>
      <w:r w:rsidR="00AA11E9">
        <w:t>T</w:t>
      </w:r>
      <w:r w:rsidR="00AA11E9" w:rsidRPr="00AA11E9">
        <w:t xml:space="preserve">he Transportation Improvement Program (TIP) advances the investment priorities established in the </w:t>
      </w:r>
      <w:r w:rsidR="00AA11E9" w:rsidRPr="0087396E">
        <w:rPr>
          <w:i/>
          <w:iCs/>
        </w:rPr>
        <w:t>[name of current LRTP]</w:t>
      </w:r>
      <w:r w:rsidR="00AA11E9" w:rsidRPr="00AA11E9">
        <w:t xml:space="preserve">, including safety, system preservation, system performance, freight movement, </w:t>
      </w:r>
      <w:r w:rsidR="00EA12BA">
        <w:t xml:space="preserve">and </w:t>
      </w:r>
      <w:r w:rsidR="00AA11E9" w:rsidRPr="00AA11E9">
        <w:t>transit asset management and safety.</w:t>
      </w:r>
    </w:p>
    <w:p w14:paraId="5CE28F10" w14:textId="4A0CEB6D" w:rsidR="005E5674" w:rsidRDefault="005E5674" w:rsidP="004E6DBC">
      <w:pPr>
        <w:pStyle w:val="BodyText"/>
        <w:spacing w:after="120"/>
      </w:pPr>
      <w:r w:rsidRPr="005E5674">
        <w:t xml:space="preserve">Safety investments in the TIP include infrastructure improvements such as school zone flashers, roadway lighting, traffic calming, traffic signals, bike lanes, and sidewalks, as well as behavioral programs like Safe Routes to Schools education and pedestrian and bicycle safety outreach. Because safety is integrated throughout </w:t>
      </w:r>
      <w:r w:rsidRPr="005E5674">
        <w:rPr>
          <w:i/>
          <w:iCs/>
        </w:rPr>
        <w:t>[MPO name]</w:t>
      </w:r>
      <w:r w:rsidRPr="005E5674">
        <w:t xml:space="preserve"> programs</w:t>
      </w:r>
      <w:r w:rsidR="00E55B56">
        <w:t xml:space="preserve"> </w:t>
      </w:r>
      <w:r w:rsidRPr="005E5674">
        <w:t xml:space="preserve">and supported by </w:t>
      </w:r>
      <w:r w:rsidR="0075417B">
        <w:t xml:space="preserve">FDOT’s </w:t>
      </w:r>
      <w:r w:rsidR="00104705">
        <w:t>Target</w:t>
      </w:r>
      <w:r w:rsidRPr="005E5674">
        <w:t xml:space="preserve"> Zero</w:t>
      </w:r>
      <w:r w:rsidR="0075417B">
        <w:t xml:space="preserve">, </w:t>
      </w:r>
      <w:r w:rsidRPr="005E5674">
        <w:t xml:space="preserve">the TIP is expected to </w:t>
      </w:r>
      <w:r w:rsidR="00774BC9">
        <w:t>help achieve</w:t>
      </w:r>
      <w:r w:rsidRPr="005E5674">
        <w:t xml:space="preserve"> </w:t>
      </w:r>
      <w:r w:rsidR="00CA688C">
        <w:t xml:space="preserve">the </w:t>
      </w:r>
      <w:r w:rsidRPr="005E5674">
        <w:t>adopted safety performance targets.</w:t>
      </w:r>
    </w:p>
    <w:p w14:paraId="7A9752DE" w14:textId="6B5BFDF3" w:rsidR="005E5674" w:rsidRPr="005E5674" w:rsidRDefault="005E5674" w:rsidP="004E6DBC">
      <w:pPr>
        <w:pStyle w:val="BodyText"/>
        <w:spacing w:after="120"/>
      </w:pPr>
      <w:r w:rsidRPr="005E5674">
        <w:t xml:space="preserve">The TIP also supports system preservation through bridge and pavement projects on the Interstate and non-Interstate NHS, including bridge replacements, pavement reconstruction, resiliency upgrades such as culvert improvements, and capacity-related resurfacing. </w:t>
      </w:r>
      <w:r w:rsidR="006E768A">
        <w:t>[</w:t>
      </w:r>
      <w:r w:rsidRPr="005E5674">
        <w:rPr>
          <w:i/>
          <w:iCs/>
        </w:rPr>
        <w:t xml:space="preserve">If applicable, </w:t>
      </w:r>
      <w:r w:rsidR="00EE0227" w:rsidRPr="00EE0227">
        <w:rPr>
          <w:i/>
          <w:iCs/>
        </w:rPr>
        <w:t>describe LRTP/TIP project selection criteria tied to bridge and pavement performance</w:t>
      </w:r>
      <w:r w:rsidR="006E768A">
        <w:t>]</w:t>
      </w:r>
      <w:r w:rsidRPr="005E5674">
        <w:t xml:space="preserve">. </w:t>
      </w:r>
      <w:r w:rsidR="00EC05D5">
        <w:t>T</w:t>
      </w:r>
      <w:r w:rsidRPr="005E5674">
        <w:t xml:space="preserve">he TIP allocates </w:t>
      </w:r>
      <w:r w:rsidRPr="005E5674">
        <w:rPr>
          <w:i/>
          <w:iCs/>
        </w:rPr>
        <w:t>$xx million</w:t>
      </w:r>
      <w:r w:rsidRPr="005E5674">
        <w:t xml:space="preserve"> for bridge improvements, </w:t>
      </w:r>
      <w:r w:rsidRPr="005E5674">
        <w:rPr>
          <w:i/>
          <w:iCs/>
        </w:rPr>
        <w:t>$xx million</w:t>
      </w:r>
      <w:r w:rsidRPr="005E5674">
        <w:t xml:space="preserve"> for resurfacing, and </w:t>
      </w:r>
      <w:r w:rsidRPr="005E5674">
        <w:rPr>
          <w:i/>
          <w:iCs/>
        </w:rPr>
        <w:t>$xx million</w:t>
      </w:r>
      <w:r w:rsidRPr="005E5674">
        <w:t xml:space="preserve"> for capacity expansion, aligning with </w:t>
      </w:r>
      <w:r w:rsidR="00EC05D5">
        <w:t>FDOT</w:t>
      </w:r>
      <w:r w:rsidRPr="005E5674">
        <w:t>’s Five-Year Work Program and supporting statewide pavement and bridge condition goals.</w:t>
      </w:r>
    </w:p>
    <w:p w14:paraId="1A530ABB" w14:textId="4A1204A8" w:rsidR="005E5674" w:rsidRDefault="005E5674" w:rsidP="004E6DBC">
      <w:pPr>
        <w:pStyle w:val="BodyText"/>
        <w:spacing w:after="120"/>
      </w:pPr>
      <w:r w:rsidRPr="005E5674">
        <w:t>To improve mobility, reliability, and freight movement, the TIP funds corridor and intersection improvements, CMP-identified projects, managed lanes, transit</w:t>
      </w:r>
      <w:r w:rsidR="00876587">
        <w:t>,</w:t>
      </w:r>
      <w:r w:rsidRPr="005E5674">
        <w:t xml:space="preserve"> and active transportation investments that support mode shift, freight reliability enhancements, TSMO/ITS initiatives, and travel demand management programs such as park-and-ride facilities. </w:t>
      </w:r>
      <w:r w:rsidR="00B158E2" w:rsidRPr="009E5B1B">
        <w:rPr>
          <w:i/>
          <w:iCs/>
        </w:rPr>
        <w:t>[</w:t>
      </w:r>
      <w:r w:rsidR="009E5B1B" w:rsidRPr="009E5B1B">
        <w:rPr>
          <w:i/>
          <w:iCs/>
        </w:rPr>
        <w:t>If applicable, describe performance-based selection criteria related to congestion, reliability, freight, or mode shift]</w:t>
      </w:r>
      <w:r w:rsidRPr="005E5674">
        <w:rPr>
          <w:i/>
          <w:iCs/>
        </w:rPr>
        <w:t>.</w:t>
      </w:r>
      <w:r w:rsidRPr="005E5674">
        <w:t xml:space="preserve"> The TIP dedicates </w:t>
      </w:r>
      <w:r w:rsidRPr="005E5674">
        <w:rPr>
          <w:i/>
          <w:iCs/>
        </w:rPr>
        <w:t>$x million</w:t>
      </w:r>
      <w:r w:rsidRPr="005E5674">
        <w:t xml:space="preserve"> to intersection improvements, </w:t>
      </w:r>
      <w:r w:rsidRPr="005E5674">
        <w:rPr>
          <w:i/>
          <w:iCs/>
        </w:rPr>
        <w:t>$x million</w:t>
      </w:r>
      <w:r w:rsidRPr="005E5674">
        <w:t xml:space="preserve"> to congestion relief, </w:t>
      </w:r>
      <w:r w:rsidRPr="005E5674">
        <w:rPr>
          <w:i/>
          <w:iCs/>
        </w:rPr>
        <w:t>$x million</w:t>
      </w:r>
      <w:r w:rsidRPr="005E5674">
        <w:t xml:space="preserve"> to freight, </w:t>
      </w:r>
      <w:r w:rsidRPr="005E5674">
        <w:rPr>
          <w:i/>
          <w:iCs/>
        </w:rPr>
        <w:t>$x thousand</w:t>
      </w:r>
      <w:r w:rsidRPr="005E5674">
        <w:t xml:space="preserve"> to TDM, </w:t>
      </w:r>
      <w:r w:rsidRPr="005E5674">
        <w:rPr>
          <w:i/>
          <w:iCs/>
        </w:rPr>
        <w:t>$xx million</w:t>
      </w:r>
      <w:r w:rsidRPr="005E5674">
        <w:t xml:space="preserve"> to managed lanes, and </w:t>
      </w:r>
      <w:r w:rsidRPr="005E5674">
        <w:rPr>
          <w:i/>
          <w:iCs/>
        </w:rPr>
        <w:t>$x million</w:t>
      </w:r>
      <w:r w:rsidRPr="005E5674">
        <w:t xml:space="preserve"> to TSMO, supporting statewide system performance and freight reliability targets.</w:t>
      </w:r>
    </w:p>
    <w:p w14:paraId="631E4D98" w14:textId="19875F14" w:rsidR="006C1CFA" w:rsidRDefault="006C1CFA" w:rsidP="004E6DBC">
      <w:pPr>
        <w:pStyle w:val="BodyText"/>
        <w:spacing w:after="120"/>
      </w:pPr>
      <w:r w:rsidRPr="006C1CFA">
        <w:t xml:space="preserve">Developed in cooperation with </w:t>
      </w:r>
      <w:r w:rsidRPr="006C1CFA">
        <w:rPr>
          <w:i/>
          <w:iCs/>
        </w:rPr>
        <w:t>[transit provider(s)</w:t>
      </w:r>
      <w:r w:rsidR="00774BC9">
        <w:rPr>
          <w:i/>
          <w:iCs/>
        </w:rPr>
        <w:t>name</w:t>
      </w:r>
      <w:r w:rsidRPr="006C1CFA">
        <w:rPr>
          <w:i/>
          <w:iCs/>
        </w:rPr>
        <w:t>],</w:t>
      </w:r>
      <w:r w:rsidRPr="006C1CFA">
        <w:t xml:space="preserve"> the TIP includes FTA-funded projects that maintain transit assets in a state of good repair. Investments include vehicle replacements, equipment upgrades, facility rehabilitation, and infrastructure repairs. Project selection follows LRTP criteria that incorporate TAM performance measures.</w:t>
      </w:r>
      <w:r w:rsidR="008E55B9">
        <w:t xml:space="preserve"> </w:t>
      </w:r>
      <w:r w:rsidRPr="006C1CFA">
        <w:t xml:space="preserve">The TIP allocates </w:t>
      </w:r>
      <w:r w:rsidRPr="006C1CFA">
        <w:rPr>
          <w:i/>
          <w:iCs/>
        </w:rPr>
        <w:t>$xx million</w:t>
      </w:r>
      <w:r w:rsidRPr="006C1CFA">
        <w:t xml:space="preserve"> for vehicle acquisitions and </w:t>
      </w:r>
      <w:r w:rsidRPr="006C1CFA">
        <w:rPr>
          <w:i/>
          <w:iCs/>
        </w:rPr>
        <w:t>$xx million</w:t>
      </w:r>
      <w:r w:rsidRPr="006C1CFA">
        <w:t xml:space="preserve"> for facility upgrades. These investments are expected to support progress toward TAM targets. See </w:t>
      </w:r>
      <w:r w:rsidRPr="006C1CFA">
        <w:rPr>
          <w:i/>
          <w:iCs/>
        </w:rPr>
        <w:t>[insert TIP section]</w:t>
      </w:r>
      <w:r w:rsidRPr="006C1CFA">
        <w:t xml:space="preserve"> for details.</w:t>
      </w:r>
    </w:p>
    <w:p w14:paraId="1C939B42" w14:textId="027B4F64" w:rsidR="006C1CFA" w:rsidRDefault="006C1CFA" w:rsidP="004E6DBC">
      <w:pPr>
        <w:pStyle w:val="BodyText"/>
        <w:spacing w:after="120"/>
      </w:pPr>
      <w:r w:rsidRPr="006C1CFA">
        <w:rPr>
          <w:b/>
          <w:bCs/>
        </w:rPr>
        <w:t>For Tier II Group TAM participants:</w:t>
      </w:r>
      <w:r w:rsidRPr="006C1CFA">
        <w:t xml:space="preserve"> FDOT’s Group TAM Plan prioritizes </w:t>
      </w:r>
      <w:r w:rsidR="00876587">
        <w:t>the replacement or rehabilitation of</w:t>
      </w:r>
      <w:r w:rsidRPr="006C1CFA">
        <w:t xml:space="preserve"> vehicles, equipment, and facilities based on condition and safety risk.</w:t>
      </w:r>
    </w:p>
    <w:p w14:paraId="78F600EE" w14:textId="77777777" w:rsidR="002B54F2" w:rsidRDefault="00A17E81" w:rsidP="004E6DBC">
      <w:pPr>
        <w:pStyle w:val="BodyText"/>
        <w:spacing w:after="120"/>
        <w:sectPr w:rsidR="002B54F2" w:rsidSect="002B54F2">
          <w:pgSz w:w="12240" w:h="15840" w:code="1"/>
          <w:pgMar w:top="1440" w:right="1440" w:bottom="1440" w:left="1440" w:header="720" w:footer="720" w:gutter="0"/>
          <w:cols w:space="720"/>
          <w:titlePg/>
          <w:docGrid w:linePitch="360"/>
        </w:sectPr>
      </w:pPr>
      <w:r w:rsidRPr="00A17E81">
        <w:t>The TIP also includes projects that support transit safety, consistent with the PTASP and LRTP priorities. These may include safety equipment, facility improvements, and reliability enhancements. Project selection incorporates criteria aligned with transit safety performance measures.</w:t>
      </w:r>
      <w:r>
        <w:t xml:space="preserve"> </w:t>
      </w:r>
      <w:r w:rsidRPr="00A17E81">
        <w:t xml:space="preserve">The TIP allocates </w:t>
      </w:r>
      <w:r w:rsidRPr="00A17E81">
        <w:rPr>
          <w:i/>
          <w:iCs/>
        </w:rPr>
        <w:t>$xx million</w:t>
      </w:r>
      <w:r w:rsidRPr="00A17E81">
        <w:t xml:space="preserve"> for transit safety improvements, including </w:t>
      </w:r>
      <w:r w:rsidRPr="00A17E81">
        <w:rPr>
          <w:i/>
          <w:iCs/>
        </w:rPr>
        <w:t>[brief description].</w:t>
      </w:r>
      <w:r w:rsidRPr="00A17E81">
        <w:t xml:space="preserve"> These investments are expected to support progress toward transit safety performance targets. See </w:t>
      </w:r>
      <w:r w:rsidRPr="00A17E81">
        <w:rPr>
          <w:i/>
          <w:iCs/>
        </w:rPr>
        <w:t>[</w:t>
      </w:r>
      <w:r w:rsidR="00F7017B">
        <w:rPr>
          <w:i/>
          <w:iCs/>
        </w:rPr>
        <w:t xml:space="preserve">identify </w:t>
      </w:r>
      <w:r w:rsidRPr="00A17E81">
        <w:rPr>
          <w:i/>
          <w:iCs/>
        </w:rPr>
        <w:t>TIP section]</w:t>
      </w:r>
      <w:r w:rsidRPr="00A17E81">
        <w:t xml:space="preserve"> for more information.</w:t>
      </w:r>
    </w:p>
    <w:p w14:paraId="3727397E" w14:textId="15DA8639" w:rsidR="00F371CB" w:rsidRPr="00C43A61" w:rsidRDefault="00DA030C" w:rsidP="00AB5ADD">
      <w:pPr>
        <w:pStyle w:val="Heading1"/>
      </w:pPr>
      <w:bookmarkStart w:id="3" w:name="_Toc225334704"/>
      <w:r w:rsidRPr="00C43A61">
        <w:lastRenderedPageBreak/>
        <w:t>Highway Safety Measures (PM1)</w:t>
      </w:r>
      <w:bookmarkEnd w:id="3"/>
    </w:p>
    <w:p w14:paraId="191818EF" w14:textId="35B23C5E" w:rsidR="00BA3635" w:rsidRPr="00AE29AC" w:rsidRDefault="005B50A3" w:rsidP="009911FF">
      <w:pPr>
        <w:pStyle w:val="Heading2"/>
      </w:pPr>
      <w:r w:rsidRPr="00AE29AC">
        <w:t xml:space="preserve">State </w:t>
      </w:r>
      <w:r w:rsidR="00BA3635" w:rsidRPr="00AE29AC">
        <w:t>Timeline</w:t>
      </w:r>
      <w:r w:rsidRPr="00AE29AC">
        <w:t xml:space="preserve"> and Reporting</w:t>
      </w:r>
    </w:p>
    <w:p w14:paraId="063728B4" w14:textId="748ADD0E" w:rsidR="00861230" w:rsidRDefault="00DA030C" w:rsidP="009911FF">
      <w:pPr>
        <w:pStyle w:val="BodyText"/>
      </w:pPr>
      <w:r w:rsidRPr="00AE29AC">
        <w:t xml:space="preserve">Safety performance measure targets </w:t>
      </w:r>
      <w:r w:rsidR="00A66A26" w:rsidRPr="00AE29AC">
        <w:t>must</w:t>
      </w:r>
      <w:r w:rsidRPr="00AE29AC">
        <w:t xml:space="preserve"> be adopted </w:t>
      </w:r>
      <w:r w:rsidR="002016E0" w:rsidRPr="00AE29AC">
        <w:t>annually</w:t>
      </w:r>
      <w:r w:rsidRPr="00AE29AC">
        <w:t>. In August of each calendar year</w:t>
      </w:r>
      <w:r w:rsidR="00866D52">
        <w:t xml:space="preserve"> (CY)</w:t>
      </w:r>
      <w:r w:rsidRPr="00AE29AC">
        <w:t>, FDOT reports targets to FHWA for the following calendar year. On August 31, 202</w:t>
      </w:r>
      <w:r w:rsidR="00A66A26" w:rsidRPr="00AE29AC">
        <w:t>5</w:t>
      </w:r>
      <w:r w:rsidRPr="00AE29AC">
        <w:t xml:space="preserve">, FDOT established statewide safety performance targets for </w:t>
      </w:r>
      <w:r w:rsidR="00866D52">
        <w:t>CY</w:t>
      </w:r>
      <w:r w:rsidRPr="00AE29AC">
        <w:t>202</w:t>
      </w:r>
      <w:r w:rsidR="00A66A26" w:rsidRPr="00AE29AC">
        <w:t>6</w:t>
      </w:r>
      <w:r w:rsidR="00866D52">
        <w:t>.</w:t>
      </w:r>
      <w:r w:rsidR="00AB659A" w:rsidRPr="00AE29AC">
        <w:t xml:space="preserve"> </w:t>
      </w:r>
    </w:p>
    <w:p w14:paraId="7B3DF6C8" w14:textId="0CA7C71C" w:rsidR="00861230" w:rsidRPr="00AE29AC" w:rsidRDefault="00446D41" w:rsidP="009911FF">
      <w:pPr>
        <w:pStyle w:val="Heading2"/>
      </w:pPr>
      <w:r w:rsidRPr="00AE29AC">
        <w:t xml:space="preserve">MPO Timeline and </w:t>
      </w:r>
      <w:r w:rsidR="00861230" w:rsidRPr="00AE29AC">
        <w:t>Reporting</w:t>
      </w:r>
    </w:p>
    <w:p w14:paraId="3C51E6C7" w14:textId="37C3DBC9" w:rsidR="00446D41" w:rsidRDefault="002766D5" w:rsidP="009911FF">
      <w:pPr>
        <w:pStyle w:val="BodyText"/>
      </w:pPr>
      <w:r>
        <w:t>MPOs must e</w:t>
      </w:r>
      <w:r w:rsidR="00446D41" w:rsidRPr="001F53EC">
        <w:t xml:space="preserve">stablish safety targets annually within 180 days </w:t>
      </w:r>
      <w:r w:rsidR="00F976AA">
        <w:t xml:space="preserve">of </w:t>
      </w:r>
      <w:r w:rsidR="00446D41">
        <w:t xml:space="preserve">FDOT's establishment of statewide </w:t>
      </w:r>
      <w:r w:rsidR="00446D41" w:rsidRPr="001F53EC">
        <w:t xml:space="preserve">targets. </w:t>
      </w:r>
    </w:p>
    <w:p w14:paraId="547C9B4E" w14:textId="3F2C0E4E" w:rsidR="00DA030C" w:rsidRPr="00F50787" w:rsidRDefault="00DA030C" w:rsidP="003C32B3">
      <w:pPr>
        <w:keepNext/>
        <w:spacing w:after="0" w:line="240" w:lineRule="auto"/>
        <w:rPr>
          <w:rFonts w:cs="Proxima Nova"/>
          <w:b/>
          <w:bCs/>
          <w:color w:val="000000"/>
          <w:sz w:val="22"/>
        </w:rPr>
      </w:pPr>
      <w:r w:rsidRPr="00F50787">
        <w:rPr>
          <w:rFonts w:cs="Proxima Nova"/>
          <w:b/>
          <w:bCs/>
          <w:color w:val="000000"/>
          <w:sz w:val="22"/>
        </w:rPr>
        <w:t xml:space="preserve">[OPTION A: For </w:t>
      </w:r>
      <w:r w:rsidR="00AF74C6" w:rsidRPr="00F50787">
        <w:rPr>
          <w:rFonts w:cs="Proxima Nova"/>
          <w:b/>
          <w:bCs/>
          <w:color w:val="000000"/>
          <w:sz w:val="22"/>
        </w:rPr>
        <w:t>a</w:t>
      </w:r>
      <w:r w:rsidR="00847AC6" w:rsidRPr="00F50787">
        <w:rPr>
          <w:rFonts w:cs="Proxima Nova"/>
          <w:b/>
          <w:bCs/>
          <w:color w:val="000000"/>
          <w:sz w:val="22"/>
        </w:rPr>
        <w:t>n</w:t>
      </w:r>
      <w:r w:rsidR="00AF74C6" w:rsidRPr="00F50787">
        <w:rPr>
          <w:rFonts w:cs="Proxima Nova"/>
          <w:b/>
          <w:bCs/>
          <w:color w:val="000000"/>
          <w:sz w:val="22"/>
        </w:rPr>
        <w:t xml:space="preserve"> </w:t>
      </w:r>
      <w:r w:rsidRPr="00F50787">
        <w:rPr>
          <w:rFonts w:cs="Proxima Nova"/>
          <w:b/>
          <w:bCs/>
          <w:color w:val="000000"/>
          <w:sz w:val="22"/>
        </w:rPr>
        <w:t>MPO that supports statewide targets]</w:t>
      </w:r>
    </w:p>
    <w:p w14:paraId="4B5EF247" w14:textId="19D067C0" w:rsidR="00DA030C" w:rsidRDefault="00250EEB" w:rsidP="009911FF">
      <w:pPr>
        <w:pStyle w:val="BodyText"/>
        <w:rPr>
          <w:bCs/>
          <w:color w:val="000000"/>
          <w:kern w:val="36"/>
        </w:rPr>
      </w:pPr>
      <w:r w:rsidRPr="00486407">
        <w:rPr>
          <w:b/>
          <w:bCs/>
        </w:rPr>
        <w:t>Sample language</w:t>
      </w:r>
      <w:r w:rsidRPr="00F50787">
        <w:t xml:space="preserve">: </w:t>
      </w:r>
      <w:r w:rsidR="00DA030C" w:rsidRPr="00F50787">
        <w:t xml:space="preserve">The </w:t>
      </w:r>
      <w:r w:rsidR="00DA030C" w:rsidRPr="00F50787">
        <w:rPr>
          <w:bCs/>
          <w:color w:val="000000"/>
          <w:kern w:val="36"/>
        </w:rPr>
        <w:t>[</w:t>
      </w:r>
      <w:r w:rsidR="00F7017B" w:rsidRPr="00F7017B">
        <w:rPr>
          <w:bCs/>
          <w:i/>
          <w:iCs/>
          <w:color w:val="000000"/>
          <w:kern w:val="36"/>
        </w:rPr>
        <w:t xml:space="preserve">MPO </w:t>
      </w:r>
      <w:r w:rsidR="00DA030C" w:rsidRPr="00F327D4">
        <w:rPr>
          <w:bCs/>
          <w:i/>
          <w:iCs/>
          <w:color w:val="000000"/>
          <w:kern w:val="36"/>
        </w:rPr>
        <w:t>name</w:t>
      </w:r>
      <w:r w:rsidR="00DA030C" w:rsidRPr="00F50787">
        <w:rPr>
          <w:bCs/>
          <w:color w:val="000000"/>
          <w:kern w:val="36"/>
        </w:rPr>
        <w:t>]</w:t>
      </w:r>
      <w:r w:rsidR="00DA030C" w:rsidRPr="00F50787">
        <w:t>, along with FDOT and other traffic safety partners, shares a concern about the unacceptable number of traffic fatalities, both statewide and nationally. As such, on [</w:t>
      </w:r>
      <w:r w:rsidR="00DA030C" w:rsidRPr="001F13D5">
        <w:rPr>
          <w:i/>
          <w:iCs/>
        </w:rPr>
        <w:t>date</w:t>
      </w:r>
      <w:r w:rsidR="00DA030C" w:rsidRPr="00F50787">
        <w:t>], the [</w:t>
      </w:r>
      <w:r w:rsidR="00DA030C" w:rsidRPr="001F13D5">
        <w:rPr>
          <w:i/>
          <w:iCs/>
        </w:rPr>
        <w:t>MPO name</w:t>
      </w:r>
      <w:r w:rsidR="00DA030C" w:rsidRPr="00F50787">
        <w:t xml:space="preserve">] agreed to support FDOT’s statewide safety performance targets for calendar </w:t>
      </w:r>
      <w:r w:rsidR="00DA030C" w:rsidRPr="009911FF">
        <w:t>year</w:t>
      </w:r>
      <w:r w:rsidR="00DA030C" w:rsidRPr="00F50787">
        <w:t xml:space="preserve"> 202</w:t>
      </w:r>
      <w:r w:rsidR="00E346DF" w:rsidRPr="00F50787">
        <w:t>6</w:t>
      </w:r>
      <w:r w:rsidR="00DA030C" w:rsidRPr="00F50787">
        <w:t>, thus agreeing to plan and program projects in the TIP that</w:t>
      </w:r>
      <w:r w:rsidR="00FF00EE" w:rsidRPr="00F50787">
        <w:t>,</w:t>
      </w:r>
      <w:r w:rsidR="00DA030C" w:rsidRPr="00F50787">
        <w:t xml:space="preserve"> once implemented, are anticipated to make progress toward achieving the statewide targets. The safety initiatives within this TIP are intended to </w:t>
      </w:r>
      <w:r w:rsidR="00E346DF" w:rsidRPr="00F50787">
        <w:t>help achieve</w:t>
      </w:r>
      <w:r w:rsidR="00DA030C" w:rsidRPr="00F50787">
        <w:t xml:space="preserve"> these targets.</w:t>
      </w:r>
      <w:r w:rsidR="00DA030C" w:rsidRPr="00F50787">
        <w:rPr>
          <w:bCs/>
          <w:color w:val="000000"/>
          <w:kern w:val="36"/>
        </w:rPr>
        <w:t xml:space="preserve"> [</w:t>
      </w:r>
      <w:r w:rsidR="00DA030C" w:rsidRPr="00184DFB">
        <w:rPr>
          <w:bCs/>
          <w:i/>
          <w:iCs/>
          <w:color w:val="000000"/>
          <w:kern w:val="36"/>
        </w:rPr>
        <w:t>The MPO may discuss the reasoning or analysis behind the decision to support the state targets.</w:t>
      </w:r>
      <w:r w:rsidR="00DA030C" w:rsidRPr="00F50787">
        <w:rPr>
          <w:bCs/>
          <w:color w:val="000000"/>
          <w:kern w:val="36"/>
        </w:rPr>
        <w:t>]</w:t>
      </w:r>
    </w:p>
    <w:p w14:paraId="55A69568" w14:textId="678F5E02" w:rsidR="00DA030C" w:rsidRPr="00F50787" w:rsidRDefault="00DA030C" w:rsidP="003C32B3">
      <w:pPr>
        <w:keepNext/>
        <w:spacing w:after="0" w:line="240" w:lineRule="auto"/>
        <w:rPr>
          <w:rFonts w:cs="Proxima Nova"/>
          <w:b/>
          <w:bCs/>
          <w:color w:val="000000"/>
          <w:sz w:val="22"/>
        </w:rPr>
      </w:pPr>
      <w:r w:rsidRPr="00F50787">
        <w:rPr>
          <w:rFonts w:cs="Proxima Nova"/>
          <w:b/>
          <w:bCs/>
          <w:color w:val="000000"/>
          <w:sz w:val="22"/>
        </w:rPr>
        <w:t xml:space="preserve">[OPTION B: For </w:t>
      </w:r>
      <w:r w:rsidR="00AF74C6" w:rsidRPr="00F50787">
        <w:rPr>
          <w:rFonts w:cs="Proxima Nova"/>
          <w:b/>
          <w:bCs/>
          <w:color w:val="000000"/>
          <w:sz w:val="22"/>
        </w:rPr>
        <w:t>a</w:t>
      </w:r>
      <w:r w:rsidR="00847AC6" w:rsidRPr="00F50787">
        <w:rPr>
          <w:rFonts w:cs="Proxima Nova"/>
          <w:b/>
          <w:bCs/>
          <w:color w:val="000000"/>
          <w:sz w:val="22"/>
        </w:rPr>
        <w:t>n</w:t>
      </w:r>
      <w:r w:rsidR="00AF74C6" w:rsidRPr="00F50787">
        <w:rPr>
          <w:rFonts w:cs="Proxima Nova"/>
          <w:b/>
          <w:bCs/>
          <w:color w:val="000000"/>
          <w:sz w:val="22"/>
        </w:rPr>
        <w:t xml:space="preserve"> </w:t>
      </w:r>
      <w:r w:rsidRPr="00F50787">
        <w:rPr>
          <w:rFonts w:cs="Proxima Nova"/>
          <w:b/>
          <w:bCs/>
          <w:color w:val="000000"/>
          <w:sz w:val="22"/>
        </w:rPr>
        <w:t>MPO that establishes its own targets]</w:t>
      </w:r>
    </w:p>
    <w:p w14:paraId="72BE8C0C" w14:textId="3261FDD9" w:rsidR="00DA030C" w:rsidRDefault="00EA0D6D" w:rsidP="009911FF">
      <w:pPr>
        <w:pStyle w:val="BodyText"/>
      </w:pPr>
      <w:r w:rsidRPr="00486407">
        <w:rPr>
          <w:b/>
          <w:bCs/>
        </w:rPr>
        <w:t xml:space="preserve">Sample language: </w:t>
      </w:r>
      <w:r w:rsidR="00DA030C" w:rsidRPr="00F50787">
        <w:t xml:space="preserve">The </w:t>
      </w:r>
      <w:r w:rsidR="00F7017B" w:rsidRPr="00F50787">
        <w:rPr>
          <w:bCs/>
          <w:color w:val="000000"/>
          <w:kern w:val="36"/>
        </w:rPr>
        <w:t>[</w:t>
      </w:r>
      <w:r w:rsidR="00F7017B" w:rsidRPr="00F7017B">
        <w:rPr>
          <w:bCs/>
          <w:i/>
          <w:iCs/>
          <w:color w:val="000000"/>
          <w:kern w:val="36"/>
        </w:rPr>
        <w:t xml:space="preserve">MPO </w:t>
      </w:r>
      <w:r w:rsidR="00F7017B" w:rsidRPr="00F327D4">
        <w:rPr>
          <w:bCs/>
          <w:i/>
          <w:iCs/>
          <w:color w:val="000000"/>
          <w:kern w:val="36"/>
        </w:rPr>
        <w:t>name</w:t>
      </w:r>
      <w:r w:rsidR="00F7017B" w:rsidRPr="00F50787">
        <w:rPr>
          <w:bCs/>
          <w:color w:val="000000"/>
          <w:kern w:val="36"/>
        </w:rPr>
        <w:t>]</w:t>
      </w:r>
      <w:r w:rsidR="00DA030C" w:rsidRPr="00F50787">
        <w:t xml:space="preserve"> acknowledges FDOT statewide 202</w:t>
      </w:r>
      <w:r w:rsidR="00896989" w:rsidRPr="00F50787">
        <w:t>5</w:t>
      </w:r>
      <w:r w:rsidR="00DA030C" w:rsidRPr="00F50787">
        <w:t xml:space="preserve"> safety targets, which are set at “0” for each performance measure to reflect FDOT’s goal of zero </w:t>
      </w:r>
      <w:r w:rsidR="006B20BD">
        <w:t>fatalities and serious injuries</w:t>
      </w:r>
      <w:r w:rsidR="00DA030C" w:rsidRPr="00F50787">
        <w:t xml:space="preserve">. However, the MPO established </w:t>
      </w:r>
      <w:r w:rsidR="006E2948">
        <w:t xml:space="preserve">its own </w:t>
      </w:r>
      <w:r w:rsidR="00DA030C" w:rsidRPr="00F50787">
        <w:t>safety performance targets. On [</w:t>
      </w:r>
      <w:r w:rsidR="00DA030C" w:rsidRPr="006E2948">
        <w:rPr>
          <w:i/>
          <w:iCs/>
        </w:rPr>
        <w:t>date</w:t>
      </w:r>
      <w:r w:rsidR="00DA030C" w:rsidRPr="00F50787">
        <w:t>], the [</w:t>
      </w:r>
      <w:r w:rsidR="00DA030C" w:rsidRPr="006E2948">
        <w:rPr>
          <w:i/>
          <w:iCs/>
        </w:rPr>
        <w:t>MPO name</w:t>
      </w:r>
      <w:r w:rsidR="00DA030C" w:rsidRPr="00F50787">
        <w:t xml:space="preserve">] established the </w:t>
      </w:r>
      <w:r w:rsidR="004B19DA" w:rsidRPr="00F50787">
        <w:t>safety targets for calendar year 2026, as shown in the table [</w:t>
      </w:r>
      <w:r w:rsidR="00471B84">
        <w:rPr>
          <w:i/>
          <w:iCs/>
        </w:rPr>
        <w:t>may be combined</w:t>
      </w:r>
      <w:r w:rsidR="004B19DA" w:rsidRPr="006E2948">
        <w:rPr>
          <w:i/>
          <w:iCs/>
        </w:rPr>
        <w:t xml:space="preserve"> with statewide targets if desired</w:t>
      </w:r>
      <w:r w:rsidR="004B19DA" w:rsidRPr="00F50787">
        <w:t>].</w:t>
      </w:r>
      <w:r w:rsidR="00DA030C" w:rsidRPr="00F50787">
        <w:t xml:space="preserve">  </w:t>
      </w:r>
    </w:p>
    <w:p w14:paraId="55D7EAB9" w14:textId="6BA46335" w:rsidR="00765F35" w:rsidRDefault="00765F35" w:rsidP="003C32B3">
      <w:pPr>
        <w:pStyle w:val="Caption"/>
        <w:spacing w:after="0" w:line="240" w:lineRule="auto"/>
      </w:pPr>
      <w:bookmarkStart w:id="4" w:name="_Toc223951437"/>
      <w:r w:rsidRPr="00F511AE">
        <w:t>MPO Safety Targets</w:t>
      </w:r>
      <w:bookmarkEnd w:id="4"/>
      <w:r w:rsidR="003B3F25">
        <w:t xml:space="preserve"> [</w:t>
      </w:r>
      <w:r w:rsidR="003B3F25" w:rsidRPr="003B3F25">
        <w:rPr>
          <w:i/>
          <w:iCs/>
        </w:rPr>
        <w:t>Example</w:t>
      </w:r>
      <w:r w:rsidR="003B3F25">
        <w:t>]</w:t>
      </w:r>
    </w:p>
    <w:tbl>
      <w:tblPr>
        <w:tblStyle w:val="Style1"/>
        <w:tblW w:w="5000" w:type="pct"/>
        <w:tblLook w:val="0420" w:firstRow="1" w:lastRow="0" w:firstColumn="0" w:lastColumn="0" w:noHBand="0" w:noVBand="1"/>
      </w:tblPr>
      <w:tblGrid>
        <w:gridCol w:w="7043"/>
        <w:gridCol w:w="2317"/>
      </w:tblGrid>
      <w:tr w:rsidR="00A07079" w:rsidRPr="002D3AEF" w14:paraId="77FCFB1C" w14:textId="77777777" w:rsidTr="002B54F2">
        <w:trPr>
          <w:cnfStyle w:val="100000000000" w:firstRow="1" w:lastRow="0" w:firstColumn="0" w:lastColumn="0" w:oddVBand="0" w:evenVBand="0" w:oddHBand="0" w:evenHBand="0" w:firstRowFirstColumn="0" w:firstRowLastColumn="0" w:lastRowFirstColumn="0" w:lastRowLastColumn="0"/>
          <w:trHeight w:val="504"/>
          <w:tblHeader/>
        </w:trPr>
        <w:tc>
          <w:tcPr>
            <w:tcW w:w="6565" w:type="dxa"/>
            <w:vAlign w:val="bottom"/>
          </w:tcPr>
          <w:p w14:paraId="52C30A35" w14:textId="77777777" w:rsidR="00DA030C" w:rsidRPr="00F50787" w:rsidRDefault="00DA030C" w:rsidP="003C32B3">
            <w:pPr>
              <w:pStyle w:val="TableHead"/>
              <w:spacing w:before="0"/>
              <w:rPr>
                <w:sz w:val="22"/>
                <w:szCs w:val="22"/>
              </w:rPr>
            </w:pPr>
            <w:r w:rsidRPr="00F50787">
              <w:rPr>
                <w:sz w:val="22"/>
                <w:szCs w:val="22"/>
              </w:rPr>
              <w:t>Performance Measure</w:t>
            </w:r>
          </w:p>
        </w:tc>
        <w:tc>
          <w:tcPr>
            <w:tcW w:w="2160" w:type="dxa"/>
          </w:tcPr>
          <w:p w14:paraId="1F6B71E4" w14:textId="3187220C" w:rsidR="00DA030C" w:rsidRPr="00F50787" w:rsidRDefault="00DA030C" w:rsidP="003C32B3">
            <w:pPr>
              <w:pStyle w:val="TableHead"/>
              <w:spacing w:before="0"/>
              <w:jc w:val="center"/>
              <w:rPr>
                <w:sz w:val="22"/>
                <w:szCs w:val="22"/>
              </w:rPr>
            </w:pPr>
            <w:r w:rsidRPr="00F50787">
              <w:rPr>
                <w:sz w:val="22"/>
                <w:szCs w:val="22"/>
              </w:rPr>
              <w:t>Calendar Year 202</w:t>
            </w:r>
            <w:r w:rsidR="00197846" w:rsidRPr="00F50787">
              <w:rPr>
                <w:sz w:val="22"/>
                <w:szCs w:val="22"/>
              </w:rPr>
              <w:t>6</w:t>
            </w:r>
            <w:r w:rsidRPr="00F50787">
              <w:rPr>
                <w:sz w:val="22"/>
                <w:szCs w:val="22"/>
              </w:rPr>
              <w:t xml:space="preserve"> MPO Target</w:t>
            </w:r>
          </w:p>
        </w:tc>
      </w:tr>
      <w:tr w:rsidR="00A07079" w:rsidRPr="00F4642E" w14:paraId="1725BEC8" w14:textId="77777777" w:rsidTr="004F4E44">
        <w:trPr>
          <w:trHeight w:val="233"/>
        </w:trPr>
        <w:tc>
          <w:tcPr>
            <w:tcW w:w="6565" w:type="dxa"/>
          </w:tcPr>
          <w:p w14:paraId="3F3A65B8" w14:textId="77777777" w:rsidR="00DA030C" w:rsidRPr="00F50787" w:rsidRDefault="00DA030C" w:rsidP="003C32B3">
            <w:pPr>
              <w:pStyle w:val="TableText"/>
              <w:rPr>
                <w:b/>
                <w:sz w:val="22"/>
                <w:szCs w:val="22"/>
              </w:rPr>
            </w:pPr>
            <w:r w:rsidRPr="00F50787">
              <w:rPr>
                <w:sz w:val="22"/>
                <w:szCs w:val="22"/>
              </w:rPr>
              <w:t>Number of fatalities</w:t>
            </w:r>
          </w:p>
        </w:tc>
        <w:tc>
          <w:tcPr>
            <w:tcW w:w="2160" w:type="dxa"/>
          </w:tcPr>
          <w:p w14:paraId="3E5D2A1F" w14:textId="77777777" w:rsidR="00DA030C" w:rsidRPr="00F50787" w:rsidRDefault="00DA030C" w:rsidP="003C32B3">
            <w:pPr>
              <w:pStyle w:val="TableText"/>
              <w:jc w:val="center"/>
              <w:rPr>
                <w:sz w:val="22"/>
                <w:szCs w:val="22"/>
              </w:rPr>
            </w:pPr>
            <w:r w:rsidRPr="00F50787">
              <w:rPr>
                <w:sz w:val="22"/>
                <w:szCs w:val="22"/>
              </w:rPr>
              <w:t>x</w:t>
            </w:r>
          </w:p>
        </w:tc>
      </w:tr>
      <w:tr w:rsidR="00A07079" w:rsidRPr="00F4642E" w14:paraId="42F69AD3" w14:textId="77777777" w:rsidTr="004F4E44">
        <w:trPr>
          <w:trHeight w:val="251"/>
        </w:trPr>
        <w:tc>
          <w:tcPr>
            <w:tcW w:w="6565" w:type="dxa"/>
          </w:tcPr>
          <w:p w14:paraId="1E14B821" w14:textId="77777777" w:rsidR="00DA030C" w:rsidRPr="00F50787" w:rsidRDefault="00DA030C" w:rsidP="003C32B3">
            <w:pPr>
              <w:pStyle w:val="TableText"/>
              <w:rPr>
                <w:b/>
                <w:sz w:val="22"/>
                <w:szCs w:val="22"/>
              </w:rPr>
            </w:pPr>
            <w:r w:rsidRPr="00F50787">
              <w:rPr>
                <w:sz w:val="22"/>
                <w:szCs w:val="22"/>
              </w:rPr>
              <w:t>Rate of fatalities per 100 million vehicle miles traveled (VMT)</w:t>
            </w:r>
          </w:p>
        </w:tc>
        <w:tc>
          <w:tcPr>
            <w:tcW w:w="2160" w:type="dxa"/>
          </w:tcPr>
          <w:p w14:paraId="1BE889AE" w14:textId="77777777" w:rsidR="00DA030C" w:rsidRPr="00F50787" w:rsidRDefault="00DA030C" w:rsidP="003C32B3">
            <w:pPr>
              <w:pStyle w:val="TableText"/>
              <w:jc w:val="center"/>
              <w:rPr>
                <w:sz w:val="22"/>
                <w:szCs w:val="22"/>
              </w:rPr>
            </w:pPr>
            <w:r w:rsidRPr="00F50787">
              <w:rPr>
                <w:sz w:val="22"/>
                <w:szCs w:val="22"/>
              </w:rPr>
              <w:t>x</w:t>
            </w:r>
          </w:p>
        </w:tc>
      </w:tr>
      <w:tr w:rsidR="00A07079" w:rsidRPr="00F4642E" w14:paraId="3E66BEFF" w14:textId="77777777" w:rsidTr="004F4E44">
        <w:trPr>
          <w:trHeight w:val="260"/>
        </w:trPr>
        <w:tc>
          <w:tcPr>
            <w:tcW w:w="6565" w:type="dxa"/>
          </w:tcPr>
          <w:p w14:paraId="099E567D" w14:textId="1CAA064B" w:rsidR="00DA030C" w:rsidRPr="00F50787" w:rsidRDefault="00DA030C" w:rsidP="003C32B3">
            <w:pPr>
              <w:pStyle w:val="TableText"/>
              <w:rPr>
                <w:b/>
                <w:sz w:val="22"/>
                <w:szCs w:val="22"/>
              </w:rPr>
            </w:pPr>
            <w:r w:rsidRPr="00F50787">
              <w:rPr>
                <w:sz w:val="22"/>
                <w:szCs w:val="22"/>
              </w:rPr>
              <w:t xml:space="preserve">Number of serious </w:t>
            </w:r>
            <w:r w:rsidR="0011019A">
              <w:rPr>
                <w:sz w:val="22"/>
                <w:szCs w:val="22"/>
              </w:rPr>
              <w:t>i</w:t>
            </w:r>
            <w:r w:rsidRPr="00F50787">
              <w:rPr>
                <w:sz w:val="22"/>
                <w:szCs w:val="22"/>
              </w:rPr>
              <w:t>njuries</w:t>
            </w:r>
          </w:p>
        </w:tc>
        <w:tc>
          <w:tcPr>
            <w:tcW w:w="2160" w:type="dxa"/>
          </w:tcPr>
          <w:p w14:paraId="1A68B7FA" w14:textId="77777777" w:rsidR="00DA030C" w:rsidRPr="00F50787" w:rsidRDefault="00DA030C" w:rsidP="003C32B3">
            <w:pPr>
              <w:pStyle w:val="TableText"/>
              <w:jc w:val="center"/>
              <w:rPr>
                <w:sz w:val="22"/>
                <w:szCs w:val="22"/>
              </w:rPr>
            </w:pPr>
            <w:r w:rsidRPr="00F50787">
              <w:rPr>
                <w:sz w:val="22"/>
                <w:szCs w:val="22"/>
              </w:rPr>
              <w:t>x</w:t>
            </w:r>
          </w:p>
        </w:tc>
      </w:tr>
      <w:tr w:rsidR="00A07079" w:rsidRPr="00F4642E" w14:paraId="78354BA1" w14:textId="77777777" w:rsidTr="004F4E44">
        <w:trPr>
          <w:trHeight w:val="80"/>
        </w:trPr>
        <w:tc>
          <w:tcPr>
            <w:tcW w:w="6565" w:type="dxa"/>
          </w:tcPr>
          <w:p w14:paraId="06BA19ED" w14:textId="7730FC8E" w:rsidR="00DA030C" w:rsidRPr="00F50787" w:rsidRDefault="00DA030C" w:rsidP="003C32B3">
            <w:pPr>
              <w:pStyle w:val="TableText"/>
              <w:rPr>
                <w:b/>
                <w:sz w:val="22"/>
                <w:szCs w:val="22"/>
              </w:rPr>
            </w:pPr>
            <w:r w:rsidRPr="00F50787">
              <w:rPr>
                <w:sz w:val="22"/>
                <w:szCs w:val="22"/>
              </w:rPr>
              <w:t xml:space="preserve">Rate of serious </w:t>
            </w:r>
            <w:r w:rsidR="004A5C1F" w:rsidRPr="00F50787">
              <w:rPr>
                <w:sz w:val="22"/>
                <w:szCs w:val="22"/>
              </w:rPr>
              <w:t>injuries</w:t>
            </w:r>
            <w:r w:rsidRPr="00F50787">
              <w:rPr>
                <w:sz w:val="22"/>
                <w:szCs w:val="22"/>
              </w:rPr>
              <w:t xml:space="preserve"> per 100 million vehicle miles traveled (VMT)</w:t>
            </w:r>
          </w:p>
        </w:tc>
        <w:tc>
          <w:tcPr>
            <w:tcW w:w="2160" w:type="dxa"/>
          </w:tcPr>
          <w:p w14:paraId="2C81520B" w14:textId="77777777" w:rsidR="00DA030C" w:rsidRPr="00F50787" w:rsidRDefault="00DA030C" w:rsidP="003C32B3">
            <w:pPr>
              <w:pStyle w:val="TableText"/>
              <w:jc w:val="center"/>
              <w:rPr>
                <w:sz w:val="22"/>
                <w:szCs w:val="22"/>
              </w:rPr>
            </w:pPr>
            <w:r w:rsidRPr="00F50787">
              <w:rPr>
                <w:sz w:val="22"/>
                <w:szCs w:val="22"/>
              </w:rPr>
              <w:t>x</w:t>
            </w:r>
          </w:p>
        </w:tc>
      </w:tr>
      <w:tr w:rsidR="00A07079" w:rsidRPr="00F4642E" w14:paraId="03762164" w14:textId="77777777" w:rsidTr="004F4E44">
        <w:trPr>
          <w:trHeight w:val="98"/>
        </w:trPr>
        <w:tc>
          <w:tcPr>
            <w:tcW w:w="6565" w:type="dxa"/>
          </w:tcPr>
          <w:p w14:paraId="2FA36550" w14:textId="77777777" w:rsidR="00DA030C" w:rsidRPr="00F50787" w:rsidRDefault="00DA030C" w:rsidP="003C32B3">
            <w:pPr>
              <w:pStyle w:val="TableText"/>
              <w:rPr>
                <w:b/>
                <w:sz w:val="22"/>
                <w:szCs w:val="22"/>
              </w:rPr>
            </w:pPr>
            <w:r w:rsidRPr="00F50787">
              <w:rPr>
                <w:sz w:val="22"/>
                <w:szCs w:val="22"/>
              </w:rPr>
              <w:t>Number of non-motorized fatalities and serious injuries</w:t>
            </w:r>
          </w:p>
        </w:tc>
        <w:tc>
          <w:tcPr>
            <w:tcW w:w="2160" w:type="dxa"/>
          </w:tcPr>
          <w:p w14:paraId="2A72716D" w14:textId="77777777" w:rsidR="00DA030C" w:rsidRPr="00F50787" w:rsidRDefault="00DA030C" w:rsidP="003C32B3">
            <w:pPr>
              <w:pStyle w:val="TableText"/>
              <w:jc w:val="center"/>
              <w:rPr>
                <w:sz w:val="22"/>
                <w:szCs w:val="22"/>
              </w:rPr>
            </w:pPr>
            <w:r w:rsidRPr="00F50787">
              <w:rPr>
                <w:sz w:val="22"/>
                <w:szCs w:val="22"/>
              </w:rPr>
              <w:t>x</w:t>
            </w:r>
          </w:p>
        </w:tc>
      </w:tr>
    </w:tbl>
    <w:p w14:paraId="52CE417A" w14:textId="77777777" w:rsidR="002B54F2" w:rsidRDefault="00EA0D6D" w:rsidP="005F1059">
      <w:pPr>
        <w:pStyle w:val="BodyText"/>
        <w:spacing w:before="240"/>
        <w:rPr>
          <w:bCs/>
          <w:color w:val="000000"/>
          <w:kern w:val="36"/>
        </w:rPr>
        <w:sectPr w:rsidR="002B54F2" w:rsidSect="002B54F2">
          <w:pgSz w:w="12240" w:h="15840" w:code="1"/>
          <w:pgMar w:top="1440" w:right="1440" w:bottom="1440" w:left="1440" w:header="720" w:footer="720" w:gutter="0"/>
          <w:cols w:space="720"/>
          <w:titlePg/>
          <w:docGrid w:linePitch="360"/>
        </w:sectPr>
      </w:pPr>
      <w:r w:rsidRPr="00486407">
        <w:rPr>
          <w:b/>
          <w:bCs/>
        </w:rPr>
        <w:t>Sample language:</w:t>
      </w:r>
      <w:r w:rsidRPr="00F50787">
        <w:t xml:space="preserve"> </w:t>
      </w:r>
      <w:r w:rsidR="004C3CB5" w:rsidRPr="00F50787">
        <w:t xml:space="preserve">The MPO should explain why and how it set its targets, including the basis for developing them and relevant factors </w:t>
      </w:r>
      <w:r w:rsidR="00DB1797">
        <w:t>such as</w:t>
      </w:r>
      <w:r w:rsidR="004C3CB5" w:rsidRPr="00F50787">
        <w:t xml:space="preserve"> safety performance trends, funding, </w:t>
      </w:r>
      <w:r w:rsidR="009D55D5" w:rsidRPr="00F50787">
        <w:t>increased focus on safety</w:t>
      </w:r>
      <w:r w:rsidR="004C3CB5" w:rsidRPr="00F50787">
        <w:t xml:space="preserve">, safety criteria for projects, travel behavior, </w:t>
      </w:r>
      <w:r w:rsidR="00DB1797">
        <w:t>and</w:t>
      </w:r>
      <w:r w:rsidR="004C3CB5" w:rsidRPr="00F50787">
        <w:t xml:space="preserve"> similar factors.</w:t>
      </w:r>
      <w:r w:rsidR="00DB1797">
        <w:t xml:space="preserve"> </w:t>
      </w:r>
      <w:r w:rsidR="00402905" w:rsidRPr="00F50787">
        <w:rPr>
          <w:bCs/>
          <w:color w:val="000000"/>
          <w:kern w:val="36"/>
        </w:rPr>
        <w:t xml:space="preserve">MPOs may discuss recent safety performance data in the MPO area. </w:t>
      </w:r>
      <w:r w:rsidR="00402905" w:rsidRPr="00F50787">
        <w:t>Note that MPOs are not required to discuss performance trends in the TIP, but their inclusion can provide context and supporting information for the narrative.</w:t>
      </w:r>
      <w:r w:rsidR="00402905" w:rsidRPr="00F50787">
        <w:rPr>
          <w:bCs/>
          <w:color w:val="000000"/>
          <w:kern w:val="36"/>
        </w:rPr>
        <w:t xml:space="preserve"> </w:t>
      </w:r>
    </w:p>
    <w:p w14:paraId="1CD29490" w14:textId="323B0AFE" w:rsidR="00200F04" w:rsidRPr="00122C67" w:rsidRDefault="00510702" w:rsidP="009911FF">
      <w:pPr>
        <w:pStyle w:val="Heading1"/>
      </w:pPr>
      <w:bookmarkStart w:id="5" w:name="_Toc225334705"/>
      <w:r w:rsidRPr="00122C67">
        <w:lastRenderedPageBreak/>
        <w:t>Bridge &amp; Pavement</w:t>
      </w:r>
      <w:r w:rsidR="00664DFA" w:rsidRPr="00122C67">
        <w:t xml:space="preserve"> Condition Measures (PM2)</w:t>
      </w:r>
      <w:bookmarkEnd w:id="5"/>
    </w:p>
    <w:p w14:paraId="795FE1EA" w14:textId="6486330E" w:rsidR="00935F6E" w:rsidRPr="009911FF" w:rsidRDefault="00DF3196" w:rsidP="009911FF">
      <w:pPr>
        <w:pStyle w:val="Heading2"/>
      </w:pPr>
      <w:bookmarkStart w:id="6" w:name="_Hlk190880778"/>
      <w:r w:rsidRPr="009911FF">
        <w:t xml:space="preserve">State </w:t>
      </w:r>
      <w:r w:rsidR="00935F6E" w:rsidRPr="009911FF">
        <w:t>Timeline</w:t>
      </w:r>
      <w:r w:rsidRPr="009911FF">
        <w:t xml:space="preserve"> and Reporting</w:t>
      </w:r>
    </w:p>
    <w:p w14:paraId="516B9F2A" w14:textId="4F112EC1" w:rsidR="002A320A" w:rsidRDefault="002E4616" w:rsidP="009911FF">
      <w:pPr>
        <w:pStyle w:val="BodyText"/>
      </w:pPr>
      <w:r w:rsidRPr="00E50081">
        <w:t>S</w:t>
      </w:r>
      <w:r w:rsidR="00E97DD5" w:rsidRPr="00E50081">
        <w:t xml:space="preserve">tate DOTs </w:t>
      </w:r>
      <w:r w:rsidRPr="00E50081">
        <w:t xml:space="preserve">must </w:t>
      </w:r>
      <w:r w:rsidR="00E97DD5" w:rsidRPr="00E50081">
        <w:t xml:space="preserve">establish two-year and four-year targets for bridge and pavement condition measures. </w:t>
      </w:r>
      <w:r w:rsidR="00252DA8" w:rsidRPr="00E50081">
        <w:t xml:space="preserve">Progress towards targets is reported at the midpoint and at the end of the performance period. </w:t>
      </w:r>
      <w:r w:rsidR="00C60462" w:rsidRPr="00E50081">
        <w:t xml:space="preserve">At the midpoint of the period, State DOTs </w:t>
      </w:r>
      <w:r w:rsidR="005C60B4">
        <w:t>may</w:t>
      </w:r>
      <w:r w:rsidR="00C60462" w:rsidRPr="00E50081">
        <w:t xml:space="preserve"> adjust the </w:t>
      </w:r>
      <w:r w:rsidR="00F34490" w:rsidRPr="00E50081">
        <w:t xml:space="preserve">4-year target. </w:t>
      </w:r>
      <w:r w:rsidR="00E97DD5" w:rsidRPr="00E50081">
        <w:t xml:space="preserve">On December 16, 2022, FDOT </w:t>
      </w:r>
      <w:r w:rsidRPr="00E50081">
        <w:t>established</w:t>
      </w:r>
      <w:r w:rsidR="00365124" w:rsidRPr="00E50081">
        <w:t xml:space="preserve"> </w:t>
      </w:r>
      <w:r w:rsidR="00E97DD5" w:rsidRPr="00E50081">
        <w:t>statewide bridge and pavement targets</w:t>
      </w:r>
      <w:r w:rsidR="00365124" w:rsidRPr="00E50081">
        <w:t>, and in September 2024</w:t>
      </w:r>
      <w:r w:rsidR="0074195A" w:rsidRPr="00E50081">
        <w:t xml:space="preserve">, adjusted the 2025 target for the </w:t>
      </w:r>
      <w:r w:rsidR="00F976AA" w:rsidRPr="00E50081">
        <w:t>percentage</w:t>
      </w:r>
      <w:r w:rsidR="00365124" w:rsidRPr="00E50081">
        <w:t xml:space="preserve"> of NHS bridges (by deck area) in poor condition.</w:t>
      </w:r>
      <w:r w:rsidR="00E97DD5" w:rsidRPr="00E50081">
        <w:t xml:space="preserve"> </w:t>
      </w:r>
    </w:p>
    <w:bookmarkEnd w:id="6"/>
    <w:p w14:paraId="34C7F533" w14:textId="2DD4BA1A" w:rsidR="007A5774" w:rsidRPr="00E50081" w:rsidRDefault="00B00AEC" w:rsidP="009911FF">
      <w:pPr>
        <w:pStyle w:val="Heading2"/>
      </w:pPr>
      <w:r w:rsidRPr="00E50081">
        <w:t xml:space="preserve">MPO </w:t>
      </w:r>
      <w:r w:rsidR="006B0A84" w:rsidRPr="00E50081">
        <w:t>Timeline</w:t>
      </w:r>
      <w:r w:rsidRPr="00E50081">
        <w:t xml:space="preserve"> and Reporting</w:t>
      </w:r>
    </w:p>
    <w:p w14:paraId="34AE528B" w14:textId="68BACEB9" w:rsidR="007955DD" w:rsidRDefault="00B00AEC" w:rsidP="009911FF">
      <w:pPr>
        <w:pStyle w:val="BodyText"/>
      </w:pPr>
      <w:r w:rsidRPr="00547813">
        <w:t>MPOs must e</w:t>
      </w:r>
      <w:r w:rsidR="00FA2F3A" w:rsidRPr="00547813">
        <w:t>stablish</w:t>
      </w:r>
      <w:r w:rsidR="007955DD" w:rsidRPr="00547813">
        <w:t xml:space="preserve"> four-year targets for the </w:t>
      </w:r>
      <w:r w:rsidR="0018190A" w:rsidRPr="00547813">
        <w:t xml:space="preserve">bridge and pavement condition measures within 180 days </w:t>
      </w:r>
      <w:r w:rsidR="007955DD" w:rsidRPr="00547813">
        <w:t xml:space="preserve">of </w:t>
      </w:r>
      <w:r w:rsidR="00E867F0" w:rsidRPr="00547813">
        <w:t>FDOT's</w:t>
      </w:r>
      <w:r w:rsidR="007955DD" w:rsidRPr="00547813">
        <w:t xml:space="preserve"> establish</w:t>
      </w:r>
      <w:r w:rsidR="00F976AA" w:rsidRPr="00547813">
        <w:t>ment of the statewide</w:t>
      </w:r>
      <w:r w:rsidR="007955DD" w:rsidRPr="00547813">
        <w:t xml:space="preserve"> targets</w:t>
      </w:r>
      <w:bookmarkStart w:id="7" w:name="_Hlk513629583"/>
      <w:r w:rsidR="007955DD" w:rsidRPr="00547813">
        <w:t xml:space="preserve">. </w:t>
      </w:r>
      <w:bookmarkEnd w:id="7"/>
    </w:p>
    <w:p w14:paraId="227C3AC9" w14:textId="2A7BAB20" w:rsidR="007955DD" w:rsidRPr="00547813" w:rsidRDefault="007955DD" w:rsidP="003C32B3">
      <w:pPr>
        <w:keepNext/>
        <w:spacing w:after="0" w:line="240" w:lineRule="auto"/>
        <w:rPr>
          <w:rFonts w:cs="Proxima Nova"/>
          <w:b/>
          <w:bCs/>
          <w:color w:val="000000"/>
          <w:sz w:val="22"/>
        </w:rPr>
      </w:pPr>
      <w:r w:rsidRPr="00547813">
        <w:rPr>
          <w:rFonts w:cs="Proxima Nova"/>
          <w:b/>
          <w:bCs/>
          <w:color w:val="000000"/>
          <w:sz w:val="22"/>
        </w:rPr>
        <w:t xml:space="preserve">[OPTION A: For </w:t>
      </w:r>
      <w:r w:rsidR="00AF74C6" w:rsidRPr="00547813">
        <w:rPr>
          <w:rFonts w:cs="Proxima Nova"/>
          <w:b/>
          <w:bCs/>
          <w:color w:val="000000"/>
          <w:sz w:val="22"/>
        </w:rPr>
        <w:t>a</w:t>
      </w:r>
      <w:r w:rsidR="00C12985" w:rsidRPr="00547813">
        <w:rPr>
          <w:rFonts w:cs="Proxima Nova"/>
          <w:b/>
          <w:bCs/>
          <w:color w:val="000000"/>
          <w:sz w:val="22"/>
        </w:rPr>
        <w:t>n</w:t>
      </w:r>
      <w:r w:rsidR="00AF74C6" w:rsidRPr="00547813">
        <w:rPr>
          <w:rFonts w:cs="Proxima Nova"/>
          <w:b/>
          <w:bCs/>
          <w:color w:val="000000"/>
          <w:sz w:val="22"/>
        </w:rPr>
        <w:t xml:space="preserve"> </w:t>
      </w:r>
      <w:r w:rsidRPr="00547813">
        <w:rPr>
          <w:rFonts w:cs="Proxima Nova"/>
          <w:b/>
          <w:bCs/>
          <w:color w:val="000000"/>
          <w:sz w:val="22"/>
        </w:rPr>
        <w:t>MPO that supports all statewide targets]</w:t>
      </w:r>
    </w:p>
    <w:p w14:paraId="12E80205" w14:textId="7D9DC561" w:rsidR="007955DD" w:rsidRDefault="007D4354" w:rsidP="009911FF">
      <w:pPr>
        <w:pStyle w:val="BodyText"/>
      </w:pPr>
      <w:r w:rsidRPr="00486407">
        <w:rPr>
          <w:b/>
          <w:bCs/>
        </w:rPr>
        <w:t>Sample language:</w:t>
      </w:r>
      <w:r w:rsidRPr="00547813">
        <w:t xml:space="preserve"> </w:t>
      </w:r>
      <w:r w:rsidR="00852A50" w:rsidRPr="00547813">
        <w:t>On [</w:t>
      </w:r>
      <w:r w:rsidR="00852A50" w:rsidRPr="005C60B4">
        <w:rPr>
          <w:i/>
          <w:iCs/>
        </w:rPr>
        <w:t>date of support for 2023 and 2025 targets, and date of support for FDOT’s adjusted 2025 pavement target</w:t>
      </w:r>
      <w:r w:rsidR="00852A50" w:rsidRPr="00547813">
        <w:t>], the [</w:t>
      </w:r>
      <w:r w:rsidR="00852A50" w:rsidRPr="005C60B4">
        <w:rPr>
          <w:i/>
          <w:iCs/>
        </w:rPr>
        <w:t>MPO name</w:t>
      </w:r>
      <w:r w:rsidR="00852A50" w:rsidRPr="00547813">
        <w:t>] agreed to support FDOT’s statewide bridge and pavement performance targets, thereby agreeing to plan and program projects in the TIP that, once implemented, are expected to contribute to the achievement of the statewide targets. [</w:t>
      </w:r>
      <w:r w:rsidR="00852A50" w:rsidRPr="005C60B4">
        <w:rPr>
          <w:i/>
          <w:iCs/>
        </w:rPr>
        <w:t>The MPO may discuss the reasoning or analysis behind the decision to support the state targets.</w:t>
      </w:r>
      <w:r w:rsidR="00852A50" w:rsidRPr="00547813">
        <w:t>]</w:t>
      </w:r>
    </w:p>
    <w:p w14:paraId="3B5859F9" w14:textId="646C7C6C" w:rsidR="007955DD" w:rsidRPr="00547813" w:rsidRDefault="007955DD" w:rsidP="003C32B3">
      <w:pPr>
        <w:keepNext/>
        <w:spacing w:after="0" w:line="240" w:lineRule="auto"/>
        <w:rPr>
          <w:rFonts w:cs="Proxima Nova"/>
          <w:b/>
          <w:bCs/>
          <w:color w:val="000000"/>
          <w:sz w:val="22"/>
        </w:rPr>
      </w:pPr>
      <w:r w:rsidRPr="00547813">
        <w:rPr>
          <w:rFonts w:cs="Proxima Nova"/>
          <w:b/>
          <w:bCs/>
          <w:color w:val="000000"/>
          <w:sz w:val="22"/>
        </w:rPr>
        <w:t xml:space="preserve">[OPTION B: For </w:t>
      </w:r>
      <w:r w:rsidR="00AF74C6" w:rsidRPr="00547813">
        <w:rPr>
          <w:rFonts w:cs="Proxima Nova"/>
          <w:b/>
          <w:bCs/>
          <w:color w:val="000000"/>
          <w:sz w:val="22"/>
        </w:rPr>
        <w:t>a</w:t>
      </w:r>
      <w:r w:rsidR="00C12985" w:rsidRPr="00547813">
        <w:rPr>
          <w:rFonts w:cs="Proxima Nova"/>
          <w:b/>
          <w:bCs/>
          <w:color w:val="000000"/>
          <w:sz w:val="22"/>
        </w:rPr>
        <w:t>n</w:t>
      </w:r>
      <w:r w:rsidR="00AF74C6" w:rsidRPr="00547813">
        <w:rPr>
          <w:rFonts w:cs="Proxima Nova"/>
          <w:b/>
          <w:bCs/>
          <w:color w:val="000000"/>
          <w:sz w:val="22"/>
        </w:rPr>
        <w:t xml:space="preserve"> </w:t>
      </w:r>
      <w:r w:rsidRPr="00547813">
        <w:rPr>
          <w:rFonts w:cs="Proxima Nova"/>
          <w:b/>
          <w:bCs/>
          <w:color w:val="000000"/>
          <w:sz w:val="22"/>
        </w:rPr>
        <w:t>MPO that establishes its own targets for one or more PM2 measures]</w:t>
      </w:r>
    </w:p>
    <w:p w14:paraId="248CBBB8" w14:textId="2D2CF798" w:rsidR="007955DD" w:rsidRDefault="007D4354" w:rsidP="009911FF">
      <w:pPr>
        <w:pStyle w:val="BodyText"/>
      </w:pPr>
      <w:r w:rsidRPr="00486407">
        <w:rPr>
          <w:b/>
          <w:bCs/>
        </w:rPr>
        <w:t>Sample language</w:t>
      </w:r>
      <w:r w:rsidR="009228EE" w:rsidRPr="00486407">
        <w:rPr>
          <w:b/>
          <w:bCs/>
        </w:rPr>
        <w:t>:</w:t>
      </w:r>
      <w:r w:rsidR="009228EE" w:rsidRPr="00547813">
        <w:t xml:space="preserve"> </w:t>
      </w:r>
      <w:r w:rsidR="00F27F54" w:rsidRPr="00547813">
        <w:t>The [</w:t>
      </w:r>
      <w:r w:rsidR="005C60B4" w:rsidRPr="005C60B4">
        <w:rPr>
          <w:i/>
          <w:iCs/>
        </w:rPr>
        <w:t xml:space="preserve">MPO </w:t>
      </w:r>
      <w:r w:rsidR="00F27F54" w:rsidRPr="00547813">
        <w:rPr>
          <w:i/>
          <w:iCs/>
        </w:rPr>
        <w:t>name</w:t>
      </w:r>
      <w:r w:rsidR="00F27F54" w:rsidRPr="00547813">
        <w:t>] recognizes FDOT’s statewide bridge and pavement condition goals. However, on [</w:t>
      </w:r>
      <w:r w:rsidR="00F27F54" w:rsidRPr="00547813">
        <w:rPr>
          <w:i/>
          <w:iCs/>
        </w:rPr>
        <w:t>date</w:t>
      </w:r>
      <w:r w:rsidR="00F27F54" w:rsidRPr="00547813">
        <w:t>], the [</w:t>
      </w:r>
      <w:r w:rsidR="00F27F54" w:rsidRPr="00547813">
        <w:rPr>
          <w:i/>
          <w:iCs/>
        </w:rPr>
        <w:t>MPO name</w:t>
      </w:r>
      <w:r w:rsidR="00F27F54" w:rsidRPr="00547813">
        <w:t xml:space="preserve">] set the four-year bridge and pavement condition targets for the MPO’s planning region as identified in </w:t>
      </w:r>
      <w:r w:rsidR="00126F87" w:rsidRPr="00547813">
        <w:t>the table below</w:t>
      </w:r>
      <w:r w:rsidR="00EC158F" w:rsidRPr="00547813">
        <w:t xml:space="preserve"> [</w:t>
      </w:r>
      <w:r w:rsidR="00EC158F" w:rsidRPr="00547813">
        <w:rPr>
          <w:i/>
          <w:iCs/>
        </w:rPr>
        <w:t xml:space="preserve">may combine with statewide targets if desired. </w:t>
      </w:r>
      <w:r w:rsidR="00442046" w:rsidRPr="00547813">
        <w:rPr>
          <w:i/>
          <w:iCs/>
        </w:rPr>
        <w:t xml:space="preserve">Note that MPOs are only required to establish 4-year targets for the federal bridge and pavement condition measures. An MPO </w:t>
      </w:r>
      <w:r w:rsidR="00442046" w:rsidRPr="00486407">
        <w:rPr>
          <w:i/>
          <w:iCs/>
        </w:rPr>
        <w:t>may</w:t>
      </w:r>
      <w:r w:rsidR="00442046" w:rsidRPr="00547813">
        <w:rPr>
          <w:i/>
          <w:iCs/>
        </w:rPr>
        <w:t xml:space="preserve"> choose to establish 2-year targets.</w:t>
      </w:r>
      <w:r w:rsidR="00EC158F" w:rsidRPr="00547813">
        <w:t>]</w:t>
      </w:r>
      <w:r w:rsidR="007955DD" w:rsidRPr="00547813">
        <w:t xml:space="preserve"> </w:t>
      </w:r>
    </w:p>
    <w:p w14:paraId="3D4FBFF5" w14:textId="0228367E" w:rsidR="00765F35" w:rsidRPr="00547813" w:rsidRDefault="00765F35" w:rsidP="00486407">
      <w:pPr>
        <w:pStyle w:val="Caption"/>
      </w:pPr>
      <w:bookmarkStart w:id="8" w:name="_Toc223951438"/>
      <w:r w:rsidRPr="00547813">
        <w:t xml:space="preserve">MPO Pavement and Bridge Condition </w:t>
      </w:r>
      <w:r w:rsidRPr="00486407">
        <w:t>Targets</w:t>
      </w:r>
      <w:bookmarkEnd w:id="8"/>
      <w:r w:rsidR="005C60B4">
        <w:t xml:space="preserve"> [</w:t>
      </w:r>
      <w:r w:rsidR="005C60B4" w:rsidRPr="005C60B4">
        <w:rPr>
          <w:i/>
          <w:iCs/>
        </w:rPr>
        <w:t>Example</w:t>
      </w:r>
      <w:r w:rsidR="005C60B4">
        <w:t>]</w:t>
      </w:r>
    </w:p>
    <w:tbl>
      <w:tblPr>
        <w:tblStyle w:val="Style1"/>
        <w:tblW w:w="9360" w:type="dxa"/>
        <w:tblLayout w:type="fixed"/>
        <w:tblLook w:val="01E0" w:firstRow="1" w:lastRow="1" w:firstColumn="1" w:lastColumn="1" w:noHBand="0" w:noVBand="0"/>
      </w:tblPr>
      <w:tblGrid>
        <w:gridCol w:w="6480"/>
        <w:gridCol w:w="2880"/>
      </w:tblGrid>
      <w:tr w:rsidR="007955DD" w:rsidRPr="00547813" w14:paraId="41020200" w14:textId="77777777" w:rsidTr="00486407">
        <w:trPr>
          <w:cnfStyle w:val="100000000000" w:firstRow="1" w:lastRow="0" w:firstColumn="0" w:lastColumn="0" w:oddVBand="0" w:evenVBand="0" w:oddHBand="0" w:evenHBand="0" w:firstRowFirstColumn="0" w:firstRowLastColumn="0" w:lastRowFirstColumn="0" w:lastRowLastColumn="0"/>
          <w:tblHeader/>
        </w:trPr>
        <w:tc>
          <w:tcPr>
            <w:tcW w:w="6480" w:type="dxa"/>
          </w:tcPr>
          <w:p w14:paraId="13194088" w14:textId="77777777" w:rsidR="007955DD" w:rsidRPr="00547813" w:rsidRDefault="007955DD" w:rsidP="003C32B3">
            <w:pPr>
              <w:pStyle w:val="TableHead"/>
              <w:spacing w:before="0"/>
              <w:rPr>
                <w:sz w:val="22"/>
                <w:szCs w:val="22"/>
              </w:rPr>
            </w:pPr>
            <w:r w:rsidRPr="00547813">
              <w:rPr>
                <w:sz w:val="22"/>
                <w:szCs w:val="22"/>
              </w:rPr>
              <w:t>Performance Measure</w:t>
            </w:r>
          </w:p>
        </w:tc>
        <w:tc>
          <w:tcPr>
            <w:tcW w:w="2880" w:type="dxa"/>
          </w:tcPr>
          <w:p w14:paraId="4ACD4CA4" w14:textId="77777777" w:rsidR="007955DD" w:rsidRPr="00547813" w:rsidRDefault="007955DD" w:rsidP="003C32B3">
            <w:pPr>
              <w:pStyle w:val="TableHead"/>
              <w:spacing w:before="0"/>
              <w:jc w:val="center"/>
              <w:rPr>
                <w:sz w:val="22"/>
                <w:szCs w:val="22"/>
              </w:rPr>
            </w:pPr>
            <w:r w:rsidRPr="00547813">
              <w:rPr>
                <w:sz w:val="22"/>
                <w:szCs w:val="22"/>
              </w:rPr>
              <w:t>2025 MPO Target</w:t>
            </w:r>
          </w:p>
        </w:tc>
      </w:tr>
      <w:tr w:rsidR="007955DD" w:rsidRPr="00547813" w14:paraId="3340FE9E" w14:textId="77777777" w:rsidTr="00486407">
        <w:tc>
          <w:tcPr>
            <w:tcW w:w="6480" w:type="dxa"/>
          </w:tcPr>
          <w:p w14:paraId="05138C5A" w14:textId="77777777" w:rsidR="007955DD" w:rsidRPr="00547813" w:rsidRDefault="007955DD" w:rsidP="003C32B3">
            <w:pPr>
              <w:pStyle w:val="TableText"/>
              <w:rPr>
                <w:sz w:val="22"/>
                <w:szCs w:val="22"/>
              </w:rPr>
            </w:pPr>
            <w:r w:rsidRPr="00547813">
              <w:rPr>
                <w:sz w:val="22"/>
                <w:szCs w:val="22"/>
              </w:rPr>
              <w:t>Percent of NHS bridges (by deck area) in good condition</w:t>
            </w:r>
          </w:p>
        </w:tc>
        <w:tc>
          <w:tcPr>
            <w:tcW w:w="2880" w:type="dxa"/>
          </w:tcPr>
          <w:p w14:paraId="59FBFDB5" w14:textId="77777777" w:rsidR="007955DD" w:rsidRPr="00547813" w:rsidRDefault="007955DD" w:rsidP="003C32B3">
            <w:pPr>
              <w:pStyle w:val="TableText"/>
              <w:jc w:val="center"/>
              <w:rPr>
                <w:sz w:val="22"/>
                <w:szCs w:val="22"/>
              </w:rPr>
            </w:pPr>
            <w:proofErr w:type="spellStart"/>
            <w:r w:rsidRPr="00547813">
              <w:rPr>
                <w:sz w:val="22"/>
                <w:szCs w:val="22"/>
              </w:rPr>
              <w:t>xx.x</w:t>
            </w:r>
            <w:proofErr w:type="spellEnd"/>
            <w:r w:rsidRPr="00547813">
              <w:rPr>
                <w:sz w:val="22"/>
                <w:szCs w:val="22"/>
              </w:rPr>
              <w:t>%</w:t>
            </w:r>
          </w:p>
        </w:tc>
      </w:tr>
      <w:tr w:rsidR="007955DD" w:rsidRPr="00547813" w14:paraId="3C3D9467" w14:textId="77777777" w:rsidTr="00486407">
        <w:tc>
          <w:tcPr>
            <w:tcW w:w="6480" w:type="dxa"/>
          </w:tcPr>
          <w:p w14:paraId="5F74C285" w14:textId="77777777" w:rsidR="007955DD" w:rsidRPr="00547813" w:rsidRDefault="007955DD" w:rsidP="003C32B3">
            <w:pPr>
              <w:pStyle w:val="TableText"/>
              <w:rPr>
                <w:sz w:val="22"/>
                <w:szCs w:val="22"/>
              </w:rPr>
            </w:pPr>
            <w:r w:rsidRPr="00547813">
              <w:rPr>
                <w:sz w:val="22"/>
                <w:szCs w:val="22"/>
              </w:rPr>
              <w:t>Percent of NHS bridges (by deck area) in poor condition</w:t>
            </w:r>
          </w:p>
        </w:tc>
        <w:tc>
          <w:tcPr>
            <w:tcW w:w="2880" w:type="dxa"/>
          </w:tcPr>
          <w:p w14:paraId="1D576154" w14:textId="77777777" w:rsidR="007955DD" w:rsidRPr="00547813" w:rsidRDefault="007955DD" w:rsidP="003C32B3">
            <w:pPr>
              <w:pStyle w:val="TableText"/>
              <w:jc w:val="center"/>
              <w:rPr>
                <w:sz w:val="22"/>
                <w:szCs w:val="22"/>
              </w:rPr>
            </w:pPr>
            <w:proofErr w:type="spellStart"/>
            <w:r w:rsidRPr="00547813">
              <w:rPr>
                <w:sz w:val="22"/>
                <w:szCs w:val="22"/>
              </w:rPr>
              <w:t>x.x</w:t>
            </w:r>
            <w:proofErr w:type="spellEnd"/>
            <w:r w:rsidRPr="00547813">
              <w:rPr>
                <w:sz w:val="22"/>
                <w:szCs w:val="22"/>
              </w:rPr>
              <w:t>%</w:t>
            </w:r>
          </w:p>
        </w:tc>
      </w:tr>
      <w:tr w:rsidR="007955DD" w:rsidRPr="00547813" w14:paraId="0E8D62DC" w14:textId="77777777" w:rsidTr="00486407">
        <w:tc>
          <w:tcPr>
            <w:tcW w:w="6480" w:type="dxa"/>
          </w:tcPr>
          <w:p w14:paraId="217318CC" w14:textId="77777777" w:rsidR="007955DD" w:rsidRPr="00547813" w:rsidRDefault="007955DD" w:rsidP="003C32B3">
            <w:pPr>
              <w:pStyle w:val="TableText"/>
              <w:rPr>
                <w:sz w:val="22"/>
                <w:szCs w:val="22"/>
              </w:rPr>
            </w:pPr>
            <w:r w:rsidRPr="00547813">
              <w:rPr>
                <w:sz w:val="22"/>
                <w:szCs w:val="22"/>
              </w:rPr>
              <w:t>Percent of Interstate pavements in good condition</w:t>
            </w:r>
          </w:p>
        </w:tc>
        <w:tc>
          <w:tcPr>
            <w:tcW w:w="2880" w:type="dxa"/>
          </w:tcPr>
          <w:p w14:paraId="578B1ABB" w14:textId="77777777" w:rsidR="007955DD" w:rsidRPr="00547813" w:rsidRDefault="007955DD" w:rsidP="003C32B3">
            <w:pPr>
              <w:pStyle w:val="TableText"/>
              <w:jc w:val="center"/>
              <w:rPr>
                <w:sz w:val="22"/>
                <w:szCs w:val="22"/>
              </w:rPr>
            </w:pPr>
            <w:proofErr w:type="spellStart"/>
            <w:r w:rsidRPr="00547813">
              <w:rPr>
                <w:sz w:val="22"/>
                <w:szCs w:val="22"/>
              </w:rPr>
              <w:t>xx.x</w:t>
            </w:r>
            <w:proofErr w:type="spellEnd"/>
            <w:r w:rsidRPr="00547813">
              <w:rPr>
                <w:sz w:val="22"/>
                <w:szCs w:val="22"/>
              </w:rPr>
              <w:t>%</w:t>
            </w:r>
          </w:p>
        </w:tc>
      </w:tr>
      <w:tr w:rsidR="007955DD" w:rsidRPr="00547813" w14:paraId="24FBF2B3" w14:textId="77777777" w:rsidTr="00486407">
        <w:tc>
          <w:tcPr>
            <w:tcW w:w="6480" w:type="dxa"/>
          </w:tcPr>
          <w:p w14:paraId="61164D1D" w14:textId="77777777" w:rsidR="007955DD" w:rsidRPr="00547813" w:rsidRDefault="007955DD" w:rsidP="003C32B3">
            <w:pPr>
              <w:pStyle w:val="TableText"/>
              <w:rPr>
                <w:sz w:val="22"/>
                <w:szCs w:val="22"/>
              </w:rPr>
            </w:pPr>
            <w:r w:rsidRPr="00547813">
              <w:rPr>
                <w:sz w:val="22"/>
                <w:szCs w:val="22"/>
              </w:rPr>
              <w:t>Percent of Interstate pavements in poor condition</w:t>
            </w:r>
          </w:p>
        </w:tc>
        <w:tc>
          <w:tcPr>
            <w:tcW w:w="2880" w:type="dxa"/>
          </w:tcPr>
          <w:p w14:paraId="2F993E68" w14:textId="77777777" w:rsidR="007955DD" w:rsidRPr="00547813" w:rsidRDefault="007955DD" w:rsidP="003C32B3">
            <w:pPr>
              <w:pStyle w:val="TableText"/>
              <w:jc w:val="center"/>
              <w:rPr>
                <w:sz w:val="22"/>
                <w:szCs w:val="22"/>
              </w:rPr>
            </w:pPr>
            <w:proofErr w:type="spellStart"/>
            <w:r w:rsidRPr="00547813">
              <w:rPr>
                <w:sz w:val="22"/>
                <w:szCs w:val="22"/>
              </w:rPr>
              <w:t>x.x</w:t>
            </w:r>
            <w:proofErr w:type="spellEnd"/>
            <w:r w:rsidRPr="00547813">
              <w:rPr>
                <w:sz w:val="22"/>
                <w:szCs w:val="22"/>
              </w:rPr>
              <w:t>%</w:t>
            </w:r>
          </w:p>
        </w:tc>
      </w:tr>
      <w:tr w:rsidR="007955DD" w:rsidRPr="00547813" w14:paraId="4C6A07F2" w14:textId="77777777" w:rsidTr="00486407">
        <w:tc>
          <w:tcPr>
            <w:tcW w:w="6480" w:type="dxa"/>
          </w:tcPr>
          <w:p w14:paraId="709A8B7A" w14:textId="77777777" w:rsidR="007955DD" w:rsidRPr="00547813" w:rsidRDefault="007955DD" w:rsidP="003C32B3">
            <w:pPr>
              <w:pStyle w:val="TableText"/>
              <w:rPr>
                <w:sz w:val="22"/>
                <w:szCs w:val="22"/>
              </w:rPr>
            </w:pPr>
            <w:r w:rsidRPr="00547813">
              <w:rPr>
                <w:sz w:val="22"/>
                <w:szCs w:val="22"/>
              </w:rPr>
              <w:t>Percent of non-Interstate pavements in good condition</w:t>
            </w:r>
          </w:p>
        </w:tc>
        <w:tc>
          <w:tcPr>
            <w:tcW w:w="2880" w:type="dxa"/>
          </w:tcPr>
          <w:p w14:paraId="73E5A7FA" w14:textId="77777777" w:rsidR="007955DD" w:rsidRPr="00547813" w:rsidRDefault="007955DD" w:rsidP="003C32B3">
            <w:pPr>
              <w:pStyle w:val="TableText"/>
              <w:jc w:val="center"/>
              <w:rPr>
                <w:sz w:val="22"/>
                <w:szCs w:val="22"/>
              </w:rPr>
            </w:pPr>
            <w:proofErr w:type="spellStart"/>
            <w:r w:rsidRPr="00547813">
              <w:rPr>
                <w:sz w:val="22"/>
                <w:szCs w:val="22"/>
              </w:rPr>
              <w:t>xx.x</w:t>
            </w:r>
            <w:proofErr w:type="spellEnd"/>
            <w:r w:rsidRPr="00547813">
              <w:rPr>
                <w:sz w:val="22"/>
                <w:szCs w:val="22"/>
              </w:rPr>
              <w:t>%</w:t>
            </w:r>
          </w:p>
        </w:tc>
      </w:tr>
      <w:tr w:rsidR="007955DD" w:rsidRPr="00547813" w14:paraId="044FF90D" w14:textId="77777777" w:rsidTr="00486407">
        <w:tc>
          <w:tcPr>
            <w:tcW w:w="6480" w:type="dxa"/>
          </w:tcPr>
          <w:p w14:paraId="1ABFBEEF" w14:textId="77777777" w:rsidR="007955DD" w:rsidRPr="00547813" w:rsidRDefault="007955DD" w:rsidP="003C32B3">
            <w:pPr>
              <w:pStyle w:val="TableText"/>
              <w:rPr>
                <w:sz w:val="22"/>
                <w:szCs w:val="22"/>
              </w:rPr>
            </w:pPr>
            <w:r w:rsidRPr="00547813">
              <w:rPr>
                <w:sz w:val="22"/>
                <w:szCs w:val="22"/>
              </w:rPr>
              <w:t>Percent of non-Interstate pavements in poor condition</w:t>
            </w:r>
          </w:p>
        </w:tc>
        <w:tc>
          <w:tcPr>
            <w:tcW w:w="2880" w:type="dxa"/>
          </w:tcPr>
          <w:p w14:paraId="490C9F81" w14:textId="77777777" w:rsidR="007955DD" w:rsidRPr="00547813" w:rsidRDefault="007955DD" w:rsidP="003C32B3">
            <w:pPr>
              <w:pStyle w:val="TableText"/>
              <w:jc w:val="center"/>
              <w:rPr>
                <w:sz w:val="22"/>
                <w:szCs w:val="22"/>
              </w:rPr>
            </w:pPr>
            <w:proofErr w:type="spellStart"/>
            <w:r w:rsidRPr="00547813">
              <w:rPr>
                <w:sz w:val="22"/>
                <w:szCs w:val="22"/>
              </w:rPr>
              <w:t>x.x</w:t>
            </w:r>
            <w:proofErr w:type="spellEnd"/>
            <w:r w:rsidRPr="00547813">
              <w:rPr>
                <w:sz w:val="22"/>
                <w:szCs w:val="22"/>
              </w:rPr>
              <w:t>%</w:t>
            </w:r>
          </w:p>
        </w:tc>
      </w:tr>
    </w:tbl>
    <w:p w14:paraId="4F0E57F4" w14:textId="77777777" w:rsidR="009911FF" w:rsidRDefault="009911FF">
      <w:pPr>
        <w:rPr>
          <w:rFonts w:cs="Calibri"/>
          <w:bCs/>
          <w:color w:val="000000"/>
          <w:kern w:val="36"/>
          <w:sz w:val="22"/>
          <w:u w:val="single"/>
        </w:rPr>
      </w:pPr>
      <w:r>
        <w:rPr>
          <w:rFonts w:cs="Calibri"/>
          <w:bCs/>
          <w:color w:val="000000"/>
          <w:kern w:val="36"/>
          <w:sz w:val="22"/>
          <w:u w:val="single"/>
        </w:rPr>
        <w:br w:type="page"/>
      </w:r>
    </w:p>
    <w:p w14:paraId="7819DEF1" w14:textId="77777777" w:rsidR="002B54F2" w:rsidRDefault="009228EE" w:rsidP="009911FF">
      <w:pPr>
        <w:pStyle w:val="BodyText"/>
        <w:sectPr w:rsidR="002B54F2" w:rsidSect="002B54F2">
          <w:pgSz w:w="12240" w:h="15840" w:code="1"/>
          <w:pgMar w:top="1440" w:right="1440" w:bottom="1440" w:left="1440" w:header="720" w:footer="720" w:gutter="0"/>
          <w:cols w:space="720"/>
          <w:titlePg/>
          <w:docGrid w:linePitch="360"/>
        </w:sectPr>
      </w:pPr>
      <w:r w:rsidRPr="00486407">
        <w:rPr>
          <w:b/>
          <w:bCs/>
        </w:rPr>
        <w:lastRenderedPageBreak/>
        <w:t>Sample language:</w:t>
      </w:r>
      <w:r w:rsidRPr="00547813">
        <w:t xml:space="preserve"> </w:t>
      </w:r>
      <w:r w:rsidR="007955DD" w:rsidRPr="00547813">
        <w:t>In establishing the MPO’s targets for the bridge and pavement condition performance measures, [</w:t>
      </w:r>
      <w:r w:rsidR="007955DD" w:rsidRPr="00547813">
        <w:rPr>
          <w:i/>
          <w:iCs/>
          <w:kern w:val="28"/>
        </w:rPr>
        <w:t>MPO name</w:t>
      </w:r>
      <w:r w:rsidR="007955DD" w:rsidRPr="00547813">
        <w:rPr>
          <w:kern w:val="28"/>
        </w:rPr>
        <w:t>]</w:t>
      </w:r>
      <w:r w:rsidR="007955DD" w:rsidRPr="00547813">
        <w:t xml:space="preserve"> considered many factors. [</w:t>
      </w:r>
      <w:r w:rsidR="007955DD" w:rsidRPr="00547813">
        <w:rPr>
          <w:i/>
          <w:iCs/>
          <w:kern w:val="28"/>
        </w:rPr>
        <w:t xml:space="preserve">The MPO should discuss why and how it established its own targets. Include the basis for developing the MPO targets and cite relevant factors. Examples may include different performance trends in the MPO area compared to the state, additional funding for bridge or pavement projects in the MPO area, an increased focus on bridges or pavements as an MPO priority, </w:t>
      </w:r>
      <w:r w:rsidR="00AF74C6" w:rsidRPr="00547813">
        <w:rPr>
          <w:i/>
          <w:iCs/>
          <w:kern w:val="28"/>
        </w:rPr>
        <w:t xml:space="preserve">and/or </w:t>
      </w:r>
      <w:r w:rsidR="007955DD" w:rsidRPr="00547813">
        <w:rPr>
          <w:i/>
          <w:iCs/>
          <w:kern w:val="28"/>
        </w:rPr>
        <w:t>the use of bridge or pavement condition criteria for selecting projects, etc.</w:t>
      </w:r>
      <w:r w:rsidR="007955DD" w:rsidRPr="00547813">
        <w:t xml:space="preserve">] </w:t>
      </w:r>
    </w:p>
    <w:p w14:paraId="0046E59F" w14:textId="4C328CFA" w:rsidR="00755000" w:rsidRDefault="00755000" w:rsidP="009911FF">
      <w:pPr>
        <w:pStyle w:val="Heading1"/>
      </w:pPr>
      <w:bookmarkStart w:id="9" w:name="_Toc225334706"/>
      <w:r w:rsidRPr="004061C9">
        <w:lastRenderedPageBreak/>
        <w:t>System Performance &amp; Air Quality Improvement Program Measures (PM3)</w:t>
      </w:r>
      <w:bookmarkEnd w:id="9"/>
    </w:p>
    <w:p w14:paraId="3DFF76A9" w14:textId="49F18CAA" w:rsidR="00E1362E" w:rsidRPr="004061C9" w:rsidRDefault="004061C9" w:rsidP="009911FF">
      <w:pPr>
        <w:pStyle w:val="Heading2"/>
      </w:pPr>
      <w:r w:rsidRPr="004061C9">
        <w:t xml:space="preserve">State </w:t>
      </w:r>
      <w:r w:rsidR="00E1362E" w:rsidRPr="004061C9">
        <w:t>Timeline</w:t>
      </w:r>
      <w:r w:rsidRPr="004061C9">
        <w:t xml:space="preserve"> and Reporting</w:t>
      </w:r>
    </w:p>
    <w:p w14:paraId="69A7D155" w14:textId="7C7B2753" w:rsidR="00F53681" w:rsidRDefault="00CE49D6" w:rsidP="009911FF">
      <w:pPr>
        <w:pStyle w:val="BodyText"/>
      </w:pPr>
      <w:r>
        <w:t>S</w:t>
      </w:r>
      <w:r w:rsidR="00C67AD4" w:rsidRPr="004061C9">
        <w:t xml:space="preserve">tate DOTs </w:t>
      </w:r>
      <w:r>
        <w:t xml:space="preserve">must </w:t>
      </w:r>
      <w:r w:rsidR="00C67AD4" w:rsidRPr="004061C9">
        <w:t xml:space="preserve">establish two-year and four-year targets for </w:t>
      </w:r>
      <w:r w:rsidR="00E24B51" w:rsidRPr="004061C9">
        <w:t>system performance and freight</w:t>
      </w:r>
      <w:r w:rsidR="00C67AD4" w:rsidRPr="004061C9">
        <w:t xml:space="preserve">. </w:t>
      </w:r>
      <w:r w:rsidR="00D0281D" w:rsidRPr="00E50081">
        <w:t xml:space="preserve">Progress towards targets is reported at the midpoint and at the end of the performance period. At the midpoint of the period, State DOTs </w:t>
      </w:r>
      <w:r w:rsidR="005C60B4">
        <w:t>may</w:t>
      </w:r>
      <w:r w:rsidR="00D0281D" w:rsidRPr="00E50081">
        <w:t xml:space="preserve"> adjust the 4-year target. </w:t>
      </w:r>
      <w:r w:rsidR="00C67AD4" w:rsidRPr="004061C9">
        <w:t xml:space="preserve">On December 16, 2022, FDOT established </w:t>
      </w:r>
      <w:r w:rsidR="002F1C66" w:rsidRPr="004061C9">
        <w:t xml:space="preserve">statewide targets, and in September 2024, adjusted the 2025 targets for the </w:t>
      </w:r>
      <w:r w:rsidR="005C60B4">
        <w:t>percentage of person-miles</w:t>
      </w:r>
      <w:r w:rsidR="00F5177C" w:rsidRPr="004061C9">
        <w:t xml:space="preserve"> traveled on the Interstate and on the non-Interstate NHS that are reliable.</w:t>
      </w:r>
    </w:p>
    <w:p w14:paraId="7B353163" w14:textId="2A38270C" w:rsidR="007A5774" w:rsidRPr="004061C9" w:rsidRDefault="00575E8D" w:rsidP="009911FF">
      <w:pPr>
        <w:pStyle w:val="Heading2"/>
      </w:pPr>
      <w:r>
        <w:t xml:space="preserve">MPO </w:t>
      </w:r>
      <w:r w:rsidR="00CA4379" w:rsidRPr="004061C9">
        <w:t>Timeline</w:t>
      </w:r>
      <w:r>
        <w:t xml:space="preserve"> and Reporting</w:t>
      </w:r>
    </w:p>
    <w:p w14:paraId="1AC113B2" w14:textId="0301A5FA" w:rsidR="008D7CBC" w:rsidRDefault="00575E8D" w:rsidP="009911FF">
      <w:pPr>
        <w:pStyle w:val="BodyText"/>
      </w:pPr>
      <w:r>
        <w:t>MPOs must e</w:t>
      </w:r>
      <w:r w:rsidR="00C67AD4" w:rsidRPr="004061C9">
        <w:t xml:space="preserve">stablish four-year targets for </w:t>
      </w:r>
      <w:r w:rsidR="00634868" w:rsidRPr="004061C9">
        <w:t xml:space="preserve">the two system reliability and one freight reliability </w:t>
      </w:r>
      <w:r w:rsidR="00525BB4" w:rsidRPr="004061C9">
        <w:t>measure within 180 days of FDOT’s establish</w:t>
      </w:r>
      <w:r w:rsidR="00166994">
        <w:t xml:space="preserve">ment of </w:t>
      </w:r>
      <w:r w:rsidR="00525BB4" w:rsidRPr="004061C9">
        <w:t>targets.</w:t>
      </w:r>
      <w:r w:rsidR="00C67AD4" w:rsidRPr="004061C9">
        <w:t xml:space="preserve"> </w:t>
      </w:r>
    </w:p>
    <w:p w14:paraId="1286CC15" w14:textId="3C3F5663" w:rsidR="00C67AD4" w:rsidRPr="004061C9" w:rsidRDefault="00C67AD4" w:rsidP="003C32B3">
      <w:pPr>
        <w:keepNext/>
        <w:spacing w:after="0" w:line="240" w:lineRule="auto"/>
        <w:rPr>
          <w:rFonts w:cs="Proxima Nova"/>
          <w:b/>
          <w:bCs/>
          <w:color w:val="000000"/>
          <w:sz w:val="22"/>
        </w:rPr>
      </w:pPr>
      <w:r w:rsidRPr="004061C9">
        <w:rPr>
          <w:rFonts w:cs="Proxima Nova"/>
          <w:b/>
          <w:bCs/>
          <w:color w:val="000000"/>
          <w:sz w:val="22"/>
        </w:rPr>
        <w:t xml:space="preserve">[OPTION A: For </w:t>
      </w:r>
      <w:r w:rsidR="00112883" w:rsidRPr="004061C9">
        <w:rPr>
          <w:rFonts w:cs="Proxima Nova"/>
          <w:b/>
          <w:bCs/>
          <w:color w:val="000000"/>
          <w:sz w:val="22"/>
        </w:rPr>
        <w:t>a</w:t>
      </w:r>
      <w:r w:rsidR="00C12985" w:rsidRPr="004061C9">
        <w:rPr>
          <w:rFonts w:cs="Proxima Nova"/>
          <w:b/>
          <w:bCs/>
          <w:color w:val="000000"/>
          <w:sz w:val="22"/>
        </w:rPr>
        <w:t>n</w:t>
      </w:r>
      <w:r w:rsidR="00112883" w:rsidRPr="004061C9">
        <w:rPr>
          <w:rFonts w:cs="Proxima Nova"/>
          <w:b/>
          <w:bCs/>
          <w:color w:val="000000"/>
          <w:sz w:val="22"/>
        </w:rPr>
        <w:t xml:space="preserve"> </w:t>
      </w:r>
      <w:r w:rsidRPr="004061C9">
        <w:rPr>
          <w:rFonts w:cs="Proxima Nova"/>
          <w:b/>
          <w:bCs/>
          <w:color w:val="000000"/>
          <w:sz w:val="22"/>
        </w:rPr>
        <w:t>MPO that supports statewide targets]</w:t>
      </w:r>
    </w:p>
    <w:p w14:paraId="58500058" w14:textId="34C44ABB" w:rsidR="00C67AD4" w:rsidRDefault="007B12CB" w:rsidP="009911FF">
      <w:pPr>
        <w:pStyle w:val="BodyText"/>
        <w:rPr>
          <w:bCs/>
          <w:color w:val="000000"/>
          <w:kern w:val="36"/>
        </w:rPr>
      </w:pPr>
      <w:r w:rsidRPr="00486407">
        <w:rPr>
          <w:b/>
          <w:bCs/>
        </w:rPr>
        <w:t>Sample language:</w:t>
      </w:r>
      <w:r w:rsidRPr="004061C9">
        <w:t xml:space="preserve"> </w:t>
      </w:r>
      <w:r w:rsidR="00C67AD4" w:rsidRPr="004061C9">
        <w:t>On [</w:t>
      </w:r>
      <w:r w:rsidR="00C67AD4" w:rsidRPr="004061C9">
        <w:rPr>
          <w:i/>
          <w:iCs/>
        </w:rPr>
        <w:t>date</w:t>
      </w:r>
      <w:r w:rsidR="00F5177C" w:rsidRPr="004061C9">
        <w:rPr>
          <w:i/>
          <w:iCs/>
        </w:rPr>
        <w:t xml:space="preserve"> of support for 2023 and 2025 targets, and date of support for FDOT’s adjusted 2025 reliability targets</w:t>
      </w:r>
      <w:r w:rsidR="00C67AD4" w:rsidRPr="004061C9">
        <w:t>], the [</w:t>
      </w:r>
      <w:r w:rsidR="00C67AD4" w:rsidRPr="004061C9">
        <w:rPr>
          <w:i/>
          <w:iCs/>
        </w:rPr>
        <w:t>MPO name</w:t>
      </w:r>
      <w:r w:rsidR="00C67AD4" w:rsidRPr="004061C9">
        <w:t>] agreed to support FDOT’s statewide system performance and freight targets, thus agreeing to plan and program projects in the TIP that</w:t>
      </w:r>
      <w:r w:rsidR="006A16AA" w:rsidRPr="004061C9">
        <w:t>,</w:t>
      </w:r>
      <w:r w:rsidR="00C67AD4" w:rsidRPr="004061C9">
        <w:t xml:space="preserve"> once implemented, are anticipated to make progress toward achieving the statewide targets. </w:t>
      </w:r>
      <w:r w:rsidR="00C67AD4" w:rsidRPr="004061C9">
        <w:rPr>
          <w:bCs/>
          <w:color w:val="000000"/>
          <w:kern w:val="36"/>
        </w:rPr>
        <w:t>[</w:t>
      </w:r>
      <w:r w:rsidR="00C67AD4" w:rsidRPr="004061C9">
        <w:rPr>
          <w:bCs/>
          <w:i/>
          <w:iCs/>
          <w:color w:val="000000"/>
          <w:kern w:val="36"/>
        </w:rPr>
        <w:t>The MPO may discuss the reasoning or analysis behind the decision to support the state targets.</w:t>
      </w:r>
      <w:r w:rsidR="00C67AD4" w:rsidRPr="004061C9">
        <w:rPr>
          <w:bCs/>
          <w:color w:val="000000"/>
          <w:kern w:val="36"/>
        </w:rPr>
        <w:t>]</w:t>
      </w:r>
    </w:p>
    <w:p w14:paraId="37F7F9AC" w14:textId="01B232EC" w:rsidR="00C67AD4" w:rsidRPr="004061C9" w:rsidRDefault="00C67AD4" w:rsidP="003C32B3">
      <w:pPr>
        <w:keepNext/>
        <w:spacing w:after="0" w:line="240" w:lineRule="auto"/>
        <w:rPr>
          <w:rFonts w:cs="Proxima Nova"/>
          <w:b/>
          <w:bCs/>
          <w:color w:val="000000"/>
          <w:sz w:val="22"/>
        </w:rPr>
      </w:pPr>
      <w:r w:rsidRPr="004061C9">
        <w:rPr>
          <w:rFonts w:cs="Proxima Nova"/>
          <w:b/>
          <w:bCs/>
          <w:color w:val="000000"/>
          <w:sz w:val="22"/>
        </w:rPr>
        <w:t xml:space="preserve">[OPTION B: For </w:t>
      </w:r>
      <w:r w:rsidR="00112883" w:rsidRPr="004061C9">
        <w:rPr>
          <w:rFonts w:cs="Proxima Nova"/>
          <w:b/>
          <w:bCs/>
          <w:color w:val="000000"/>
          <w:sz w:val="22"/>
        </w:rPr>
        <w:t>a</w:t>
      </w:r>
      <w:r w:rsidR="00C12985" w:rsidRPr="004061C9">
        <w:rPr>
          <w:rFonts w:cs="Proxima Nova"/>
          <w:b/>
          <w:bCs/>
          <w:color w:val="000000"/>
          <w:sz w:val="22"/>
        </w:rPr>
        <w:t>n</w:t>
      </w:r>
      <w:r w:rsidR="00112883" w:rsidRPr="004061C9">
        <w:rPr>
          <w:rFonts w:cs="Proxima Nova"/>
          <w:b/>
          <w:bCs/>
          <w:color w:val="000000"/>
          <w:sz w:val="22"/>
        </w:rPr>
        <w:t xml:space="preserve"> </w:t>
      </w:r>
      <w:r w:rsidRPr="004061C9">
        <w:rPr>
          <w:rFonts w:cs="Proxima Nova"/>
          <w:b/>
          <w:bCs/>
          <w:color w:val="000000"/>
          <w:sz w:val="22"/>
        </w:rPr>
        <w:t>MPO that establishes its own targets for one or more measures]</w:t>
      </w:r>
    </w:p>
    <w:p w14:paraId="00577818" w14:textId="22C75E4B" w:rsidR="009911FF" w:rsidRDefault="0010324E" w:rsidP="009911FF">
      <w:pPr>
        <w:pStyle w:val="BodyText"/>
      </w:pPr>
      <w:r w:rsidRPr="00486407">
        <w:rPr>
          <w:b/>
          <w:bCs/>
        </w:rPr>
        <w:t>Sample language:</w:t>
      </w:r>
      <w:r w:rsidRPr="004061C9">
        <w:t xml:space="preserve"> </w:t>
      </w:r>
      <w:r w:rsidR="00C67AD4" w:rsidRPr="004061C9">
        <w:t xml:space="preserve">The </w:t>
      </w:r>
      <w:r w:rsidR="002103E9" w:rsidRPr="004061C9">
        <w:t>[</w:t>
      </w:r>
      <w:r w:rsidR="002103E9" w:rsidRPr="004061C9">
        <w:rPr>
          <w:i/>
          <w:iCs/>
        </w:rPr>
        <w:t>MPO name</w:t>
      </w:r>
      <w:r w:rsidR="002103E9" w:rsidRPr="004061C9">
        <w:t>]</w:t>
      </w:r>
      <w:r w:rsidR="00C67AD4" w:rsidRPr="004061C9">
        <w:t xml:space="preserve"> acknowledges FDOT’s statewide system performance and freight targets. However, on [</w:t>
      </w:r>
      <w:r w:rsidR="00C67AD4" w:rsidRPr="004061C9">
        <w:rPr>
          <w:i/>
          <w:iCs/>
        </w:rPr>
        <w:t>date</w:t>
      </w:r>
      <w:r w:rsidR="00C67AD4" w:rsidRPr="004061C9">
        <w:t>], the [</w:t>
      </w:r>
      <w:r w:rsidR="00C67AD4" w:rsidRPr="004061C9">
        <w:rPr>
          <w:i/>
          <w:iCs/>
        </w:rPr>
        <w:t>MPO name</w:t>
      </w:r>
      <w:r w:rsidR="00C67AD4" w:rsidRPr="004061C9">
        <w:t>] established the four-year targets for the MPO’s planning area</w:t>
      </w:r>
      <w:r w:rsidR="00B564C5">
        <w:t>, as identified in the table below [may combine with statewide targets if desired</w:t>
      </w:r>
      <w:r w:rsidR="007D7B29" w:rsidRPr="004061C9">
        <w:rPr>
          <w:i/>
          <w:iCs/>
        </w:rPr>
        <w:t xml:space="preserve">. Note that MPOs are only required to establish 4-year targets for the federal bridge and pavement condition measures. An MPO </w:t>
      </w:r>
      <w:r w:rsidR="007D7B29" w:rsidRPr="00486407">
        <w:rPr>
          <w:i/>
          <w:iCs/>
        </w:rPr>
        <w:t>may</w:t>
      </w:r>
      <w:r w:rsidR="007D7B29" w:rsidRPr="004061C9">
        <w:rPr>
          <w:i/>
          <w:iCs/>
        </w:rPr>
        <w:t xml:space="preserve"> choose to establish 2-year targets.</w:t>
      </w:r>
      <w:r w:rsidR="007D7B29" w:rsidRPr="004061C9">
        <w:t>]</w:t>
      </w:r>
    </w:p>
    <w:p w14:paraId="447E53D8" w14:textId="670A87EA" w:rsidR="00765F35" w:rsidRPr="004061C9" w:rsidRDefault="00765F35" w:rsidP="00486407">
      <w:pPr>
        <w:pStyle w:val="Caption"/>
      </w:pPr>
      <w:bookmarkStart w:id="10" w:name="_Toc223951439"/>
      <w:r w:rsidRPr="004061C9">
        <w:t>MPO System Performance and Freight Targets</w:t>
      </w:r>
      <w:bookmarkEnd w:id="10"/>
    </w:p>
    <w:tbl>
      <w:tblPr>
        <w:tblStyle w:val="Style1"/>
        <w:tblW w:w="9360" w:type="dxa"/>
        <w:tblLayout w:type="fixed"/>
        <w:tblLook w:val="01E0" w:firstRow="1" w:lastRow="1" w:firstColumn="1" w:lastColumn="1" w:noHBand="0" w:noVBand="0"/>
      </w:tblPr>
      <w:tblGrid>
        <w:gridCol w:w="7110"/>
        <w:gridCol w:w="2250"/>
      </w:tblGrid>
      <w:tr w:rsidR="00C67AD4" w:rsidRPr="004061C9" w14:paraId="55E9CC0B" w14:textId="77777777" w:rsidTr="002B54F2">
        <w:trPr>
          <w:cnfStyle w:val="100000000000" w:firstRow="1" w:lastRow="0" w:firstColumn="0" w:lastColumn="0" w:oddVBand="0" w:evenVBand="0" w:oddHBand="0" w:evenHBand="0" w:firstRowFirstColumn="0" w:firstRowLastColumn="0" w:lastRowFirstColumn="0" w:lastRowLastColumn="0"/>
          <w:tblHeader/>
        </w:trPr>
        <w:tc>
          <w:tcPr>
            <w:tcW w:w="7110" w:type="dxa"/>
          </w:tcPr>
          <w:p w14:paraId="44233DB1" w14:textId="77777777" w:rsidR="00C67AD4" w:rsidRPr="004061C9" w:rsidRDefault="00C67AD4" w:rsidP="003C32B3">
            <w:pPr>
              <w:pStyle w:val="TableHead"/>
              <w:spacing w:before="0"/>
              <w:rPr>
                <w:sz w:val="22"/>
                <w:szCs w:val="22"/>
              </w:rPr>
            </w:pPr>
            <w:r w:rsidRPr="004061C9">
              <w:rPr>
                <w:sz w:val="22"/>
                <w:szCs w:val="22"/>
              </w:rPr>
              <w:t>Performance Measure</w:t>
            </w:r>
          </w:p>
        </w:tc>
        <w:tc>
          <w:tcPr>
            <w:tcW w:w="2250" w:type="dxa"/>
          </w:tcPr>
          <w:p w14:paraId="17027FB4" w14:textId="77777777" w:rsidR="00C67AD4" w:rsidRPr="004061C9" w:rsidRDefault="00C67AD4" w:rsidP="003C32B3">
            <w:pPr>
              <w:pStyle w:val="TableHead"/>
              <w:spacing w:before="0"/>
              <w:jc w:val="center"/>
              <w:rPr>
                <w:sz w:val="22"/>
                <w:szCs w:val="22"/>
              </w:rPr>
            </w:pPr>
            <w:r w:rsidRPr="004061C9">
              <w:rPr>
                <w:sz w:val="22"/>
                <w:szCs w:val="22"/>
              </w:rPr>
              <w:t>2025 MPO Target</w:t>
            </w:r>
          </w:p>
        </w:tc>
      </w:tr>
      <w:tr w:rsidR="00C67AD4" w:rsidRPr="004061C9" w14:paraId="41E9C098" w14:textId="77777777" w:rsidTr="004E6DBC">
        <w:tc>
          <w:tcPr>
            <w:tcW w:w="7110" w:type="dxa"/>
          </w:tcPr>
          <w:p w14:paraId="0545AFEB" w14:textId="77777777" w:rsidR="00C67AD4" w:rsidRPr="004061C9" w:rsidRDefault="00C67AD4" w:rsidP="003C32B3">
            <w:pPr>
              <w:pStyle w:val="TableText"/>
              <w:rPr>
                <w:sz w:val="22"/>
                <w:szCs w:val="22"/>
              </w:rPr>
            </w:pPr>
            <w:r w:rsidRPr="004061C9">
              <w:rPr>
                <w:sz w:val="22"/>
                <w:szCs w:val="22"/>
              </w:rPr>
              <w:t xml:space="preserve">Percent of person-miles traveled on the Interstate that are reliable </w:t>
            </w:r>
          </w:p>
        </w:tc>
        <w:tc>
          <w:tcPr>
            <w:tcW w:w="2250" w:type="dxa"/>
          </w:tcPr>
          <w:p w14:paraId="5D7A8FC1" w14:textId="77777777" w:rsidR="00C67AD4" w:rsidRPr="004061C9" w:rsidRDefault="00C67AD4" w:rsidP="003C32B3">
            <w:pPr>
              <w:pStyle w:val="TableText"/>
              <w:jc w:val="center"/>
              <w:rPr>
                <w:sz w:val="22"/>
                <w:szCs w:val="22"/>
              </w:rPr>
            </w:pPr>
            <w:proofErr w:type="spellStart"/>
            <w:r w:rsidRPr="004061C9">
              <w:rPr>
                <w:sz w:val="22"/>
                <w:szCs w:val="22"/>
              </w:rPr>
              <w:t>xx.x</w:t>
            </w:r>
            <w:proofErr w:type="spellEnd"/>
            <w:r w:rsidRPr="004061C9">
              <w:rPr>
                <w:sz w:val="22"/>
                <w:szCs w:val="22"/>
              </w:rPr>
              <w:t>%</w:t>
            </w:r>
          </w:p>
        </w:tc>
      </w:tr>
      <w:tr w:rsidR="00C67AD4" w:rsidRPr="004061C9" w14:paraId="69C06D0C" w14:textId="77777777" w:rsidTr="004E6DBC">
        <w:tc>
          <w:tcPr>
            <w:tcW w:w="7110" w:type="dxa"/>
          </w:tcPr>
          <w:p w14:paraId="3F8E6D1F" w14:textId="77777777" w:rsidR="00C67AD4" w:rsidRPr="004061C9" w:rsidRDefault="00C67AD4" w:rsidP="003C32B3">
            <w:pPr>
              <w:pStyle w:val="TableText"/>
              <w:rPr>
                <w:sz w:val="22"/>
                <w:szCs w:val="22"/>
              </w:rPr>
            </w:pPr>
            <w:r w:rsidRPr="004061C9">
              <w:rPr>
                <w:sz w:val="22"/>
                <w:szCs w:val="22"/>
              </w:rPr>
              <w:t xml:space="preserve">Percent of person-miles traveled on the non-Interstate NHS that are reliable </w:t>
            </w:r>
          </w:p>
        </w:tc>
        <w:tc>
          <w:tcPr>
            <w:tcW w:w="2250" w:type="dxa"/>
          </w:tcPr>
          <w:p w14:paraId="55FD194C" w14:textId="77777777" w:rsidR="00C67AD4" w:rsidRPr="004061C9" w:rsidRDefault="00C67AD4" w:rsidP="003C32B3">
            <w:pPr>
              <w:pStyle w:val="TableText"/>
              <w:jc w:val="center"/>
              <w:rPr>
                <w:sz w:val="22"/>
                <w:szCs w:val="22"/>
              </w:rPr>
            </w:pPr>
            <w:proofErr w:type="spellStart"/>
            <w:r w:rsidRPr="004061C9">
              <w:rPr>
                <w:sz w:val="22"/>
                <w:szCs w:val="22"/>
              </w:rPr>
              <w:t>xx.x</w:t>
            </w:r>
            <w:proofErr w:type="spellEnd"/>
            <w:r w:rsidRPr="004061C9">
              <w:rPr>
                <w:sz w:val="22"/>
                <w:szCs w:val="22"/>
              </w:rPr>
              <w:t>%</w:t>
            </w:r>
          </w:p>
        </w:tc>
      </w:tr>
      <w:tr w:rsidR="00C67AD4" w:rsidRPr="004061C9" w14:paraId="12F4E7D5" w14:textId="77777777" w:rsidTr="004E6DBC">
        <w:tc>
          <w:tcPr>
            <w:tcW w:w="7110" w:type="dxa"/>
          </w:tcPr>
          <w:p w14:paraId="1624498B" w14:textId="77777777" w:rsidR="00C67AD4" w:rsidRPr="004061C9" w:rsidRDefault="00C67AD4" w:rsidP="003C32B3">
            <w:pPr>
              <w:pStyle w:val="TableText"/>
              <w:rPr>
                <w:sz w:val="22"/>
                <w:szCs w:val="22"/>
              </w:rPr>
            </w:pPr>
            <w:r w:rsidRPr="004061C9">
              <w:rPr>
                <w:sz w:val="22"/>
                <w:szCs w:val="22"/>
              </w:rPr>
              <w:t>Truck travel time reliability index (Interstate)</w:t>
            </w:r>
          </w:p>
        </w:tc>
        <w:tc>
          <w:tcPr>
            <w:tcW w:w="2250" w:type="dxa"/>
          </w:tcPr>
          <w:p w14:paraId="0926075B" w14:textId="77777777" w:rsidR="00C67AD4" w:rsidRPr="004061C9" w:rsidRDefault="00C67AD4" w:rsidP="003C32B3">
            <w:pPr>
              <w:pStyle w:val="TableText"/>
              <w:jc w:val="center"/>
              <w:rPr>
                <w:sz w:val="22"/>
                <w:szCs w:val="22"/>
              </w:rPr>
            </w:pPr>
            <w:proofErr w:type="spellStart"/>
            <w:r w:rsidRPr="004061C9">
              <w:rPr>
                <w:sz w:val="22"/>
                <w:szCs w:val="22"/>
              </w:rPr>
              <w:t>x.xx</w:t>
            </w:r>
            <w:proofErr w:type="spellEnd"/>
          </w:p>
        </w:tc>
      </w:tr>
    </w:tbl>
    <w:p w14:paraId="27359871" w14:textId="77777777" w:rsidR="002B54F2" w:rsidRDefault="002B54F2">
      <w:pPr>
        <w:rPr>
          <w:rFonts w:asciiTheme="majorHAnsi" w:eastAsia="Times New Roman" w:hAnsiTheme="majorHAnsi" w:cs="Times New Roman"/>
          <w:kern w:val="0"/>
          <w:sz w:val="22"/>
          <w:u w:val="single"/>
          <w14:ligatures w14:val="none"/>
        </w:rPr>
      </w:pPr>
      <w:r>
        <w:rPr>
          <w:u w:val="single"/>
        </w:rPr>
        <w:br w:type="page"/>
      </w:r>
    </w:p>
    <w:p w14:paraId="5A28F1EC" w14:textId="1BBFC6AD" w:rsidR="002B54F2" w:rsidRDefault="0010324E" w:rsidP="009911FF">
      <w:pPr>
        <w:pStyle w:val="BodyText"/>
        <w:spacing w:before="240"/>
        <w:sectPr w:rsidR="002B54F2" w:rsidSect="002B54F2">
          <w:pgSz w:w="12240" w:h="15840" w:code="1"/>
          <w:pgMar w:top="1440" w:right="1440" w:bottom="1440" w:left="1440" w:header="720" w:footer="720" w:gutter="0"/>
          <w:cols w:space="720"/>
          <w:titlePg/>
          <w:docGrid w:linePitch="360"/>
        </w:sectPr>
      </w:pPr>
      <w:r w:rsidRPr="00486407">
        <w:rPr>
          <w:b/>
          <w:bCs/>
        </w:rPr>
        <w:lastRenderedPageBreak/>
        <w:t>Sample language:</w:t>
      </w:r>
      <w:r w:rsidRPr="004061C9">
        <w:t xml:space="preserve"> </w:t>
      </w:r>
      <w:r w:rsidR="00935409" w:rsidRPr="004061C9">
        <w:t xml:space="preserve">In establishing the MPO’s targets for system performance and freight measures, [MPO name] considered many factors. [The MPO should explain why and how it set its own targets. Include the basis for developing the MPO targets and cite relevant factors. Examples might include different performance trends in the MPO area compared to the state, additional funding for system performance and/or freight projects in the MPO area, a greater focus on system performance or freight as an MPO priority, or the use of reliability standards for project selection, etc.] </w:t>
      </w:r>
    </w:p>
    <w:p w14:paraId="75F725F1" w14:textId="7A4FD2D3" w:rsidR="00664DFA" w:rsidRPr="00915F68" w:rsidRDefault="00664DFA" w:rsidP="009911FF">
      <w:pPr>
        <w:pStyle w:val="Heading1"/>
      </w:pPr>
      <w:bookmarkStart w:id="11" w:name="_Toc225334707"/>
      <w:r w:rsidRPr="00915F68">
        <w:lastRenderedPageBreak/>
        <w:t>Transit Asset Management Measures</w:t>
      </w:r>
      <w:bookmarkEnd w:id="11"/>
    </w:p>
    <w:p w14:paraId="527A5991" w14:textId="77777777" w:rsidR="001872FB" w:rsidRPr="004061C9" w:rsidRDefault="001872FB" w:rsidP="009911FF">
      <w:pPr>
        <w:pStyle w:val="Heading2"/>
      </w:pPr>
      <w:r w:rsidRPr="004061C9">
        <w:t>State Timeline and Reporting</w:t>
      </w:r>
    </w:p>
    <w:p w14:paraId="24A4D7DF" w14:textId="3BE05A6B" w:rsidR="007B3700" w:rsidRPr="00222069" w:rsidRDefault="007F7A2A" w:rsidP="009911FF">
      <w:pPr>
        <w:pStyle w:val="BodyText"/>
      </w:pPr>
      <w:r w:rsidRPr="00222069">
        <w:t>State DOTs</w:t>
      </w:r>
      <w:r w:rsidR="00CA54BC" w:rsidRPr="00222069">
        <w:t xml:space="preserve"> can sponsor a Group Plan </w:t>
      </w:r>
      <w:r w:rsidR="00B30932" w:rsidRPr="00222069">
        <w:t xml:space="preserve">that Tier II providers </w:t>
      </w:r>
      <w:r w:rsidR="00817036" w:rsidRPr="00222069">
        <w:t>may choose to participate</w:t>
      </w:r>
      <w:r w:rsidR="00C96DB4">
        <w:t xml:space="preserve"> in</w:t>
      </w:r>
      <w:r w:rsidR="00817036" w:rsidRPr="00222069">
        <w:t>.</w:t>
      </w:r>
      <w:r w:rsidR="00D1484E" w:rsidRPr="00222069">
        <w:t xml:space="preserve"> Targets are set</w:t>
      </w:r>
      <w:r w:rsidR="00FE7616" w:rsidRPr="00222069">
        <w:t xml:space="preserve"> for each applicable asset class </w:t>
      </w:r>
      <w:r w:rsidR="00C05C53" w:rsidRPr="00222069">
        <w:t>and reported annually to FTA’s National Transit Database</w:t>
      </w:r>
      <w:r w:rsidR="003D26EB" w:rsidRPr="00222069">
        <w:t xml:space="preserve">. </w:t>
      </w:r>
    </w:p>
    <w:p w14:paraId="253073E7" w14:textId="3496C54C" w:rsidR="00664DFA" w:rsidRPr="009922A4" w:rsidRDefault="003335ED" w:rsidP="009911FF">
      <w:pPr>
        <w:pStyle w:val="BodyText"/>
        <w:rPr>
          <w:rFonts w:cs="Calibri"/>
          <w:b/>
          <w:bCs/>
        </w:rPr>
      </w:pPr>
      <w:r>
        <w:rPr>
          <w:rFonts w:cs="Calibri"/>
        </w:rPr>
        <w:t>There are 19</w:t>
      </w:r>
      <w:r w:rsidR="00A33ABB" w:rsidRPr="00222069">
        <w:rPr>
          <w:rFonts w:cs="Calibri"/>
        </w:rPr>
        <w:t xml:space="preserve"> public transit providers </w:t>
      </w:r>
      <w:r>
        <w:rPr>
          <w:rFonts w:cs="Calibri"/>
        </w:rPr>
        <w:t xml:space="preserve">that coordinate with FDOT to report targets for fiscal years 2022-2026 </w:t>
      </w:r>
      <w:r w:rsidR="00A33ABB" w:rsidRPr="00222069">
        <w:rPr>
          <w:rFonts w:cs="Calibri"/>
        </w:rPr>
        <w:t xml:space="preserve">in </w:t>
      </w:r>
      <w:hyperlink r:id="rId27" w:history="1">
        <w:r w:rsidR="00A33ABB" w:rsidRPr="00222069">
          <w:rPr>
            <w:rStyle w:val="Hyperlink"/>
            <w:rFonts w:cs="Calibri"/>
          </w:rPr>
          <w:t>FDOT's Group TAM Plan</w:t>
        </w:r>
      </w:hyperlink>
      <w:r w:rsidR="00A33ABB" w:rsidRPr="00222069">
        <w:rPr>
          <w:rFonts w:cs="Calibri"/>
        </w:rPr>
        <w:t>, adopted in September 2022. Targets for 2023 were submitted in September 2023. MPOs may include the full or partial provider table</w:t>
      </w:r>
      <w:r w:rsidR="008D64FB" w:rsidRPr="00222069">
        <w:rPr>
          <w:rFonts w:cs="Calibri"/>
        </w:rPr>
        <w:t xml:space="preserve"> shown in the plan</w:t>
      </w:r>
      <w:r w:rsidR="00A33ABB" w:rsidRPr="00222069">
        <w:rPr>
          <w:rFonts w:cs="Calibri"/>
        </w:rPr>
        <w:t xml:space="preserve">, especially if </w:t>
      </w:r>
      <w:r w:rsidR="003352A0">
        <w:rPr>
          <w:rFonts w:cs="Calibri"/>
        </w:rPr>
        <w:t xml:space="preserve">transit </w:t>
      </w:r>
      <w:r w:rsidR="00A33ABB" w:rsidRPr="00222069">
        <w:rPr>
          <w:rFonts w:cs="Calibri"/>
        </w:rPr>
        <w:t xml:space="preserve">providers in their area participate. </w:t>
      </w:r>
      <w:r w:rsidR="00A33ABB" w:rsidRPr="009922A4">
        <w:rPr>
          <w:rFonts w:cs="Calibri"/>
          <w:b/>
          <w:bCs/>
        </w:rPr>
        <w:t>MPOs should verify final 2023 targets with FDOT before submitting the TIP if providers are involved.</w:t>
      </w:r>
    </w:p>
    <w:p w14:paraId="5213BD54" w14:textId="52E09102" w:rsidR="00F12CE1" w:rsidRPr="00D54BEB" w:rsidRDefault="00E87E9B" w:rsidP="009911FF">
      <w:pPr>
        <w:pStyle w:val="Heading2"/>
      </w:pPr>
      <w:r>
        <w:t>Transit</w:t>
      </w:r>
      <w:r w:rsidR="00F12CE1" w:rsidRPr="00D54BEB">
        <w:t xml:space="preserve"> Timeline and Reporting</w:t>
      </w:r>
    </w:p>
    <w:p w14:paraId="5A53287D" w14:textId="77777777" w:rsidR="00F12CE1" w:rsidRDefault="00F12CE1" w:rsidP="009911FF">
      <w:pPr>
        <w:pStyle w:val="BodyText"/>
      </w:pPr>
      <w:r w:rsidRPr="00D54BEB">
        <w:t xml:space="preserve">Public transportation providers must set and report TAM targets each year for the upcoming fiscal year. Each provider or its sponsors must share these targets with every MPO where the provider’s projects and services are included in the MPO’s TIP. </w:t>
      </w:r>
    </w:p>
    <w:p w14:paraId="5040323D" w14:textId="77777777" w:rsidR="00F12CE1" w:rsidRPr="00D54BEB" w:rsidRDefault="00F12CE1" w:rsidP="003C32B3">
      <w:pPr>
        <w:keepNext/>
        <w:spacing w:after="0" w:line="240" w:lineRule="auto"/>
        <w:rPr>
          <w:rFonts w:cs="Calibri"/>
          <w:kern w:val="28"/>
          <w:sz w:val="22"/>
          <w:u w:val="single"/>
        </w:rPr>
      </w:pPr>
      <w:r w:rsidRPr="00D54BEB">
        <w:rPr>
          <w:rFonts w:cs="Proxima Nova"/>
          <w:b/>
          <w:bCs/>
          <w:color w:val="000000"/>
          <w:sz w:val="22"/>
        </w:rPr>
        <w:t>[OPTION A: Tier I provider(s) and Tier II providers not part of a Group TAM plan]</w:t>
      </w:r>
    </w:p>
    <w:p w14:paraId="49D41B56" w14:textId="1971DEB4" w:rsidR="00F12CE1" w:rsidRDefault="00F12CE1" w:rsidP="009911FF">
      <w:pPr>
        <w:pStyle w:val="BodyText"/>
      </w:pPr>
      <w:r w:rsidRPr="00486407">
        <w:rPr>
          <w:b/>
          <w:bCs/>
        </w:rPr>
        <w:t>Sample language</w:t>
      </w:r>
      <w:r w:rsidRPr="00D54BEB">
        <w:t>: The [transit agency] established TAM targets for each relevant asset category on [date]. The table below presents the targets. [</w:t>
      </w:r>
      <w:r w:rsidR="0008655B" w:rsidRPr="0008655B">
        <w:t>L</w:t>
      </w:r>
      <w:r w:rsidRPr="00D54BEB">
        <w:t>ist TAM targets for Tier 1 provider(s) and Tier II providers outside the Group TAM Plan, if applicable</w:t>
      </w:r>
      <w:r w:rsidR="0008655B">
        <w:t>, in a table</w:t>
      </w:r>
      <w:r w:rsidRPr="00D54BEB">
        <w:t>. Repeat the table for each transit provider.</w:t>
      </w:r>
      <w:r w:rsidR="004E6DBC">
        <w:t xml:space="preserve"> </w:t>
      </w:r>
      <w:r w:rsidR="0008655B">
        <w:t>Note:</w:t>
      </w:r>
      <w:r w:rsidRPr="00D54BEB">
        <w:t xml:space="preserve"> transit providers set targets only for the asset classes they operate; therefore, asset classes not shown in the example tables may be applicable.]</w:t>
      </w:r>
    </w:p>
    <w:p w14:paraId="69298F87" w14:textId="69F7B2EB" w:rsidR="00F12CE1" w:rsidRDefault="00F12CE1" w:rsidP="00486407">
      <w:pPr>
        <w:pStyle w:val="Caption"/>
      </w:pPr>
      <w:bookmarkStart w:id="12" w:name="_Toc223951441"/>
      <w:r w:rsidRPr="00594CBB">
        <w:t>Transit Asset Management Targets for Transit Provider</w:t>
      </w:r>
      <w:bookmarkEnd w:id="12"/>
      <w:r w:rsidR="009C1A25">
        <w:t xml:space="preserve"> [</w:t>
      </w:r>
      <w:r w:rsidR="009C1A25" w:rsidRPr="009C1A25">
        <w:rPr>
          <w:i/>
          <w:iCs/>
        </w:rPr>
        <w:t>Example</w:t>
      </w:r>
      <w:r w:rsidR="009C1A25">
        <w:t>]</w:t>
      </w:r>
    </w:p>
    <w:tbl>
      <w:tblPr>
        <w:tblStyle w:val="Style1"/>
        <w:tblW w:w="9360" w:type="dxa"/>
        <w:tblLayout w:type="fixed"/>
        <w:tblLook w:val="01E0" w:firstRow="1" w:lastRow="1" w:firstColumn="1" w:lastColumn="1" w:noHBand="0" w:noVBand="0"/>
      </w:tblPr>
      <w:tblGrid>
        <w:gridCol w:w="3420"/>
        <w:gridCol w:w="2790"/>
        <w:gridCol w:w="1620"/>
        <w:gridCol w:w="1530"/>
      </w:tblGrid>
      <w:tr w:rsidR="00F12CE1" w:rsidRPr="00BC59D8" w14:paraId="379E8009" w14:textId="77777777" w:rsidTr="00134517">
        <w:trPr>
          <w:cnfStyle w:val="100000000000" w:firstRow="1" w:lastRow="0" w:firstColumn="0" w:lastColumn="0" w:oddVBand="0" w:evenVBand="0" w:oddHBand="0" w:evenHBand="0" w:firstRowFirstColumn="0" w:firstRowLastColumn="0" w:lastRowFirstColumn="0" w:lastRowLastColumn="0"/>
          <w:tblHeader/>
        </w:trPr>
        <w:tc>
          <w:tcPr>
            <w:tcW w:w="3420" w:type="dxa"/>
            <w:vAlign w:val="bottom"/>
          </w:tcPr>
          <w:p w14:paraId="7A740D59" w14:textId="77777777" w:rsidR="00F12CE1" w:rsidRPr="00BC59D8" w:rsidRDefault="00F12CE1" w:rsidP="003C32B3">
            <w:pPr>
              <w:pStyle w:val="TableHead"/>
              <w:spacing w:before="0"/>
            </w:pPr>
            <w:r w:rsidRPr="00BC59D8">
              <w:t>Asset Category - Performance Measure</w:t>
            </w:r>
          </w:p>
        </w:tc>
        <w:tc>
          <w:tcPr>
            <w:tcW w:w="2790" w:type="dxa"/>
            <w:vAlign w:val="bottom"/>
          </w:tcPr>
          <w:p w14:paraId="51311155" w14:textId="77777777" w:rsidR="00F12CE1" w:rsidRPr="00BC59D8" w:rsidRDefault="00F12CE1" w:rsidP="003C32B3">
            <w:pPr>
              <w:pStyle w:val="TableHead"/>
              <w:spacing w:before="0"/>
              <w:jc w:val="center"/>
            </w:pPr>
            <w:r w:rsidRPr="00BC59D8">
              <w:t>Asset Class</w:t>
            </w:r>
          </w:p>
        </w:tc>
        <w:tc>
          <w:tcPr>
            <w:tcW w:w="1620" w:type="dxa"/>
            <w:vAlign w:val="bottom"/>
          </w:tcPr>
          <w:p w14:paraId="6272C969" w14:textId="77777777" w:rsidR="00F12CE1" w:rsidRPr="00BC59D8" w:rsidRDefault="00F12CE1" w:rsidP="003C32B3">
            <w:pPr>
              <w:pStyle w:val="TableHead"/>
              <w:spacing w:before="0"/>
              <w:jc w:val="center"/>
            </w:pPr>
            <w:r w:rsidRPr="00BC59D8">
              <w:t>FY 20xx Asset Condition</w:t>
            </w:r>
          </w:p>
        </w:tc>
        <w:tc>
          <w:tcPr>
            <w:tcW w:w="1530" w:type="dxa"/>
            <w:vAlign w:val="bottom"/>
          </w:tcPr>
          <w:p w14:paraId="68A5B1AF" w14:textId="77777777" w:rsidR="00F12CE1" w:rsidRPr="00BC59D8" w:rsidRDefault="00F12CE1" w:rsidP="003C32B3">
            <w:pPr>
              <w:pStyle w:val="TableHead"/>
              <w:spacing w:before="0"/>
              <w:jc w:val="center"/>
            </w:pPr>
            <w:r w:rsidRPr="00BC59D8">
              <w:t>FY 20xx Target</w:t>
            </w:r>
          </w:p>
        </w:tc>
      </w:tr>
      <w:tr w:rsidR="00F12CE1" w:rsidRPr="00BC59D8" w14:paraId="3485D9BA" w14:textId="77777777" w:rsidTr="00B354C8">
        <w:tc>
          <w:tcPr>
            <w:tcW w:w="3420" w:type="dxa"/>
            <w:vMerge w:val="restart"/>
            <w:shd w:val="clear" w:color="auto" w:fill="BCE0FC" w:themeFill="accent1" w:themeFillTint="33"/>
          </w:tcPr>
          <w:p w14:paraId="06C2233E" w14:textId="764DD927" w:rsidR="00F12CE1" w:rsidRPr="00BC59D8" w:rsidRDefault="009911FF" w:rsidP="003C32B3">
            <w:pPr>
              <w:pStyle w:val="TableText"/>
              <w:rPr>
                <w:rFonts w:cs="Calibri"/>
                <w:color w:val="000000"/>
                <w:kern w:val="36"/>
              </w:rPr>
            </w:pPr>
            <w:r w:rsidRPr="009911FF">
              <w:rPr>
                <w:rFonts w:cs="Calibri"/>
                <w:b/>
                <w:bCs/>
                <w:color w:val="000000"/>
                <w:kern w:val="36"/>
              </w:rPr>
              <w:t>Rolling Stock</w:t>
            </w:r>
            <w:r>
              <w:rPr>
                <w:rFonts w:cs="Calibri"/>
                <w:color w:val="000000"/>
                <w:kern w:val="36"/>
              </w:rPr>
              <w:br/>
            </w:r>
            <w:r w:rsidR="00F12CE1" w:rsidRPr="00BC59D8">
              <w:rPr>
                <w:rFonts w:cs="Calibri"/>
                <w:color w:val="000000"/>
                <w:kern w:val="36"/>
              </w:rPr>
              <w:t>Age - % of revenue vehicles within a particular asset class that have met or exceeded their ULB</w:t>
            </w:r>
          </w:p>
        </w:tc>
        <w:tc>
          <w:tcPr>
            <w:tcW w:w="2790" w:type="dxa"/>
          </w:tcPr>
          <w:p w14:paraId="60CEB0F4" w14:textId="77777777" w:rsidR="00F12CE1" w:rsidRPr="00BC59D8" w:rsidRDefault="00F12CE1" w:rsidP="003C32B3">
            <w:pPr>
              <w:pStyle w:val="TableText"/>
              <w:rPr>
                <w:rFonts w:cs="Calibri"/>
                <w:color w:val="000000"/>
                <w:kern w:val="36"/>
              </w:rPr>
            </w:pPr>
            <w:r w:rsidRPr="00BC59D8">
              <w:rPr>
                <w:rFonts w:cs="Calibri"/>
                <w:color w:val="000000"/>
                <w:kern w:val="36"/>
              </w:rPr>
              <w:t>Articulated Bus</w:t>
            </w:r>
          </w:p>
        </w:tc>
        <w:tc>
          <w:tcPr>
            <w:tcW w:w="1620" w:type="dxa"/>
          </w:tcPr>
          <w:p w14:paraId="746759A7"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3BE753C7"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r w:rsidR="00F12CE1" w:rsidRPr="00BC59D8" w14:paraId="4A90633F" w14:textId="77777777" w:rsidTr="00B354C8">
        <w:tc>
          <w:tcPr>
            <w:tcW w:w="3420" w:type="dxa"/>
            <w:vMerge/>
            <w:shd w:val="clear" w:color="auto" w:fill="BCE0FC" w:themeFill="accent1" w:themeFillTint="33"/>
          </w:tcPr>
          <w:p w14:paraId="0DFE85A5" w14:textId="77777777" w:rsidR="00F12CE1" w:rsidRPr="00BC59D8" w:rsidRDefault="00F12CE1" w:rsidP="003C32B3">
            <w:pPr>
              <w:pStyle w:val="TableText"/>
              <w:rPr>
                <w:rFonts w:cs="Calibri"/>
                <w:color w:val="000000"/>
                <w:kern w:val="36"/>
              </w:rPr>
            </w:pPr>
          </w:p>
        </w:tc>
        <w:tc>
          <w:tcPr>
            <w:tcW w:w="2790" w:type="dxa"/>
          </w:tcPr>
          <w:p w14:paraId="7859D2F2" w14:textId="77777777" w:rsidR="00F12CE1" w:rsidRPr="00BC59D8" w:rsidRDefault="00F12CE1" w:rsidP="003C32B3">
            <w:pPr>
              <w:pStyle w:val="TableText"/>
              <w:rPr>
                <w:rFonts w:cs="Calibri"/>
                <w:color w:val="000000"/>
                <w:kern w:val="36"/>
              </w:rPr>
            </w:pPr>
            <w:r w:rsidRPr="00BC59D8">
              <w:rPr>
                <w:rFonts w:cs="Calibri"/>
                <w:color w:val="000000"/>
                <w:kern w:val="36"/>
              </w:rPr>
              <w:t>Bus</w:t>
            </w:r>
          </w:p>
        </w:tc>
        <w:tc>
          <w:tcPr>
            <w:tcW w:w="1620" w:type="dxa"/>
          </w:tcPr>
          <w:p w14:paraId="28FE7D1C"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461263ED"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r w:rsidR="00F12CE1" w:rsidRPr="00BC59D8" w14:paraId="12C6C253" w14:textId="77777777" w:rsidTr="00B354C8">
        <w:tc>
          <w:tcPr>
            <w:tcW w:w="3420" w:type="dxa"/>
            <w:vMerge/>
            <w:shd w:val="clear" w:color="auto" w:fill="BCE0FC" w:themeFill="accent1" w:themeFillTint="33"/>
          </w:tcPr>
          <w:p w14:paraId="203C5429" w14:textId="77777777" w:rsidR="00F12CE1" w:rsidRPr="00BC59D8" w:rsidRDefault="00F12CE1" w:rsidP="003C32B3">
            <w:pPr>
              <w:pStyle w:val="TableText"/>
              <w:rPr>
                <w:rFonts w:cs="Calibri"/>
                <w:color w:val="000000"/>
                <w:kern w:val="36"/>
              </w:rPr>
            </w:pPr>
          </w:p>
        </w:tc>
        <w:tc>
          <w:tcPr>
            <w:tcW w:w="2790" w:type="dxa"/>
          </w:tcPr>
          <w:p w14:paraId="45756E6E" w14:textId="77777777" w:rsidR="00F12CE1" w:rsidRPr="00BC59D8" w:rsidRDefault="00F12CE1" w:rsidP="003C32B3">
            <w:pPr>
              <w:pStyle w:val="TableText"/>
              <w:rPr>
                <w:rFonts w:cs="Calibri"/>
                <w:color w:val="000000"/>
                <w:kern w:val="36"/>
              </w:rPr>
            </w:pPr>
            <w:r w:rsidRPr="00BC59D8">
              <w:rPr>
                <w:rFonts w:cs="Calibri"/>
                <w:color w:val="000000"/>
                <w:kern w:val="36"/>
              </w:rPr>
              <w:t>Mini-Bus</w:t>
            </w:r>
          </w:p>
        </w:tc>
        <w:tc>
          <w:tcPr>
            <w:tcW w:w="1620" w:type="dxa"/>
          </w:tcPr>
          <w:p w14:paraId="451A3B04"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1A56E61E"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r w:rsidR="00F12CE1" w:rsidRPr="00BC59D8" w14:paraId="1E8BC357" w14:textId="77777777" w:rsidTr="00B354C8">
        <w:tc>
          <w:tcPr>
            <w:tcW w:w="3420" w:type="dxa"/>
            <w:vMerge/>
            <w:shd w:val="clear" w:color="auto" w:fill="BCE0FC" w:themeFill="accent1" w:themeFillTint="33"/>
          </w:tcPr>
          <w:p w14:paraId="6E19B12F" w14:textId="77777777" w:rsidR="00F12CE1" w:rsidRPr="00BC59D8" w:rsidRDefault="00F12CE1" w:rsidP="003C32B3">
            <w:pPr>
              <w:pStyle w:val="TableText"/>
              <w:rPr>
                <w:rFonts w:cs="Calibri"/>
                <w:color w:val="000000"/>
                <w:kern w:val="36"/>
              </w:rPr>
            </w:pPr>
          </w:p>
        </w:tc>
        <w:tc>
          <w:tcPr>
            <w:tcW w:w="2790" w:type="dxa"/>
          </w:tcPr>
          <w:p w14:paraId="6AAF3967" w14:textId="77777777" w:rsidR="00F12CE1" w:rsidRPr="00BC59D8" w:rsidRDefault="00F12CE1" w:rsidP="003C32B3">
            <w:pPr>
              <w:pStyle w:val="TableText"/>
              <w:rPr>
                <w:rFonts w:cs="Calibri"/>
                <w:color w:val="000000"/>
                <w:kern w:val="36"/>
              </w:rPr>
            </w:pPr>
            <w:r w:rsidRPr="00BC59D8">
              <w:rPr>
                <w:rFonts w:cs="Calibri"/>
                <w:color w:val="000000"/>
                <w:kern w:val="36"/>
              </w:rPr>
              <w:t>Van</w:t>
            </w:r>
          </w:p>
        </w:tc>
        <w:tc>
          <w:tcPr>
            <w:tcW w:w="1620" w:type="dxa"/>
          </w:tcPr>
          <w:p w14:paraId="5F3A22D2"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5456BC89"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r w:rsidR="00F12CE1" w:rsidRPr="00BC59D8" w14:paraId="4653530E" w14:textId="77777777" w:rsidTr="00B354C8">
        <w:tc>
          <w:tcPr>
            <w:tcW w:w="3420" w:type="dxa"/>
            <w:vMerge/>
            <w:shd w:val="clear" w:color="auto" w:fill="BCE0FC" w:themeFill="accent1" w:themeFillTint="33"/>
          </w:tcPr>
          <w:p w14:paraId="72D1A5D6" w14:textId="77777777" w:rsidR="00F12CE1" w:rsidRPr="00BC59D8" w:rsidRDefault="00F12CE1" w:rsidP="003C32B3">
            <w:pPr>
              <w:pStyle w:val="TableText"/>
              <w:rPr>
                <w:rFonts w:cs="Calibri"/>
                <w:color w:val="000000"/>
                <w:kern w:val="36"/>
              </w:rPr>
            </w:pPr>
          </w:p>
        </w:tc>
        <w:tc>
          <w:tcPr>
            <w:tcW w:w="2790" w:type="dxa"/>
          </w:tcPr>
          <w:p w14:paraId="6FD3FCA6" w14:textId="77777777" w:rsidR="00F12CE1" w:rsidRPr="00BC59D8" w:rsidRDefault="00F12CE1" w:rsidP="003C32B3">
            <w:pPr>
              <w:pStyle w:val="TableText"/>
              <w:rPr>
                <w:rFonts w:cs="Calibri"/>
                <w:color w:val="000000"/>
                <w:kern w:val="36"/>
              </w:rPr>
            </w:pPr>
            <w:r>
              <w:rPr>
                <w:rFonts w:cs="Calibri"/>
                <w:color w:val="000000"/>
                <w:kern w:val="36"/>
              </w:rPr>
              <w:t>Other</w:t>
            </w:r>
          </w:p>
        </w:tc>
        <w:tc>
          <w:tcPr>
            <w:tcW w:w="1620" w:type="dxa"/>
          </w:tcPr>
          <w:p w14:paraId="32905A86"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66EDA802"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r w:rsidR="00F12CE1" w:rsidRPr="00BC59D8" w14:paraId="1673B3DB" w14:textId="77777777" w:rsidTr="00B354C8">
        <w:tc>
          <w:tcPr>
            <w:tcW w:w="3420" w:type="dxa"/>
            <w:vMerge w:val="restart"/>
            <w:shd w:val="clear" w:color="auto" w:fill="BCE0FC" w:themeFill="accent1" w:themeFillTint="33"/>
          </w:tcPr>
          <w:p w14:paraId="25DDFF2E" w14:textId="7E7B795A" w:rsidR="00F12CE1" w:rsidRPr="00BC59D8" w:rsidRDefault="009911FF" w:rsidP="003C32B3">
            <w:pPr>
              <w:pStyle w:val="TableText"/>
              <w:rPr>
                <w:rFonts w:cs="Calibri"/>
                <w:color w:val="000000"/>
                <w:kern w:val="36"/>
              </w:rPr>
            </w:pPr>
            <w:r w:rsidRPr="009911FF">
              <w:rPr>
                <w:rFonts w:cs="Calibri"/>
                <w:b/>
                <w:bCs/>
                <w:color w:val="000000"/>
                <w:kern w:val="36"/>
              </w:rPr>
              <w:t>Equipment</w:t>
            </w:r>
            <w:r>
              <w:rPr>
                <w:rFonts w:cs="Calibri"/>
                <w:color w:val="000000"/>
                <w:kern w:val="36"/>
              </w:rPr>
              <w:br/>
            </w:r>
            <w:r w:rsidR="00F12CE1" w:rsidRPr="00BC59D8">
              <w:rPr>
                <w:rFonts w:cs="Calibri"/>
                <w:color w:val="000000"/>
                <w:kern w:val="36"/>
              </w:rPr>
              <w:t>Age - % of non-revenue vehicles within a particular asset class that have met or exceeded their ULB</w:t>
            </w:r>
          </w:p>
        </w:tc>
        <w:tc>
          <w:tcPr>
            <w:tcW w:w="2790" w:type="dxa"/>
          </w:tcPr>
          <w:p w14:paraId="50935EC7" w14:textId="77777777" w:rsidR="00F12CE1" w:rsidRPr="00BC59D8" w:rsidRDefault="00F12CE1" w:rsidP="003C32B3">
            <w:pPr>
              <w:pStyle w:val="TableText"/>
              <w:rPr>
                <w:rFonts w:cs="Calibri"/>
                <w:color w:val="000000"/>
                <w:kern w:val="36"/>
              </w:rPr>
            </w:pPr>
            <w:r w:rsidRPr="00BC59D8">
              <w:rPr>
                <w:rFonts w:cs="Calibri"/>
                <w:color w:val="000000"/>
                <w:kern w:val="36"/>
              </w:rPr>
              <w:t>Non-Revenue/Service Automobile</w:t>
            </w:r>
          </w:p>
        </w:tc>
        <w:tc>
          <w:tcPr>
            <w:tcW w:w="1620" w:type="dxa"/>
          </w:tcPr>
          <w:p w14:paraId="40A7D4AE"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0196EFA1"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r w:rsidR="00F12CE1" w:rsidRPr="00BC59D8" w14:paraId="4C4D958A" w14:textId="77777777" w:rsidTr="00B354C8">
        <w:tc>
          <w:tcPr>
            <w:tcW w:w="3420" w:type="dxa"/>
            <w:vMerge/>
            <w:shd w:val="clear" w:color="auto" w:fill="BCE0FC" w:themeFill="accent1" w:themeFillTint="33"/>
          </w:tcPr>
          <w:p w14:paraId="6FC78D28" w14:textId="77777777" w:rsidR="00F12CE1" w:rsidRPr="00BC59D8" w:rsidRDefault="00F12CE1" w:rsidP="003C32B3">
            <w:pPr>
              <w:pStyle w:val="TableText"/>
              <w:rPr>
                <w:rFonts w:cs="Calibri"/>
                <w:color w:val="000000"/>
                <w:kern w:val="36"/>
              </w:rPr>
            </w:pPr>
          </w:p>
        </w:tc>
        <w:tc>
          <w:tcPr>
            <w:tcW w:w="2790" w:type="dxa"/>
          </w:tcPr>
          <w:p w14:paraId="557F3081" w14:textId="77777777" w:rsidR="00F12CE1" w:rsidRPr="00BC59D8" w:rsidRDefault="00F12CE1" w:rsidP="003C32B3">
            <w:pPr>
              <w:pStyle w:val="TableText"/>
              <w:rPr>
                <w:rFonts w:cs="Calibri"/>
                <w:color w:val="000000"/>
                <w:kern w:val="36"/>
              </w:rPr>
            </w:pPr>
            <w:r w:rsidRPr="00BC59D8">
              <w:rPr>
                <w:rFonts w:cs="Calibri"/>
                <w:color w:val="000000"/>
                <w:kern w:val="36"/>
              </w:rPr>
              <w:t>Trucks and other Rubber Tire Vehicles</w:t>
            </w:r>
          </w:p>
        </w:tc>
        <w:tc>
          <w:tcPr>
            <w:tcW w:w="1620" w:type="dxa"/>
          </w:tcPr>
          <w:p w14:paraId="0B749591"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129A80D8"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r w:rsidR="00F12CE1" w:rsidRPr="00BC59D8" w14:paraId="3002558E" w14:textId="77777777" w:rsidTr="00B354C8">
        <w:tc>
          <w:tcPr>
            <w:tcW w:w="3420" w:type="dxa"/>
            <w:vMerge/>
            <w:shd w:val="clear" w:color="auto" w:fill="BCE0FC" w:themeFill="accent1" w:themeFillTint="33"/>
          </w:tcPr>
          <w:p w14:paraId="576EBC61" w14:textId="77777777" w:rsidR="00F12CE1" w:rsidRPr="00BC59D8" w:rsidRDefault="00F12CE1" w:rsidP="003C32B3">
            <w:pPr>
              <w:pStyle w:val="TableText"/>
              <w:rPr>
                <w:rFonts w:cs="Calibri"/>
                <w:color w:val="000000"/>
                <w:kern w:val="36"/>
              </w:rPr>
            </w:pPr>
          </w:p>
        </w:tc>
        <w:tc>
          <w:tcPr>
            <w:tcW w:w="2790" w:type="dxa"/>
          </w:tcPr>
          <w:p w14:paraId="4E3DA8A2" w14:textId="77777777" w:rsidR="00F12CE1" w:rsidRPr="00BC59D8" w:rsidRDefault="00F12CE1" w:rsidP="003C32B3">
            <w:pPr>
              <w:pStyle w:val="TableText"/>
              <w:rPr>
                <w:rFonts w:cs="Calibri"/>
                <w:color w:val="000000"/>
                <w:kern w:val="36"/>
              </w:rPr>
            </w:pPr>
            <w:r w:rsidRPr="00BC59D8">
              <w:rPr>
                <w:rFonts w:cs="Calibri"/>
                <w:color w:val="000000"/>
                <w:kern w:val="36"/>
              </w:rPr>
              <w:t>Maintenance Equipment</w:t>
            </w:r>
          </w:p>
        </w:tc>
        <w:tc>
          <w:tcPr>
            <w:tcW w:w="1620" w:type="dxa"/>
          </w:tcPr>
          <w:p w14:paraId="2E7B2F10"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46C934FB"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r w:rsidR="00F12CE1" w:rsidRPr="00BC59D8" w14:paraId="494D8D8A" w14:textId="77777777" w:rsidTr="00B354C8">
        <w:tc>
          <w:tcPr>
            <w:tcW w:w="3420" w:type="dxa"/>
            <w:vMerge/>
            <w:shd w:val="clear" w:color="auto" w:fill="BCE0FC" w:themeFill="accent1" w:themeFillTint="33"/>
          </w:tcPr>
          <w:p w14:paraId="6498F04A" w14:textId="77777777" w:rsidR="00F12CE1" w:rsidRPr="00BC59D8" w:rsidRDefault="00F12CE1" w:rsidP="003C32B3">
            <w:pPr>
              <w:pStyle w:val="TableText"/>
              <w:rPr>
                <w:rFonts w:cs="Calibri"/>
                <w:color w:val="000000"/>
                <w:kern w:val="36"/>
              </w:rPr>
            </w:pPr>
          </w:p>
        </w:tc>
        <w:tc>
          <w:tcPr>
            <w:tcW w:w="2790" w:type="dxa"/>
          </w:tcPr>
          <w:p w14:paraId="5A474091" w14:textId="77777777" w:rsidR="00F12CE1" w:rsidRPr="00BC59D8" w:rsidRDefault="00F12CE1" w:rsidP="003C32B3">
            <w:pPr>
              <w:pStyle w:val="TableText"/>
              <w:rPr>
                <w:rFonts w:cs="Calibri"/>
                <w:color w:val="000000"/>
                <w:kern w:val="36"/>
              </w:rPr>
            </w:pPr>
            <w:r>
              <w:rPr>
                <w:rFonts w:cs="Calibri"/>
                <w:color w:val="000000"/>
                <w:kern w:val="36"/>
              </w:rPr>
              <w:t>Other</w:t>
            </w:r>
          </w:p>
        </w:tc>
        <w:tc>
          <w:tcPr>
            <w:tcW w:w="1620" w:type="dxa"/>
          </w:tcPr>
          <w:p w14:paraId="7A84D3EA"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54C29EA9"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r w:rsidR="00F12CE1" w:rsidRPr="00BC59D8" w14:paraId="3F156F2D" w14:textId="77777777" w:rsidTr="00B354C8">
        <w:trPr>
          <w:trHeight w:val="402"/>
        </w:trPr>
        <w:tc>
          <w:tcPr>
            <w:tcW w:w="3420" w:type="dxa"/>
            <w:vMerge w:val="restart"/>
            <w:shd w:val="clear" w:color="auto" w:fill="BCE0FC" w:themeFill="accent1" w:themeFillTint="33"/>
          </w:tcPr>
          <w:p w14:paraId="0F842C5D" w14:textId="753AFECA" w:rsidR="00F12CE1" w:rsidRPr="00BC59D8" w:rsidRDefault="009911FF" w:rsidP="003C32B3">
            <w:pPr>
              <w:pStyle w:val="TableText"/>
              <w:rPr>
                <w:rFonts w:cs="Calibri"/>
                <w:color w:val="000000"/>
                <w:kern w:val="36"/>
              </w:rPr>
            </w:pPr>
            <w:r w:rsidRPr="009911FF">
              <w:rPr>
                <w:rFonts w:cs="Calibri"/>
                <w:b/>
                <w:bCs/>
                <w:color w:val="000000"/>
                <w:kern w:val="36"/>
              </w:rPr>
              <w:t>Infrastructure (this category is only applicable to Tier I providers with rail service)</w:t>
            </w:r>
            <w:r>
              <w:rPr>
                <w:rFonts w:cs="Calibri"/>
                <w:color w:val="000000"/>
                <w:kern w:val="36"/>
              </w:rPr>
              <w:br/>
            </w:r>
            <w:r w:rsidR="00F12CE1" w:rsidRPr="00BC59D8">
              <w:rPr>
                <w:rFonts w:cs="Calibri"/>
                <w:color w:val="000000"/>
                <w:kern w:val="36"/>
              </w:rPr>
              <w:t>% of track segments with performance restrictions</w:t>
            </w:r>
          </w:p>
        </w:tc>
        <w:tc>
          <w:tcPr>
            <w:tcW w:w="2790" w:type="dxa"/>
            <w:vAlign w:val="center"/>
          </w:tcPr>
          <w:p w14:paraId="5CA6B6A3" w14:textId="77777777" w:rsidR="00F12CE1" w:rsidRPr="00BC59D8" w:rsidRDefault="00F12CE1" w:rsidP="004E6DBC">
            <w:pPr>
              <w:pStyle w:val="TableText"/>
              <w:rPr>
                <w:rFonts w:cs="Calibri"/>
                <w:color w:val="000000"/>
                <w:kern w:val="36"/>
              </w:rPr>
            </w:pPr>
            <w:r w:rsidRPr="00BC59D8">
              <w:rPr>
                <w:rFonts w:cs="Calibri"/>
                <w:color w:val="000000"/>
                <w:kern w:val="36"/>
              </w:rPr>
              <w:t>Guideway Elements</w:t>
            </w:r>
          </w:p>
        </w:tc>
        <w:tc>
          <w:tcPr>
            <w:tcW w:w="1620" w:type="dxa"/>
            <w:vAlign w:val="center"/>
          </w:tcPr>
          <w:p w14:paraId="02B976AB" w14:textId="77777777" w:rsidR="00F12CE1" w:rsidRPr="00BC59D8" w:rsidRDefault="00F12CE1" w:rsidP="004E6DBC">
            <w:pPr>
              <w:pStyle w:val="TableText"/>
              <w:jc w:val="center"/>
              <w:rPr>
                <w:rFonts w:cs="Calibri"/>
                <w:color w:val="000000"/>
                <w:kern w:val="36"/>
              </w:rPr>
            </w:pPr>
            <w:r w:rsidRPr="00BC59D8">
              <w:rPr>
                <w:rFonts w:cs="Calibri"/>
                <w:color w:val="000000"/>
                <w:kern w:val="36"/>
              </w:rPr>
              <w:t>X</w:t>
            </w:r>
          </w:p>
        </w:tc>
        <w:tc>
          <w:tcPr>
            <w:tcW w:w="1530" w:type="dxa"/>
            <w:vAlign w:val="center"/>
          </w:tcPr>
          <w:p w14:paraId="200A1D5E" w14:textId="77777777" w:rsidR="00F12CE1" w:rsidRPr="00BC59D8" w:rsidRDefault="00F12CE1" w:rsidP="004E6DBC">
            <w:pPr>
              <w:pStyle w:val="TableText"/>
              <w:jc w:val="center"/>
              <w:rPr>
                <w:rFonts w:cs="Calibri"/>
                <w:color w:val="000000"/>
                <w:kern w:val="36"/>
              </w:rPr>
            </w:pPr>
            <w:r w:rsidRPr="00BC59D8">
              <w:rPr>
                <w:rFonts w:cs="Calibri"/>
                <w:color w:val="000000"/>
                <w:kern w:val="36"/>
              </w:rPr>
              <w:t>%</w:t>
            </w:r>
          </w:p>
        </w:tc>
      </w:tr>
      <w:tr w:rsidR="00F12CE1" w:rsidRPr="00BC59D8" w14:paraId="689AE3C4" w14:textId="77777777" w:rsidTr="00B354C8">
        <w:trPr>
          <w:trHeight w:val="402"/>
        </w:trPr>
        <w:tc>
          <w:tcPr>
            <w:tcW w:w="3420" w:type="dxa"/>
            <w:vMerge/>
            <w:shd w:val="clear" w:color="auto" w:fill="BCE0FC" w:themeFill="accent1" w:themeFillTint="33"/>
          </w:tcPr>
          <w:p w14:paraId="3456DB87" w14:textId="77777777" w:rsidR="00F12CE1" w:rsidRPr="00BC59D8" w:rsidRDefault="00F12CE1" w:rsidP="003C32B3">
            <w:pPr>
              <w:pStyle w:val="TableText"/>
              <w:rPr>
                <w:rFonts w:cs="Calibri"/>
                <w:color w:val="000000"/>
                <w:kern w:val="36"/>
              </w:rPr>
            </w:pPr>
          </w:p>
        </w:tc>
        <w:tc>
          <w:tcPr>
            <w:tcW w:w="2790" w:type="dxa"/>
            <w:vAlign w:val="center"/>
          </w:tcPr>
          <w:p w14:paraId="03309D24" w14:textId="77777777" w:rsidR="00F12CE1" w:rsidRPr="00BC59D8" w:rsidRDefault="00F12CE1" w:rsidP="004E6DBC">
            <w:pPr>
              <w:pStyle w:val="TableText"/>
              <w:rPr>
                <w:rFonts w:cs="Calibri"/>
                <w:color w:val="000000"/>
                <w:kern w:val="36"/>
              </w:rPr>
            </w:pPr>
            <w:r w:rsidRPr="00BC59D8">
              <w:rPr>
                <w:rFonts w:cs="Calibri"/>
                <w:color w:val="000000"/>
                <w:kern w:val="36"/>
              </w:rPr>
              <w:t>Power &amp; Signal Elements</w:t>
            </w:r>
          </w:p>
        </w:tc>
        <w:tc>
          <w:tcPr>
            <w:tcW w:w="1620" w:type="dxa"/>
            <w:vAlign w:val="center"/>
          </w:tcPr>
          <w:p w14:paraId="7B093269" w14:textId="77777777" w:rsidR="00F12CE1" w:rsidRPr="00BC59D8" w:rsidRDefault="00F12CE1" w:rsidP="004E6DBC">
            <w:pPr>
              <w:pStyle w:val="TableText"/>
              <w:jc w:val="center"/>
              <w:rPr>
                <w:rFonts w:cs="Calibri"/>
                <w:color w:val="000000"/>
                <w:kern w:val="36"/>
              </w:rPr>
            </w:pPr>
            <w:r w:rsidRPr="00BC59D8">
              <w:rPr>
                <w:rFonts w:cs="Calibri"/>
                <w:color w:val="000000"/>
                <w:kern w:val="36"/>
              </w:rPr>
              <w:t>X</w:t>
            </w:r>
          </w:p>
        </w:tc>
        <w:tc>
          <w:tcPr>
            <w:tcW w:w="1530" w:type="dxa"/>
            <w:vAlign w:val="center"/>
          </w:tcPr>
          <w:p w14:paraId="2ADFD92A" w14:textId="77777777" w:rsidR="00F12CE1" w:rsidRPr="00BC59D8" w:rsidRDefault="00F12CE1" w:rsidP="004E6DBC">
            <w:pPr>
              <w:pStyle w:val="TableText"/>
              <w:jc w:val="center"/>
              <w:rPr>
                <w:rFonts w:cs="Calibri"/>
                <w:color w:val="000000"/>
                <w:kern w:val="36"/>
              </w:rPr>
            </w:pPr>
            <w:r w:rsidRPr="00BC59D8">
              <w:rPr>
                <w:rFonts w:cs="Calibri"/>
                <w:color w:val="000000"/>
                <w:kern w:val="36"/>
              </w:rPr>
              <w:t>%</w:t>
            </w:r>
          </w:p>
        </w:tc>
      </w:tr>
      <w:tr w:rsidR="00F12CE1" w:rsidRPr="00BC59D8" w14:paraId="1373F81C" w14:textId="77777777" w:rsidTr="00B354C8">
        <w:trPr>
          <w:trHeight w:val="402"/>
        </w:trPr>
        <w:tc>
          <w:tcPr>
            <w:tcW w:w="3420" w:type="dxa"/>
            <w:vMerge/>
            <w:shd w:val="clear" w:color="auto" w:fill="BCE0FC" w:themeFill="accent1" w:themeFillTint="33"/>
          </w:tcPr>
          <w:p w14:paraId="1920C94C" w14:textId="77777777" w:rsidR="00F12CE1" w:rsidRPr="00BC59D8" w:rsidRDefault="00F12CE1" w:rsidP="003C32B3">
            <w:pPr>
              <w:pStyle w:val="TableText"/>
              <w:rPr>
                <w:rFonts w:cs="Calibri"/>
                <w:color w:val="000000"/>
                <w:kern w:val="36"/>
              </w:rPr>
            </w:pPr>
          </w:p>
        </w:tc>
        <w:tc>
          <w:tcPr>
            <w:tcW w:w="2790" w:type="dxa"/>
            <w:vAlign w:val="center"/>
          </w:tcPr>
          <w:p w14:paraId="19D71C16" w14:textId="77777777" w:rsidR="00F12CE1" w:rsidRPr="00BC59D8" w:rsidRDefault="00F12CE1" w:rsidP="004E6DBC">
            <w:pPr>
              <w:pStyle w:val="TableText"/>
              <w:rPr>
                <w:rFonts w:cs="Calibri"/>
                <w:color w:val="000000"/>
                <w:kern w:val="36"/>
              </w:rPr>
            </w:pPr>
            <w:r w:rsidRPr="00BC59D8">
              <w:rPr>
                <w:rFonts w:cs="Calibri"/>
                <w:color w:val="000000"/>
                <w:kern w:val="36"/>
              </w:rPr>
              <w:t>Track Elements</w:t>
            </w:r>
          </w:p>
        </w:tc>
        <w:tc>
          <w:tcPr>
            <w:tcW w:w="1620" w:type="dxa"/>
            <w:vAlign w:val="center"/>
          </w:tcPr>
          <w:p w14:paraId="6C5D49A9" w14:textId="77777777" w:rsidR="00F12CE1" w:rsidRPr="00BC59D8" w:rsidRDefault="00F12CE1" w:rsidP="004E6DBC">
            <w:pPr>
              <w:pStyle w:val="TableText"/>
              <w:jc w:val="center"/>
              <w:rPr>
                <w:rFonts w:cs="Calibri"/>
                <w:color w:val="000000"/>
                <w:kern w:val="36"/>
              </w:rPr>
            </w:pPr>
            <w:r w:rsidRPr="00BC59D8">
              <w:rPr>
                <w:rFonts w:cs="Calibri"/>
                <w:color w:val="000000"/>
                <w:kern w:val="36"/>
              </w:rPr>
              <w:t>X</w:t>
            </w:r>
          </w:p>
        </w:tc>
        <w:tc>
          <w:tcPr>
            <w:tcW w:w="1530" w:type="dxa"/>
            <w:vAlign w:val="center"/>
          </w:tcPr>
          <w:p w14:paraId="51DFD826" w14:textId="77777777" w:rsidR="00F12CE1" w:rsidRPr="00BC59D8" w:rsidRDefault="00F12CE1" w:rsidP="004E6DBC">
            <w:pPr>
              <w:pStyle w:val="TableText"/>
              <w:jc w:val="center"/>
              <w:rPr>
                <w:rFonts w:cs="Calibri"/>
                <w:color w:val="000000"/>
                <w:kern w:val="36"/>
              </w:rPr>
            </w:pPr>
            <w:r w:rsidRPr="00BC59D8">
              <w:rPr>
                <w:rFonts w:cs="Calibri"/>
                <w:color w:val="000000"/>
                <w:kern w:val="36"/>
              </w:rPr>
              <w:t>%</w:t>
            </w:r>
          </w:p>
        </w:tc>
      </w:tr>
      <w:tr w:rsidR="00F12CE1" w:rsidRPr="00BC59D8" w14:paraId="57A65EC8" w14:textId="77777777" w:rsidTr="00B354C8">
        <w:tc>
          <w:tcPr>
            <w:tcW w:w="3420" w:type="dxa"/>
            <w:vMerge w:val="restart"/>
            <w:shd w:val="clear" w:color="auto" w:fill="BCE0FC" w:themeFill="accent1" w:themeFillTint="33"/>
          </w:tcPr>
          <w:p w14:paraId="1B60F699" w14:textId="6FBE518F" w:rsidR="00F12CE1" w:rsidRPr="00BC59D8" w:rsidRDefault="009911FF" w:rsidP="002B54F2">
            <w:pPr>
              <w:pStyle w:val="TableText"/>
              <w:keepNext/>
              <w:rPr>
                <w:rFonts w:cs="Calibri"/>
                <w:color w:val="000000"/>
                <w:kern w:val="36"/>
              </w:rPr>
            </w:pPr>
            <w:r w:rsidRPr="00BC59D8">
              <w:rPr>
                <w:rFonts w:cs="Calibri"/>
                <w:b/>
                <w:bCs/>
                <w:color w:val="000000"/>
                <w:kern w:val="36"/>
              </w:rPr>
              <w:lastRenderedPageBreak/>
              <w:t>Facilities</w:t>
            </w:r>
            <w:r>
              <w:rPr>
                <w:rFonts w:cs="Calibri"/>
                <w:color w:val="000000"/>
                <w:kern w:val="36"/>
              </w:rPr>
              <w:br/>
            </w:r>
            <w:r w:rsidR="00F12CE1" w:rsidRPr="00BC59D8">
              <w:rPr>
                <w:rFonts w:cs="Calibri"/>
                <w:color w:val="000000"/>
                <w:kern w:val="36"/>
              </w:rPr>
              <w:t>Condition - % of facilities with a condition rating below 3.0 on the FTA Transit Economic Requirements Model (TERM) Scale</w:t>
            </w:r>
          </w:p>
        </w:tc>
        <w:tc>
          <w:tcPr>
            <w:tcW w:w="2790" w:type="dxa"/>
          </w:tcPr>
          <w:p w14:paraId="71E11C94" w14:textId="77777777" w:rsidR="00F12CE1" w:rsidRPr="00BC59D8" w:rsidRDefault="00F12CE1" w:rsidP="002B54F2">
            <w:pPr>
              <w:pStyle w:val="TableText"/>
              <w:keepNext/>
              <w:rPr>
                <w:rFonts w:cs="Calibri"/>
                <w:color w:val="000000"/>
                <w:kern w:val="36"/>
              </w:rPr>
            </w:pPr>
            <w:r w:rsidRPr="00BC59D8">
              <w:rPr>
                <w:rFonts w:cs="Calibri"/>
                <w:color w:val="000000"/>
                <w:kern w:val="36"/>
              </w:rPr>
              <w:t>Administration</w:t>
            </w:r>
          </w:p>
        </w:tc>
        <w:tc>
          <w:tcPr>
            <w:tcW w:w="1620" w:type="dxa"/>
          </w:tcPr>
          <w:p w14:paraId="6412412A" w14:textId="77777777" w:rsidR="00F12CE1" w:rsidRPr="00BC59D8" w:rsidRDefault="00F12CE1" w:rsidP="002B54F2">
            <w:pPr>
              <w:pStyle w:val="TableText"/>
              <w:keepNext/>
              <w:jc w:val="center"/>
              <w:rPr>
                <w:rFonts w:cs="Calibri"/>
                <w:color w:val="000000"/>
                <w:kern w:val="36"/>
              </w:rPr>
            </w:pPr>
            <w:r w:rsidRPr="00BC59D8">
              <w:rPr>
                <w:rFonts w:cs="Calibri"/>
                <w:color w:val="000000"/>
                <w:kern w:val="36"/>
              </w:rPr>
              <w:t>X</w:t>
            </w:r>
          </w:p>
        </w:tc>
        <w:tc>
          <w:tcPr>
            <w:tcW w:w="1530" w:type="dxa"/>
          </w:tcPr>
          <w:p w14:paraId="2B5ADB93" w14:textId="77777777" w:rsidR="00F12CE1" w:rsidRPr="00BC59D8" w:rsidRDefault="00F12CE1" w:rsidP="002B54F2">
            <w:pPr>
              <w:pStyle w:val="TableText"/>
              <w:keepNext/>
              <w:jc w:val="center"/>
              <w:rPr>
                <w:rFonts w:cs="Calibri"/>
                <w:color w:val="000000"/>
                <w:kern w:val="36"/>
              </w:rPr>
            </w:pPr>
            <w:r w:rsidRPr="00BC59D8">
              <w:rPr>
                <w:rFonts w:cs="Calibri"/>
                <w:color w:val="000000"/>
                <w:kern w:val="36"/>
              </w:rPr>
              <w:t>%</w:t>
            </w:r>
          </w:p>
        </w:tc>
      </w:tr>
      <w:tr w:rsidR="00F12CE1" w:rsidRPr="00BC59D8" w14:paraId="5FF0815A" w14:textId="77777777" w:rsidTr="00B354C8">
        <w:tc>
          <w:tcPr>
            <w:tcW w:w="3420" w:type="dxa"/>
            <w:vMerge/>
            <w:shd w:val="clear" w:color="auto" w:fill="BCE0FC" w:themeFill="accent1" w:themeFillTint="33"/>
          </w:tcPr>
          <w:p w14:paraId="248F0A55" w14:textId="77777777" w:rsidR="00F12CE1" w:rsidRPr="00BC59D8" w:rsidRDefault="00F12CE1" w:rsidP="002B54F2">
            <w:pPr>
              <w:pStyle w:val="TableText"/>
              <w:keepNext/>
              <w:rPr>
                <w:rFonts w:cs="Calibri"/>
                <w:color w:val="000000"/>
                <w:kern w:val="36"/>
              </w:rPr>
            </w:pPr>
          </w:p>
        </w:tc>
        <w:tc>
          <w:tcPr>
            <w:tcW w:w="2790" w:type="dxa"/>
          </w:tcPr>
          <w:p w14:paraId="1E8C1308" w14:textId="77777777" w:rsidR="00F12CE1" w:rsidRPr="00BC59D8" w:rsidRDefault="00F12CE1" w:rsidP="002B54F2">
            <w:pPr>
              <w:pStyle w:val="TableText"/>
              <w:keepNext/>
              <w:rPr>
                <w:rFonts w:cs="Calibri"/>
                <w:color w:val="000000"/>
                <w:kern w:val="36"/>
              </w:rPr>
            </w:pPr>
            <w:r w:rsidRPr="00BC59D8">
              <w:rPr>
                <w:rFonts w:cs="Calibri"/>
                <w:color w:val="000000"/>
                <w:kern w:val="36"/>
              </w:rPr>
              <w:t>Maintenance</w:t>
            </w:r>
          </w:p>
        </w:tc>
        <w:tc>
          <w:tcPr>
            <w:tcW w:w="1620" w:type="dxa"/>
          </w:tcPr>
          <w:p w14:paraId="7EC2DD90" w14:textId="77777777" w:rsidR="00F12CE1" w:rsidRPr="00BC59D8" w:rsidRDefault="00F12CE1" w:rsidP="002B54F2">
            <w:pPr>
              <w:pStyle w:val="TableText"/>
              <w:keepNext/>
              <w:jc w:val="center"/>
              <w:rPr>
                <w:rFonts w:cs="Calibri"/>
                <w:color w:val="000000"/>
                <w:kern w:val="36"/>
              </w:rPr>
            </w:pPr>
            <w:r w:rsidRPr="00BC59D8">
              <w:rPr>
                <w:rFonts w:cs="Calibri"/>
                <w:color w:val="000000"/>
                <w:kern w:val="36"/>
              </w:rPr>
              <w:t>X</w:t>
            </w:r>
          </w:p>
        </w:tc>
        <w:tc>
          <w:tcPr>
            <w:tcW w:w="1530" w:type="dxa"/>
          </w:tcPr>
          <w:p w14:paraId="14BADE58" w14:textId="77777777" w:rsidR="00F12CE1" w:rsidRPr="00BC59D8" w:rsidRDefault="00F12CE1" w:rsidP="002B54F2">
            <w:pPr>
              <w:pStyle w:val="TableText"/>
              <w:keepNext/>
              <w:jc w:val="center"/>
              <w:rPr>
                <w:rFonts w:cs="Calibri"/>
                <w:color w:val="000000"/>
                <w:kern w:val="36"/>
              </w:rPr>
            </w:pPr>
            <w:r w:rsidRPr="00BC59D8">
              <w:rPr>
                <w:rFonts w:cs="Calibri"/>
                <w:color w:val="000000"/>
                <w:kern w:val="36"/>
              </w:rPr>
              <w:t>%</w:t>
            </w:r>
          </w:p>
        </w:tc>
      </w:tr>
      <w:tr w:rsidR="00F12CE1" w:rsidRPr="00BC59D8" w14:paraId="2652B1A6" w14:textId="77777777" w:rsidTr="00B354C8">
        <w:tc>
          <w:tcPr>
            <w:tcW w:w="3420" w:type="dxa"/>
            <w:vMerge/>
            <w:shd w:val="clear" w:color="auto" w:fill="BCE0FC" w:themeFill="accent1" w:themeFillTint="33"/>
          </w:tcPr>
          <w:p w14:paraId="289F3A0E" w14:textId="77777777" w:rsidR="00F12CE1" w:rsidRPr="00BC59D8" w:rsidRDefault="00F12CE1" w:rsidP="003C32B3">
            <w:pPr>
              <w:pStyle w:val="TableText"/>
              <w:rPr>
                <w:rFonts w:cs="Calibri"/>
                <w:color w:val="000000"/>
                <w:kern w:val="36"/>
              </w:rPr>
            </w:pPr>
          </w:p>
        </w:tc>
        <w:tc>
          <w:tcPr>
            <w:tcW w:w="2790" w:type="dxa"/>
          </w:tcPr>
          <w:p w14:paraId="7F82F530" w14:textId="77777777" w:rsidR="00F12CE1" w:rsidRPr="00BC59D8" w:rsidRDefault="00F12CE1" w:rsidP="003C32B3">
            <w:pPr>
              <w:pStyle w:val="TableText"/>
              <w:rPr>
                <w:rFonts w:cs="Calibri"/>
                <w:color w:val="000000"/>
                <w:kern w:val="36"/>
              </w:rPr>
            </w:pPr>
            <w:r w:rsidRPr="00BC59D8">
              <w:rPr>
                <w:rFonts w:cs="Calibri"/>
                <w:color w:val="000000"/>
                <w:kern w:val="36"/>
              </w:rPr>
              <w:t>Parking Structures</w:t>
            </w:r>
          </w:p>
        </w:tc>
        <w:tc>
          <w:tcPr>
            <w:tcW w:w="1620" w:type="dxa"/>
          </w:tcPr>
          <w:p w14:paraId="5E0524ED"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066686EC"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r w:rsidR="00F12CE1" w:rsidRPr="00BC59D8" w14:paraId="18C953EF" w14:textId="77777777" w:rsidTr="00B354C8">
        <w:tc>
          <w:tcPr>
            <w:tcW w:w="3420" w:type="dxa"/>
            <w:vMerge/>
            <w:shd w:val="clear" w:color="auto" w:fill="BCE0FC" w:themeFill="accent1" w:themeFillTint="33"/>
          </w:tcPr>
          <w:p w14:paraId="4D7603B2" w14:textId="77777777" w:rsidR="00F12CE1" w:rsidRPr="00BC59D8" w:rsidRDefault="00F12CE1" w:rsidP="003C32B3">
            <w:pPr>
              <w:pStyle w:val="TableText"/>
              <w:rPr>
                <w:rFonts w:cs="Calibri"/>
                <w:color w:val="000000"/>
                <w:kern w:val="36"/>
              </w:rPr>
            </w:pPr>
          </w:p>
        </w:tc>
        <w:tc>
          <w:tcPr>
            <w:tcW w:w="2790" w:type="dxa"/>
          </w:tcPr>
          <w:p w14:paraId="4378AE10" w14:textId="77777777" w:rsidR="00F12CE1" w:rsidRPr="00BC59D8" w:rsidRDefault="00F12CE1" w:rsidP="003C32B3">
            <w:pPr>
              <w:pStyle w:val="TableText"/>
              <w:rPr>
                <w:rFonts w:cs="Calibri"/>
                <w:color w:val="000000"/>
                <w:kern w:val="36"/>
              </w:rPr>
            </w:pPr>
            <w:r w:rsidRPr="00BC59D8">
              <w:rPr>
                <w:rFonts w:cs="Calibri"/>
                <w:color w:val="000000"/>
                <w:kern w:val="36"/>
              </w:rPr>
              <w:t>Passenger Facilities</w:t>
            </w:r>
          </w:p>
        </w:tc>
        <w:tc>
          <w:tcPr>
            <w:tcW w:w="1620" w:type="dxa"/>
          </w:tcPr>
          <w:p w14:paraId="07BA72F5"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16D8DE00"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r w:rsidR="00F12CE1" w:rsidRPr="00BC59D8" w14:paraId="791C75C3" w14:textId="77777777" w:rsidTr="00B354C8">
        <w:tc>
          <w:tcPr>
            <w:tcW w:w="3420" w:type="dxa"/>
            <w:vMerge/>
            <w:shd w:val="clear" w:color="auto" w:fill="BCE0FC" w:themeFill="accent1" w:themeFillTint="33"/>
          </w:tcPr>
          <w:p w14:paraId="7EA5B88F" w14:textId="77777777" w:rsidR="00F12CE1" w:rsidRPr="00BC59D8" w:rsidRDefault="00F12CE1" w:rsidP="003C32B3">
            <w:pPr>
              <w:pStyle w:val="TableText"/>
              <w:rPr>
                <w:rFonts w:cs="Calibri"/>
                <w:color w:val="000000"/>
                <w:kern w:val="36"/>
              </w:rPr>
            </w:pPr>
          </w:p>
        </w:tc>
        <w:tc>
          <w:tcPr>
            <w:tcW w:w="2790" w:type="dxa"/>
          </w:tcPr>
          <w:p w14:paraId="36A643C1" w14:textId="77777777" w:rsidR="00F12CE1" w:rsidRPr="00BC59D8" w:rsidRDefault="00F12CE1" w:rsidP="003C32B3">
            <w:pPr>
              <w:pStyle w:val="TableText"/>
              <w:rPr>
                <w:rFonts w:cs="Calibri"/>
                <w:color w:val="000000"/>
                <w:kern w:val="36"/>
              </w:rPr>
            </w:pPr>
            <w:r w:rsidRPr="00BC59D8">
              <w:rPr>
                <w:rFonts w:cs="Calibri"/>
                <w:color w:val="000000"/>
                <w:kern w:val="36"/>
              </w:rPr>
              <w:t>Shelter</w:t>
            </w:r>
          </w:p>
        </w:tc>
        <w:tc>
          <w:tcPr>
            <w:tcW w:w="1620" w:type="dxa"/>
          </w:tcPr>
          <w:p w14:paraId="23821C0E"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517B0FDD"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r w:rsidR="00F12CE1" w:rsidRPr="00BC59D8" w14:paraId="73CFBE57" w14:textId="77777777" w:rsidTr="00B354C8">
        <w:tc>
          <w:tcPr>
            <w:tcW w:w="3420" w:type="dxa"/>
            <w:vMerge/>
            <w:shd w:val="clear" w:color="auto" w:fill="BCE0FC" w:themeFill="accent1" w:themeFillTint="33"/>
          </w:tcPr>
          <w:p w14:paraId="53DEA9EF" w14:textId="77777777" w:rsidR="00F12CE1" w:rsidRPr="00BC59D8" w:rsidRDefault="00F12CE1" w:rsidP="003C32B3">
            <w:pPr>
              <w:pStyle w:val="TableText"/>
              <w:rPr>
                <w:rFonts w:cs="Calibri"/>
                <w:color w:val="000000"/>
                <w:kern w:val="36"/>
              </w:rPr>
            </w:pPr>
          </w:p>
        </w:tc>
        <w:tc>
          <w:tcPr>
            <w:tcW w:w="2790" w:type="dxa"/>
          </w:tcPr>
          <w:p w14:paraId="202A057A" w14:textId="77777777" w:rsidR="00F12CE1" w:rsidRPr="00BC59D8" w:rsidRDefault="00F12CE1" w:rsidP="003C32B3">
            <w:pPr>
              <w:pStyle w:val="TableText"/>
              <w:rPr>
                <w:rFonts w:cs="Calibri"/>
                <w:color w:val="000000"/>
                <w:kern w:val="36"/>
              </w:rPr>
            </w:pPr>
            <w:r w:rsidRPr="00BC59D8">
              <w:rPr>
                <w:rFonts w:cs="Calibri"/>
                <w:color w:val="000000"/>
                <w:kern w:val="36"/>
              </w:rPr>
              <w:t>Storage</w:t>
            </w:r>
          </w:p>
        </w:tc>
        <w:tc>
          <w:tcPr>
            <w:tcW w:w="1620" w:type="dxa"/>
          </w:tcPr>
          <w:p w14:paraId="0720D006"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10D91A39"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r w:rsidR="00F12CE1" w:rsidRPr="00BC59D8" w14:paraId="3FC24A09" w14:textId="77777777" w:rsidTr="00B354C8">
        <w:tc>
          <w:tcPr>
            <w:tcW w:w="3420" w:type="dxa"/>
            <w:vMerge/>
            <w:shd w:val="clear" w:color="auto" w:fill="BCE0FC" w:themeFill="accent1" w:themeFillTint="33"/>
          </w:tcPr>
          <w:p w14:paraId="03C6144F" w14:textId="77777777" w:rsidR="00F12CE1" w:rsidRPr="00BC59D8" w:rsidRDefault="00F12CE1" w:rsidP="003C32B3">
            <w:pPr>
              <w:pStyle w:val="TableText"/>
              <w:rPr>
                <w:rFonts w:cs="Calibri"/>
                <w:color w:val="000000"/>
                <w:kern w:val="36"/>
              </w:rPr>
            </w:pPr>
          </w:p>
        </w:tc>
        <w:tc>
          <w:tcPr>
            <w:tcW w:w="2790" w:type="dxa"/>
          </w:tcPr>
          <w:p w14:paraId="6105C22F" w14:textId="77777777" w:rsidR="00F12CE1" w:rsidRPr="00BC59D8" w:rsidRDefault="00F12CE1" w:rsidP="003C32B3">
            <w:pPr>
              <w:pStyle w:val="TableText"/>
              <w:rPr>
                <w:rFonts w:cs="Calibri"/>
                <w:color w:val="000000"/>
                <w:kern w:val="36"/>
              </w:rPr>
            </w:pPr>
            <w:r>
              <w:rPr>
                <w:rFonts w:cs="Calibri"/>
                <w:color w:val="000000"/>
                <w:kern w:val="36"/>
              </w:rPr>
              <w:t>Other</w:t>
            </w:r>
          </w:p>
        </w:tc>
        <w:tc>
          <w:tcPr>
            <w:tcW w:w="1620" w:type="dxa"/>
          </w:tcPr>
          <w:p w14:paraId="34F77AB6" w14:textId="77777777" w:rsidR="00F12CE1" w:rsidRPr="00BC59D8" w:rsidRDefault="00F12CE1" w:rsidP="003C32B3">
            <w:pPr>
              <w:pStyle w:val="TableText"/>
              <w:jc w:val="center"/>
              <w:rPr>
                <w:rFonts w:cs="Calibri"/>
                <w:color w:val="000000"/>
                <w:kern w:val="36"/>
              </w:rPr>
            </w:pPr>
            <w:r w:rsidRPr="00BC59D8">
              <w:rPr>
                <w:rFonts w:cs="Calibri"/>
                <w:color w:val="000000"/>
                <w:kern w:val="36"/>
              </w:rPr>
              <w:t>X</w:t>
            </w:r>
          </w:p>
        </w:tc>
        <w:tc>
          <w:tcPr>
            <w:tcW w:w="1530" w:type="dxa"/>
          </w:tcPr>
          <w:p w14:paraId="152B78B4" w14:textId="77777777" w:rsidR="00F12CE1" w:rsidRPr="00BC59D8" w:rsidRDefault="00F12CE1" w:rsidP="003C32B3">
            <w:pPr>
              <w:pStyle w:val="TableText"/>
              <w:jc w:val="center"/>
              <w:rPr>
                <w:rFonts w:cs="Calibri"/>
                <w:color w:val="000000"/>
                <w:kern w:val="36"/>
              </w:rPr>
            </w:pPr>
            <w:r w:rsidRPr="00BC59D8">
              <w:rPr>
                <w:rFonts w:cs="Calibri"/>
                <w:color w:val="000000"/>
                <w:kern w:val="36"/>
              </w:rPr>
              <w:t>%</w:t>
            </w:r>
          </w:p>
        </w:tc>
      </w:tr>
    </w:tbl>
    <w:p w14:paraId="39B67F6C" w14:textId="77777777" w:rsidR="00F75A67" w:rsidRPr="00D54BEB" w:rsidRDefault="00F75A67" w:rsidP="009911FF">
      <w:pPr>
        <w:keepNext/>
        <w:spacing w:before="240" w:after="0" w:line="240" w:lineRule="auto"/>
        <w:rPr>
          <w:rFonts w:cs="Calibri"/>
          <w:kern w:val="28"/>
          <w:sz w:val="22"/>
          <w:u w:val="single"/>
        </w:rPr>
      </w:pPr>
      <w:r w:rsidRPr="00D54BEB">
        <w:rPr>
          <w:rFonts w:cs="Proxima Nova"/>
          <w:b/>
          <w:bCs/>
          <w:color w:val="000000"/>
          <w:sz w:val="22"/>
        </w:rPr>
        <w:t>[OPTION B: Tier II providers that are part of a Group TAM plan]</w:t>
      </w:r>
    </w:p>
    <w:p w14:paraId="294322A2" w14:textId="77777777" w:rsidR="00F75A67" w:rsidRPr="00D54BEB" w:rsidRDefault="00F75A67" w:rsidP="009911FF">
      <w:pPr>
        <w:pStyle w:val="BodyText"/>
        <w:rPr>
          <w:i/>
          <w:iCs/>
        </w:rPr>
      </w:pPr>
      <w:r w:rsidRPr="00486407">
        <w:rPr>
          <w:b/>
          <w:bCs/>
        </w:rPr>
        <w:t>Sample language:</w:t>
      </w:r>
      <w:r w:rsidRPr="00D54BEB">
        <w:t xml:space="preserve"> [</w:t>
      </w:r>
      <w:r w:rsidRPr="00D54BEB">
        <w:rPr>
          <w:i/>
          <w:iCs/>
        </w:rPr>
        <w:t>Transit provider</w:t>
      </w:r>
      <w:r>
        <w:rPr>
          <w:i/>
          <w:iCs/>
        </w:rPr>
        <w:t xml:space="preserve"> name</w:t>
      </w:r>
      <w:r w:rsidRPr="00D54BEB">
        <w:t>] is part of the Group TAM Plan developed by FDOT for Tier II providers in Florida</w:t>
      </w:r>
      <w:r>
        <w:t xml:space="preserve"> </w:t>
      </w:r>
      <w:r w:rsidRPr="00D54BEB">
        <w:t xml:space="preserve">for Fiscal Years 2022/2023 – 2025/2026. The FY 2023 asset conditions and FY 2024 targets for the Tier II providers are shown in the table below. </w:t>
      </w:r>
    </w:p>
    <w:p w14:paraId="0F9476DF" w14:textId="0723D8D1" w:rsidR="009911FF" w:rsidRDefault="00F75A67" w:rsidP="009911FF">
      <w:pPr>
        <w:pStyle w:val="BodyText"/>
      </w:pPr>
      <w:r w:rsidRPr="00D54BEB">
        <w:t xml:space="preserve">The transit provider’s TAM targets are based on the condition of existing transit assets and planned investments in equipment, rolling stock, infrastructure, and facilities. The targets reflect the most recent </w:t>
      </w:r>
      <w:r w:rsidR="00FD0844">
        <w:t>available data on the number, age, and condition of transit assets, as well as capital investment plans to improve them</w:t>
      </w:r>
      <w:r w:rsidRPr="00D54BEB">
        <w:t xml:space="preserve">. The table summarizes both </w:t>
      </w:r>
      <w:r w:rsidR="00FD0844">
        <w:t xml:space="preserve">the existing conditions for the most recent available year </w:t>
      </w:r>
      <w:r w:rsidRPr="00D54BEB">
        <w:t>and the current targets [</w:t>
      </w:r>
      <w:r w:rsidRPr="00D54BEB">
        <w:rPr>
          <w:i/>
          <w:iCs/>
        </w:rPr>
        <w:t>augment text as needed</w:t>
      </w:r>
      <w:r w:rsidRPr="00D54BEB">
        <w:t>].</w:t>
      </w:r>
    </w:p>
    <w:p w14:paraId="614E5A17" w14:textId="77777777" w:rsidR="00F75A67" w:rsidRDefault="00F75A67" w:rsidP="00486407">
      <w:pPr>
        <w:pStyle w:val="Caption"/>
      </w:pPr>
      <w:bookmarkStart w:id="13" w:name="_Toc223951442"/>
      <w:r w:rsidRPr="00630D69">
        <w:t>FDOT Group Plan Targets for Tier II Providers</w:t>
      </w:r>
      <w:bookmarkEnd w:id="13"/>
    </w:p>
    <w:tbl>
      <w:tblPr>
        <w:tblStyle w:val="Style1"/>
        <w:tblW w:w="5000" w:type="pct"/>
        <w:tblLayout w:type="fixed"/>
        <w:tblLook w:val="01E0" w:firstRow="1" w:lastRow="1" w:firstColumn="1" w:lastColumn="1" w:noHBand="0" w:noVBand="0"/>
      </w:tblPr>
      <w:tblGrid>
        <w:gridCol w:w="2431"/>
        <w:gridCol w:w="1709"/>
        <w:gridCol w:w="1062"/>
        <w:gridCol w:w="1548"/>
        <w:gridCol w:w="1224"/>
        <w:gridCol w:w="1386"/>
      </w:tblGrid>
      <w:tr w:rsidR="00F75A67" w:rsidRPr="00C779BE" w14:paraId="38F11587" w14:textId="77777777" w:rsidTr="002B54F2">
        <w:trPr>
          <w:cnfStyle w:val="100000000000" w:firstRow="1" w:lastRow="0" w:firstColumn="0" w:lastColumn="0" w:oddVBand="0" w:evenVBand="0" w:oddHBand="0" w:evenHBand="0" w:firstRowFirstColumn="0" w:firstRowLastColumn="0" w:lastRowFirstColumn="0" w:lastRowLastColumn="0"/>
          <w:trHeight w:val="922"/>
          <w:tblHeader/>
        </w:trPr>
        <w:tc>
          <w:tcPr>
            <w:tcW w:w="2431" w:type="dxa"/>
            <w:vAlign w:val="bottom"/>
          </w:tcPr>
          <w:p w14:paraId="15E30CD0" w14:textId="77777777" w:rsidR="00F75A67" w:rsidRPr="00C779BE" w:rsidRDefault="00F75A67">
            <w:pPr>
              <w:pStyle w:val="TableHead"/>
              <w:spacing w:before="0"/>
            </w:pPr>
            <w:r w:rsidRPr="00C779BE">
              <w:t>Asset Category - Performance Measure</w:t>
            </w:r>
          </w:p>
        </w:tc>
        <w:tc>
          <w:tcPr>
            <w:tcW w:w="1709" w:type="dxa"/>
            <w:vAlign w:val="bottom"/>
          </w:tcPr>
          <w:p w14:paraId="426F339F" w14:textId="77777777" w:rsidR="00F75A67" w:rsidRPr="00C779BE" w:rsidRDefault="00F75A67">
            <w:pPr>
              <w:pStyle w:val="TableHead"/>
              <w:spacing w:before="0"/>
              <w:jc w:val="center"/>
            </w:pPr>
            <w:r w:rsidRPr="00C779BE">
              <w:t>Asset Class</w:t>
            </w:r>
          </w:p>
        </w:tc>
        <w:tc>
          <w:tcPr>
            <w:tcW w:w="1062" w:type="dxa"/>
            <w:vAlign w:val="bottom"/>
          </w:tcPr>
          <w:p w14:paraId="3F1C2D1C" w14:textId="77777777" w:rsidR="00F75A67" w:rsidRPr="00C779BE" w:rsidRDefault="00F75A67">
            <w:pPr>
              <w:pStyle w:val="TableHead"/>
              <w:spacing w:before="0"/>
              <w:jc w:val="center"/>
            </w:pPr>
            <w:r w:rsidRPr="00E41DB6">
              <w:t>202</w:t>
            </w:r>
            <w:r>
              <w:t>3</w:t>
            </w:r>
            <w:r w:rsidRPr="00C779BE">
              <w:t xml:space="preserve"> </w:t>
            </w:r>
            <w:r>
              <w:t xml:space="preserve">Target </w:t>
            </w:r>
          </w:p>
        </w:tc>
        <w:tc>
          <w:tcPr>
            <w:tcW w:w="1548" w:type="dxa"/>
            <w:vAlign w:val="bottom"/>
          </w:tcPr>
          <w:p w14:paraId="36FB568D" w14:textId="77777777" w:rsidR="00F75A67" w:rsidRPr="00C779BE" w:rsidRDefault="00F75A67">
            <w:pPr>
              <w:pStyle w:val="TableHead"/>
              <w:spacing w:before="0"/>
              <w:jc w:val="center"/>
            </w:pPr>
            <w:r>
              <w:t>2023</w:t>
            </w:r>
            <w:r w:rsidRPr="00C779BE">
              <w:t xml:space="preserve"> Performance</w:t>
            </w:r>
            <w:r>
              <w:t xml:space="preserve"> </w:t>
            </w:r>
          </w:p>
        </w:tc>
        <w:tc>
          <w:tcPr>
            <w:tcW w:w="1224" w:type="dxa"/>
            <w:vAlign w:val="bottom"/>
          </w:tcPr>
          <w:p w14:paraId="63342EB8" w14:textId="77777777" w:rsidR="00F75A67" w:rsidRPr="00C779BE" w:rsidRDefault="00F75A67">
            <w:pPr>
              <w:pStyle w:val="TableHead"/>
              <w:spacing w:before="0"/>
              <w:jc w:val="center"/>
            </w:pPr>
            <w:r>
              <w:t>2023 Difference</w:t>
            </w:r>
          </w:p>
        </w:tc>
        <w:tc>
          <w:tcPr>
            <w:tcW w:w="1386" w:type="dxa"/>
            <w:vAlign w:val="bottom"/>
          </w:tcPr>
          <w:p w14:paraId="63F13E54" w14:textId="77777777" w:rsidR="00F75A67" w:rsidRDefault="00F75A67">
            <w:pPr>
              <w:pStyle w:val="TableHead"/>
              <w:spacing w:before="0"/>
              <w:jc w:val="center"/>
            </w:pPr>
            <w:r>
              <w:t>2024 Target</w:t>
            </w:r>
          </w:p>
        </w:tc>
      </w:tr>
      <w:tr w:rsidR="00F75A67" w:rsidRPr="00C779BE" w14:paraId="77C959B6" w14:textId="77777777" w:rsidTr="00B354C8">
        <w:trPr>
          <w:trHeight w:val="98"/>
        </w:trPr>
        <w:tc>
          <w:tcPr>
            <w:tcW w:w="2431" w:type="dxa"/>
            <w:vMerge w:val="restart"/>
            <w:shd w:val="clear" w:color="auto" w:fill="BCE0FC" w:themeFill="accent1" w:themeFillTint="33"/>
          </w:tcPr>
          <w:p w14:paraId="566A057E" w14:textId="008DD4DB" w:rsidR="00F75A67" w:rsidRPr="00C779BE" w:rsidRDefault="009911FF">
            <w:pPr>
              <w:pStyle w:val="TableText"/>
            </w:pPr>
            <w:r w:rsidRPr="009911FF">
              <w:rPr>
                <w:b/>
                <w:bCs/>
              </w:rPr>
              <w:t>Revenue Vehicles</w:t>
            </w:r>
            <w:r>
              <w:br/>
            </w:r>
            <w:r w:rsidR="00F75A67" w:rsidRPr="00C779BE">
              <w:t>Age - % of revenue vehicles within a particular asset class that have met or exceeded their Useful Life Benchmark (ULB)</w:t>
            </w:r>
          </w:p>
        </w:tc>
        <w:tc>
          <w:tcPr>
            <w:tcW w:w="1709" w:type="dxa"/>
          </w:tcPr>
          <w:p w14:paraId="3C619455" w14:textId="77777777" w:rsidR="00F75A67" w:rsidRPr="00C779BE" w:rsidRDefault="00F75A67">
            <w:pPr>
              <w:pStyle w:val="TableText"/>
            </w:pPr>
            <w:r w:rsidRPr="00C779BE">
              <w:t>Automobile</w:t>
            </w:r>
          </w:p>
        </w:tc>
        <w:tc>
          <w:tcPr>
            <w:tcW w:w="1062" w:type="dxa"/>
          </w:tcPr>
          <w:p w14:paraId="06844764" w14:textId="77777777" w:rsidR="00F75A67" w:rsidRPr="00C779BE" w:rsidRDefault="00F75A67">
            <w:pPr>
              <w:pStyle w:val="TableText"/>
              <w:jc w:val="center"/>
            </w:pPr>
            <w:r>
              <w:t>0</w:t>
            </w:r>
            <w:r w:rsidRPr="00C779BE">
              <w:t>%</w:t>
            </w:r>
          </w:p>
        </w:tc>
        <w:tc>
          <w:tcPr>
            <w:tcW w:w="1548" w:type="dxa"/>
          </w:tcPr>
          <w:p w14:paraId="1BB377E2" w14:textId="77777777" w:rsidR="00F75A67" w:rsidRPr="00C779BE" w:rsidRDefault="00F75A67">
            <w:pPr>
              <w:pStyle w:val="TableText"/>
              <w:jc w:val="center"/>
            </w:pPr>
            <w:r>
              <w:t>66.67</w:t>
            </w:r>
            <w:r w:rsidRPr="00C779BE">
              <w:t>%</w:t>
            </w:r>
          </w:p>
        </w:tc>
        <w:tc>
          <w:tcPr>
            <w:tcW w:w="1224" w:type="dxa"/>
          </w:tcPr>
          <w:p w14:paraId="4F0AE78D" w14:textId="77777777" w:rsidR="00F75A67" w:rsidRDefault="00F75A67">
            <w:pPr>
              <w:pStyle w:val="TableText"/>
              <w:jc w:val="center"/>
            </w:pPr>
            <w:r>
              <w:t>66.67</w:t>
            </w:r>
          </w:p>
        </w:tc>
        <w:tc>
          <w:tcPr>
            <w:tcW w:w="1386" w:type="dxa"/>
          </w:tcPr>
          <w:p w14:paraId="7061ECE1" w14:textId="77777777" w:rsidR="00F75A67" w:rsidRDefault="00F75A67">
            <w:pPr>
              <w:pStyle w:val="TableText"/>
              <w:jc w:val="center"/>
            </w:pPr>
            <w:r>
              <w:t>66.00%</w:t>
            </w:r>
          </w:p>
        </w:tc>
      </w:tr>
      <w:tr w:rsidR="00F75A67" w:rsidRPr="00C779BE" w14:paraId="024ED567" w14:textId="77777777" w:rsidTr="00B354C8">
        <w:trPr>
          <w:trHeight w:val="142"/>
        </w:trPr>
        <w:tc>
          <w:tcPr>
            <w:tcW w:w="2431" w:type="dxa"/>
            <w:vMerge/>
            <w:shd w:val="clear" w:color="auto" w:fill="BCE0FC" w:themeFill="accent1" w:themeFillTint="33"/>
          </w:tcPr>
          <w:p w14:paraId="0283A391" w14:textId="77777777" w:rsidR="00F75A67" w:rsidRPr="00C779BE" w:rsidRDefault="00F75A67">
            <w:pPr>
              <w:pStyle w:val="TableText"/>
            </w:pPr>
          </w:p>
        </w:tc>
        <w:tc>
          <w:tcPr>
            <w:tcW w:w="1709" w:type="dxa"/>
          </w:tcPr>
          <w:p w14:paraId="0F269C50" w14:textId="77777777" w:rsidR="00F75A67" w:rsidRPr="00C779BE" w:rsidRDefault="00F75A67">
            <w:pPr>
              <w:pStyle w:val="TableText"/>
            </w:pPr>
            <w:r w:rsidRPr="00C779BE">
              <w:t>Bus</w:t>
            </w:r>
          </w:p>
        </w:tc>
        <w:tc>
          <w:tcPr>
            <w:tcW w:w="1062" w:type="dxa"/>
          </w:tcPr>
          <w:p w14:paraId="57476A1A" w14:textId="77777777" w:rsidR="00F75A67" w:rsidRPr="00C779BE" w:rsidRDefault="00F75A67">
            <w:pPr>
              <w:pStyle w:val="TableText"/>
              <w:jc w:val="center"/>
            </w:pPr>
            <w:r>
              <w:t>16.00</w:t>
            </w:r>
            <w:r w:rsidRPr="00C779BE">
              <w:t>%</w:t>
            </w:r>
          </w:p>
        </w:tc>
        <w:tc>
          <w:tcPr>
            <w:tcW w:w="1548" w:type="dxa"/>
          </w:tcPr>
          <w:p w14:paraId="69BE4B66" w14:textId="77777777" w:rsidR="00F75A67" w:rsidRPr="00C779BE" w:rsidRDefault="00F75A67">
            <w:pPr>
              <w:pStyle w:val="TableText"/>
              <w:jc w:val="center"/>
            </w:pPr>
            <w:r>
              <w:t>12.22</w:t>
            </w:r>
            <w:r w:rsidRPr="00C779BE">
              <w:t>%</w:t>
            </w:r>
          </w:p>
        </w:tc>
        <w:tc>
          <w:tcPr>
            <w:tcW w:w="1224" w:type="dxa"/>
          </w:tcPr>
          <w:p w14:paraId="445F6DBC" w14:textId="77777777" w:rsidR="00F75A67" w:rsidRDefault="00F75A67">
            <w:pPr>
              <w:pStyle w:val="TableText"/>
              <w:jc w:val="center"/>
            </w:pPr>
            <w:r>
              <w:t>3.88</w:t>
            </w:r>
          </w:p>
        </w:tc>
        <w:tc>
          <w:tcPr>
            <w:tcW w:w="1386" w:type="dxa"/>
          </w:tcPr>
          <w:p w14:paraId="1C018B6F" w14:textId="77777777" w:rsidR="00F75A67" w:rsidRDefault="00F75A67">
            <w:pPr>
              <w:pStyle w:val="TableText"/>
              <w:jc w:val="center"/>
            </w:pPr>
            <w:r>
              <w:t>12.00%</w:t>
            </w:r>
          </w:p>
        </w:tc>
      </w:tr>
      <w:tr w:rsidR="00F75A67" w:rsidRPr="00C779BE" w14:paraId="64F292E3" w14:textId="77777777" w:rsidTr="00B354C8">
        <w:trPr>
          <w:trHeight w:val="142"/>
        </w:trPr>
        <w:tc>
          <w:tcPr>
            <w:tcW w:w="2431" w:type="dxa"/>
            <w:vMerge/>
            <w:shd w:val="clear" w:color="auto" w:fill="BCE0FC" w:themeFill="accent1" w:themeFillTint="33"/>
          </w:tcPr>
          <w:p w14:paraId="255D8D1D" w14:textId="77777777" w:rsidR="00F75A67" w:rsidRPr="00C779BE" w:rsidRDefault="00F75A67">
            <w:pPr>
              <w:pStyle w:val="TableText"/>
            </w:pPr>
          </w:p>
        </w:tc>
        <w:tc>
          <w:tcPr>
            <w:tcW w:w="1709" w:type="dxa"/>
          </w:tcPr>
          <w:p w14:paraId="10FB49F6" w14:textId="77777777" w:rsidR="00F75A67" w:rsidRPr="00C779BE" w:rsidRDefault="00F75A67">
            <w:pPr>
              <w:pStyle w:val="TableText"/>
            </w:pPr>
            <w:r w:rsidRPr="00C779BE">
              <w:t>Cutaway Bus</w:t>
            </w:r>
          </w:p>
        </w:tc>
        <w:tc>
          <w:tcPr>
            <w:tcW w:w="1062" w:type="dxa"/>
          </w:tcPr>
          <w:p w14:paraId="1351243B" w14:textId="77777777" w:rsidR="00F75A67" w:rsidRPr="00C779BE" w:rsidRDefault="00F75A67">
            <w:pPr>
              <w:pStyle w:val="TableText"/>
              <w:jc w:val="center"/>
            </w:pPr>
            <w:r>
              <w:t>7.00</w:t>
            </w:r>
            <w:r w:rsidRPr="00C779BE">
              <w:t>%</w:t>
            </w:r>
          </w:p>
        </w:tc>
        <w:tc>
          <w:tcPr>
            <w:tcW w:w="1548" w:type="dxa"/>
          </w:tcPr>
          <w:p w14:paraId="2AE7B850" w14:textId="77777777" w:rsidR="00F75A67" w:rsidRPr="00C779BE" w:rsidRDefault="00F75A67">
            <w:pPr>
              <w:pStyle w:val="TableText"/>
              <w:jc w:val="center"/>
            </w:pPr>
            <w:r>
              <w:t>18.47</w:t>
            </w:r>
            <w:r w:rsidRPr="00C779BE">
              <w:t>%</w:t>
            </w:r>
          </w:p>
        </w:tc>
        <w:tc>
          <w:tcPr>
            <w:tcW w:w="1224" w:type="dxa"/>
          </w:tcPr>
          <w:p w14:paraId="1696967A" w14:textId="77777777" w:rsidR="00F75A67" w:rsidRDefault="00F75A67">
            <w:pPr>
              <w:pStyle w:val="TableText"/>
              <w:jc w:val="center"/>
            </w:pPr>
            <w:r>
              <w:t>-11.47</w:t>
            </w:r>
          </w:p>
        </w:tc>
        <w:tc>
          <w:tcPr>
            <w:tcW w:w="1386" w:type="dxa"/>
          </w:tcPr>
          <w:p w14:paraId="2A178FC0" w14:textId="77777777" w:rsidR="00F75A67" w:rsidRDefault="00F75A67">
            <w:pPr>
              <w:pStyle w:val="TableText"/>
              <w:jc w:val="center"/>
            </w:pPr>
            <w:r>
              <w:t>18.00%</w:t>
            </w:r>
          </w:p>
        </w:tc>
      </w:tr>
      <w:tr w:rsidR="00F75A67" w:rsidRPr="00C779BE" w14:paraId="23D1807D" w14:textId="77777777" w:rsidTr="00B354C8">
        <w:trPr>
          <w:trHeight w:val="178"/>
        </w:trPr>
        <w:tc>
          <w:tcPr>
            <w:tcW w:w="2431" w:type="dxa"/>
            <w:vMerge/>
            <w:shd w:val="clear" w:color="auto" w:fill="BCE0FC" w:themeFill="accent1" w:themeFillTint="33"/>
          </w:tcPr>
          <w:p w14:paraId="48F9FC03" w14:textId="77777777" w:rsidR="00F75A67" w:rsidRPr="00C779BE" w:rsidRDefault="00F75A67">
            <w:pPr>
              <w:pStyle w:val="TableText"/>
            </w:pPr>
          </w:p>
        </w:tc>
        <w:tc>
          <w:tcPr>
            <w:tcW w:w="1709" w:type="dxa"/>
          </w:tcPr>
          <w:p w14:paraId="3945C7FF" w14:textId="77777777" w:rsidR="00F75A67" w:rsidRPr="00C779BE" w:rsidRDefault="00F75A67">
            <w:pPr>
              <w:pStyle w:val="TableText"/>
            </w:pPr>
            <w:r w:rsidRPr="00C779BE">
              <w:t>Mini-Van</w:t>
            </w:r>
          </w:p>
        </w:tc>
        <w:tc>
          <w:tcPr>
            <w:tcW w:w="1062" w:type="dxa"/>
          </w:tcPr>
          <w:p w14:paraId="4516515C" w14:textId="77777777" w:rsidR="00F75A67" w:rsidRPr="00C779BE" w:rsidRDefault="00F75A67">
            <w:pPr>
              <w:pStyle w:val="TableText"/>
              <w:jc w:val="center"/>
            </w:pPr>
            <w:r>
              <w:t>26.00</w:t>
            </w:r>
            <w:r w:rsidRPr="00C779BE">
              <w:t>%</w:t>
            </w:r>
          </w:p>
        </w:tc>
        <w:tc>
          <w:tcPr>
            <w:tcW w:w="1548" w:type="dxa"/>
          </w:tcPr>
          <w:p w14:paraId="043C1A75" w14:textId="77777777" w:rsidR="00F75A67" w:rsidRPr="00C779BE" w:rsidRDefault="00F75A67">
            <w:pPr>
              <w:pStyle w:val="TableText"/>
              <w:jc w:val="center"/>
            </w:pPr>
            <w:r>
              <w:t>31.71</w:t>
            </w:r>
            <w:r w:rsidRPr="00C779BE">
              <w:t>%</w:t>
            </w:r>
          </w:p>
        </w:tc>
        <w:tc>
          <w:tcPr>
            <w:tcW w:w="1224" w:type="dxa"/>
          </w:tcPr>
          <w:p w14:paraId="10CF9A6D" w14:textId="77777777" w:rsidR="00F75A67" w:rsidRDefault="00F75A67">
            <w:pPr>
              <w:pStyle w:val="TableText"/>
              <w:jc w:val="center"/>
            </w:pPr>
            <w:r>
              <w:t>-5.71</w:t>
            </w:r>
          </w:p>
        </w:tc>
        <w:tc>
          <w:tcPr>
            <w:tcW w:w="1386" w:type="dxa"/>
          </w:tcPr>
          <w:p w14:paraId="0764099D" w14:textId="77777777" w:rsidR="00F75A67" w:rsidRDefault="00F75A67">
            <w:pPr>
              <w:pStyle w:val="TableText"/>
              <w:jc w:val="center"/>
            </w:pPr>
            <w:r>
              <w:t>31.00%</w:t>
            </w:r>
          </w:p>
        </w:tc>
      </w:tr>
      <w:tr w:rsidR="00F75A67" w:rsidRPr="00C779BE" w14:paraId="0011286F" w14:textId="77777777" w:rsidTr="00B354C8">
        <w:trPr>
          <w:trHeight w:val="178"/>
        </w:trPr>
        <w:tc>
          <w:tcPr>
            <w:tcW w:w="2431" w:type="dxa"/>
            <w:vMerge/>
            <w:shd w:val="clear" w:color="auto" w:fill="BCE0FC" w:themeFill="accent1" w:themeFillTint="33"/>
          </w:tcPr>
          <w:p w14:paraId="373AF495" w14:textId="77777777" w:rsidR="00F75A67" w:rsidRPr="00C779BE" w:rsidRDefault="00F75A67">
            <w:pPr>
              <w:pStyle w:val="TableText"/>
            </w:pPr>
          </w:p>
        </w:tc>
        <w:tc>
          <w:tcPr>
            <w:tcW w:w="1709" w:type="dxa"/>
          </w:tcPr>
          <w:p w14:paraId="6BC5C24E" w14:textId="77777777" w:rsidR="00F75A67" w:rsidRPr="00C779BE" w:rsidRDefault="00F75A67">
            <w:pPr>
              <w:pStyle w:val="TableText"/>
            </w:pPr>
            <w:r w:rsidRPr="00C779BE">
              <w:t>School Bus</w:t>
            </w:r>
          </w:p>
        </w:tc>
        <w:tc>
          <w:tcPr>
            <w:tcW w:w="1062" w:type="dxa"/>
          </w:tcPr>
          <w:p w14:paraId="1CBC23CC" w14:textId="77777777" w:rsidR="00F75A67" w:rsidRDefault="00F75A67">
            <w:pPr>
              <w:pStyle w:val="TableText"/>
              <w:jc w:val="center"/>
            </w:pPr>
            <w:r w:rsidRPr="00C779BE">
              <w:t>100.0%</w:t>
            </w:r>
          </w:p>
        </w:tc>
        <w:tc>
          <w:tcPr>
            <w:tcW w:w="1548" w:type="dxa"/>
          </w:tcPr>
          <w:p w14:paraId="78B60D84" w14:textId="77777777" w:rsidR="00F75A67" w:rsidRDefault="00F75A67">
            <w:pPr>
              <w:pStyle w:val="TableText"/>
              <w:jc w:val="center"/>
            </w:pPr>
            <w:r>
              <w:t>100.0</w:t>
            </w:r>
            <w:r w:rsidRPr="00C779BE">
              <w:t>%</w:t>
            </w:r>
          </w:p>
        </w:tc>
        <w:tc>
          <w:tcPr>
            <w:tcW w:w="1224" w:type="dxa"/>
          </w:tcPr>
          <w:p w14:paraId="7B317AEF" w14:textId="77777777" w:rsidR="00F75A67" w:rsidRDefault="00F75A67">
            <w:pPr>
              <w:pStyle w:val="TableText"/>
              <w:jc w:val="center"/>
            </w:pPr>
            <w:r>
              <w:t>0.00</w:t>
            </w:r>
          </w:p>
        </w:tc>
        <w:tc>
          <w:tcPr>
            <w:tcW w:w="1386" w:type="dxa"/>
          </w:tcPr>
          <w:p w14:paraId="344617F0" w14:textId="77777777" w:rsidR="00F75A67" w:rsidRDefault="00F75A67">
            <w:pPr>
              <w:pStyle w:val="TableText"/>
              <w:jc w:val="center"/>
            </w:pPr>
            <w:r>
              <w:t>0.00%</w:t>
            </w:r>
          </w:p>
        </w:tc>
      </w:tr>
      <w:tr w:rsidR="00F75A67" w:rsidRPr="00C779BE" w14:paraId="6DD7A3D3" w14:textId="77777777" w:rsidTr="00B354C8">
        <w:trPr>
          <w:trHeight w:val="178"/>
        </w:trPr>
        <w:tc>
          <w:tcPr>
            <w:tcW w:w="2431" w:type="dxa"/>
            <w:vMerge/>
            <w:shd w:val="clear" w:color="auto" w:fill="BCE0FC" w:themeFill="accent1" w:themeFillTint="33"/>
          </w:tcPr>
          <w:p w14:paraId="2D48E06D" w14:textId="77777777" w:rsidR="00F75A67" w:rsidRPr="00C779BE" w:rsidRDefault="00F75A67">
            <w:pPr>
              <w:pStyle w:val="TableText"/>
            </w:pPr>
          </w:p>
        </w:tc>
        <w:tc>
          <w:tcPr>
            <w:tcW w:w="1709" w:type="dxa"/>
          </w:tcPr>
          <w:p w14:paraId="5FD66E9E" w14:textId="77777777" w:rsidR="00F75A67" w:rsidRPr="00C779BE" w:rsidRDefault="00F75A67">
            <w:pPr>
              <w:pStyle w:val="TableText"/>
            </w:pPr>
            <w:r w:rsidRPr="00C779BE">
              <w:t>SUV</w:t>
            </w:r>
          </w:p>
        </w:tc>
        <w:tc>
          <w:tcPr>
            <w:tcW w:w="1062" w:type="dxa"/>
          </w:tcPr>
          <w:p w14:paraId="405E93A4" w14:textId="77777777" w:rsidR="00F75A67" w:rsidRPr="00C779BE" w:rsidRDefault="00F75A67">
            <w:pPr>
              <w:pStyle w:val="TableText"/>
              <w:jc w:val="center"/>
            </w:pPr>
            <w:r>
              <w:t>9.00</w:t>
            </w:r>
            <w:r w:rsidRPr="00C779BE">
              <w:t>%</w:t>
            </w:r>
          </w:p>
        </w:tc>
        <w:tc>
          <w:tcPr>
            <w:tcW w:w="1548" w:type="dxa"/>
          </w:tcPr>
          <w:p w14:paraId="0752D82B" w14:textId="77777777" w:rsidR="00F75A67" w:rsidRPr="00C779BE" w:rsidRDefault="00F75A67">
            <w:pPr>
              <w:pStyle w:val="TableText"/>
              <w:jc w:val="center"/>
            </w:pPr>
            <w:r>
              <w:t>6.45</w:t>
            </w:r>
            <w:r w:rsidRPr="00C779BE">
              <w:t>%</w:t>
            </w:r>
          </w:p>
        </w:tc>
        <w:tc>
          <w:tcPr>
            <w:tcW w:w="1224" w:type="dxa"/>
          </w:tcPr>
          <w:p w14:paraId="103B9814" w14:textId="77777777" w:rsidR="00F75A67" w:rsidRDefault="00F75A67">
            <w:pPr>
              <w:pStyle w:val="TableText"/>
              <w:jc w:val="center"/>
            </w:pPr>
            <w:r>
              <w:t>2.55</w:t>
            </w:r>
          </w:p>
        </w:tc>
        <w:tc>
          <w:tcPr>
            <w:tcW w:w="1386" w:type="dxa"/>
          </w:tcPr>
          <w:p w14:paraId="5946026B" w14:textId="77777777" w:rsidR="00F75A67" w:rsidRDefault="00F75A67">
            <w:pPr>
              <w:pStyle w:val="TableText"/>
              <w:jc w:val="center"/>
            </w:pPr>
            <w:r>
              <w:t>6.00%</w:t>
            </w:r>
          </w:p>
        </w:tc>
      </w:tr>
      <w:tr w:rsidR="00F75A67" w:rsidRPr="00C779BE" w14:paraId="0A3960AF" w14:textId="77777777" w:rsidTr="00B354C8">
        <w:trPr>
          <w:trHeight w:val="178"/>
        </w:trPr>
        <w:tc>
          <w:tcPr>
            <w:tcW w:w="2431" w:type="dxa"/>
            <w:vMerge/>
            <w:shd w:val="clear" w:color="auto" w:fill="BCE0FC" w:themeFill="accent1" w:themeFillTint="33"/>
          </w:tcPr>
          <w:p w14:paraId="04B4D782" w14:textId="77777777" w:rsidR="00F75A67" w:rsidRPr="00C779BE" w:rsidRDefault="00F75A67">
            <w:pPr>
              <w:pStyle w:val="TableText"/>
            </w:pPr>
          </w:p>
        </w:tc>
        <w:tc>
          <w:tcPr>
            <w:tcW w:w="1709" w:type="dxa"/>
          </w:tcPr>
          <w:p w14:paraId="28BC4176" w14:textId="77777777" w:rsidR="00F75A67" w:rsidRPr="00C779BE" w:rsidRDefault="00F75A67">
            <w:pPr>
              <w:pStyle w:val="TableText"/>
            </w:pPr>
            <w:r w:rsidRPr="00C779BE">
              <w:t>Van</w:t>
            </w:r>
          </w:p>
        </w:tc>
        <w:tc>
          <w:tcPr>
            <w:tcW w:w="1062" w:type="dxa"/>
          </w:tcPr>
          <w:p w14:paraId="59281E49" w14:textId="77777777" w:rsidR="00F75A67" w:rsidRPr="00C779BE" w:rsidRDefault="00F75A67">
            <w:pPr>
              <w:pStyle w:val="TableText"/>
              <w:jc w:val="center"/>
            </w:pPr>
            <w:r>
              <w:t>39.00</w:t>
            </w:r>
            <w:r w:rsidRPr="00C779BE">
              <w:t>%</w:t>
            </w:r>
          </w:p>
        </w:tc>
        <w:tc>
          <w:tcPr>
            <w:tcW w:w="1548" w:type="dxa"/>
          </w:tcPr>
          <w:p w14:paraId="731ECF3A" w14:textId="77777777" w:rsidR="00F75A67" w:rsidRPr="00C779BE" w:rsidRDefault="00F75A67">
            <w:pPr>
              <w:pStyle w:val="TableText"/>
              <w:jc w:val="center"/>
            </w:pPr>
            <w:r>
              <w:t>35.71</w:t>
            </w:r>
            <w:r w:rsidRPr="00C779BE">
              <w:t>%</w:t>
            </w:r>
          </w:p>
        </w:tc>
        <w:tc>
          <w:tcPr>
            <w:tcW w:w="1224" w:type="dxa"/>
          </w:tcPr>
          <w:p w14:paraId="0000D5D1" w14:textId="77777777" w:rsidR="00F75A67" w:rsidRDefault="00F75A67">
            <w:pPr>
              <w:pStyle w:val="TableText"/>
              <w:jc w:val="center"/>
            </w:pPr>
            <w:r>
              <w:t>3.29</w:t>
            </w:r>
          </w:p>
        </w:tc>
        <w:tc>
          <w:tcPr>
            <w:tcW w:w="1386" w:type="dxa"/>
          </w:tcPr>
          <w:p w14:paraId="3B175C36" w14:textId="77777777" w:rsidR="00F75A67" w:rsidRDefault="00F75A67">
            <w:pPr>
              <w:pStyle w:val="TableText"/>
              <w:jc w:val="center"/>
            </w:pPr>
            <w:r>
              <w:t>35.00%</w:t>
            </w:r>
          </w:p>
        </w:tc>
      </w:tr>
      <w:tr w:rsidR="00F75A67" w:rsidRPr="00C779BE" w14:paraId="7DF95961" w14:textId="77777777" w:rsidTr="00B354C8">
        <w:trPr>
          <w:trHeight w:val="976"/>
        </w:trPr>
        <w:tc>
          <w:tcPr>
            <w:tcW w:w="2431" w:type="dxa"/>
            <w:vMerge w:val="restart"/>
            <w:shd w:val="clear" w:color="auto" w:fill="BCE0FC" w:themeFill="accent1" w:themeFillTint="33"/>
          </w:tcPr>
          <w:p w14:paraId="6AC18064" w14:textId="67C44B62" w:rsidR="00F75A67" w:rsidRPr="00C779BE" w:rsidRDefault="009911FF">
            <w:pPr>
              <w:pStyle w:val="TableText"/>
            </w:pPr>
            <w:r w:rsidRPr="009911FF">
              <w:rPr>
                <w:b/>
                <w:bCs/>
              </w:rPr>
              <w:t>Equipment</w:t>
            </w:r>
            <w:r>
              <w:br/>
            </w:r>
            <w:r w:rsidR="00F75A67" w:rsidRPr="00C779BE">
              <w:t>Age - % of equipment or non-revenue vehicles within a particular asset class that have met or exceeded their Useful Life Benchmark (ULB)</w:t>
            </w:r>
          </w:p>
        </w:tc>
        <w:tc>
          <w:tcPr>
            <w:tcW w:w="1709" w:type="dxa"/>
          </w:tcPr>
          <w:p w14:paraId="1C676F32" w14:textId="77777777" w:rsidR="00F75A67" w:rsidRPr="00C779BE" w:rsidRDefault="00F75A67">
            <w:pPr>
              <w:pStyle w:val="TableText"/>
            </w:pPr>
            <w:r w:rsidRPr="00C779BE">
              <w:t>Non-Revenue Automobile</w:t>
            </w:r>
          </w:p>
        </w:tc>
        <w:tc>
          <w:tcPr>
            <w:tcW w:w="1062" w:type="dxa"/>
          </w:tcPr>
          <w:p w14:paraId="47219619" w14:textId="77777777" w:rsidR="00F75A67" w:rsidRPr="00C779BE" w:rsidRDefault="00F75A67">
            <w:pPr>
              <w:pStyle w:val="TableText"/>
              <w:jc w:val="center"/>
            </w:pPr>
            <w:r>
              <w:t>100.0</w:t>
            </w:r>
            <w:r w:rsidRPr="00C779BE">
              <w:t>%</w:t>
            </w:r>
          </w:p>
        </w:tc>
        <w:tc>
          <w:tcPr>
            <w:tcW w:w="1548" w:type="dxa"/>
          </w:tcPr>
          <w:p w14:paraId="6E881B1D" w14:textId="77777777" w:rsidR="00F75A67" w:rsidRPr="00C779BE" w:rsidRDefault="00F75A67">
            <w:pPr>
              <w:pStyle w:val="TableText"/>
              <w:jc w:val="center"/>
            </w:pPr>
            <w:r>
              <w:t>71.43</w:t>
            </w:r>
            <w:r w:rsidRPr="00C779BE">
              <w:t>%</w:t>
            </w:r>
          </w:p>
        </w:tc>
        <w:tc>
          <w:tcPr>
            <w:tcW w:w="1224" w:type="dxa"/>
          </w:tcPr>
          <w:p w14:paraId="76852629" w14:textId="77777777" w:rsidR="00F75A67" w:rsidRDefault="00F75A67">
            <w:pPr>
              <w:pStyle w:val="TableText"/>
              <w:jc w:val="center"/>
            </w:pPr>
            <w:r>
              <w:t>-28.57</w:t>
            </w:r>
          </w:p>
        </w:tc>
        <w:tc>
          <w:tcPr>
            <w:tcW w:w="1386" w:type="dxa"/>
          </w:tcPr>
          <w:p w14:paraId="6D15F232" w14:textId="77777777" w:rsidR="00F75A67" w:rsidRDefault="00F75A67">
            <w:pPr>
              <w:pStyle w:val="TableText"/>
              <w:jc w:val="center"/>
            </w:pPr>
            <w:r>
              <w:t>71.00%</w:t>
            </w:r>
          </w:p>
        </w:tc>
      </w:tr>
      <w:tr w:rsidR="00F75A67" w:rsidRPr="00C779BE" w14:paraId="77B5B400" w14:textId="77777777" w:rsidTr="00B354C8">
        <w:trPr>
          <w:trHeight w:val="976"/>
        </w:trPr>
        <w:tc>
          <w:tcPr>
            <w:tcW w:w="2431" w:type="dxa"/>
            <w:vMerge/>
            <w:shd w:val="clear" w:color="auto" w:fill="BCE0FC" w:themeFill="accent1" w:themeFillTint="33"/>
          </w:tcPr>
          <w:p w14:paraId="61E6C9C2" w14:textId="77777777" w:rsidR="00F75A67" w:rsidRPr="00C779BE" w:rsidRDefault="00F75A67">
            <w:pPr>
              <w:pStyle w:val="TableText"/>
            </w:pPr>
          </w:p>
        </w:tc>
        <w:tc>
          <w:tcPr>
            <w:tcW w:w="1709" w:type="dxa"/>
          </w:tcPr>
          <w:p w14:paraId="6DD70A7D" w14:textId="77777777" w:rsidR="00F75A67" w:rsidRPr="00C779BE" w:rsidRDefault="00F75A67">
            <w:pPr>
              <w:pStyle w:val="TableText"/>
            </w:pPr>
            <w:r w:rsidRPr="00C779BE">
              <w:t>Trucks and other Rubber Tire Vehicles</w:t>
            </w:r>
          </w:p>
        </w:tc>
        <w:tc>
          <w:tcPr>
            <w:tcW w:w="1062" w:type="dxa"/>
          </w:tcPr>
          <w:p w14:paraId="6DBA56A4" w14:textId="77777777" w:rsidR="00F75A67" w:rsidRPr="00C779BE" w:rsidRDefault="00F75A67">
            <w:pPr>
              <w:pStyle w:val="TableText"/>
              <w:jc w:val="center"/>
            </w:pPr>
            <w:r>
              <w:t>6.00</w:t>
            </w:r>
            <w:r w:rsidRPr="00C779BE">
              <w:t>%</w:t>
            </w:r>
          </w:p>
        </w:tc>
        <w:tc>
          <w:tcPr>
            <w:tcW w:w="1548" w:type="dxa"/>
          </w:tcPr>
          <w:p w14:paraId="209ACDE3" w14:textId="77777777" w:rsidR="00F75A67" w:rsidRPr="00C779BE" w:rsidRDefault="00F75A67">
            <w:pPr>
              <w:pStyle w:val="TableText"/>
              <w:jc w:val="center"/>
            </w:pPr>
            <w:r>
              <w:t>8.82</w:t>
            </w:r>
            <w:r w:rsidRPr="00C779BE">
              <w:t>%</w:t>
            </w:r>
          </w:p>
        </w:tc>
        <w:tc>
          <w:tcPr>
            <w:tcW w:w="1224" w:type="dxa"/>
          </w:tcPr>
          <w:p w14:paraId="6DD93E20" w14:textId="77777777" w:rsidR="00F75A67" w:rsidRDefault="00F75A67">
            <w:pPr>
              <w:pStyle w:val="TableText"/>
              <w:jc w:val="center"/>
            </w:pPr>
            <w:r>
              <w:t>-2.82</w:t>
            </w:r>
          </w:p>
        </w:tc>
        <w:tc>
          <w:tcPr>
            <w:tcW w:w="1386" w:type="dxa"/>
          </w:tcPr>
          <w:p w14:paraId="42314876" w14:textId="77777777" w:rsidR="00F75A67" w:rsidRDefault="00F75A67">
            <w:pPr>
              <w:pStyle w:val="TableText"/>
              <w:jc w:val="center"/>
            </w:pPr>
            <w:r>
              <w:t>8.00%</w:t>
            </w:r>
          </w:p>
        </w:tc>
      </w:tr>
      <w:tr w:rsidR="00F75A67" w:rsidRPr="00C779BE" w14:paraId="28E9ABF1" w14:textId="77777777" w:rsidTr="00B354C8">
        <w:trPr>
          <w:trHeight w:val="976"/>
        </w:trPr>
        <w:tc>
          <w:tcPr>
            <w:tcW w:w="2431" w:type="dxa"/>
            <w:vMerge w:val="restart"/>
            <w:shd w:val="clear" w:color="auto" w:fill="BCE0FC" w:themeFill="accent1" w:themeFillTint="33"/>
          </w:tcPr>
          <w:p w14:paraId="5F143D7C" w14:textId="691E352A" w:rsidR="00F75A67" w:rsidRPr="00C779BE" w:rsidRDefault="009911FF" w:rsidP="002B54F2">
            <w:pPr>
              <w:pStyle w:val="TableText"/>
              <w:keepNext/>
            </w:pPr>
            <w:r w:rsidRPr="009911FF">
              <w:rPr>
                <w:b/>
                <w:bCs/>
              </w:rPr>
              <w:lastRenderedPageBreak/>
              <w:t>Facilities</w:t>
            </w:r>
            <w:r>
              <w:br/>
            </w:r>
            <w:r w:rsidR="00F75A67" w:rsidRPr="00C779BE">
              <w:t>Condition - % of facilities with a condition rating below 3.0 on the FTA Transit Economic Requirements Model (TERM) Scale</w:t>
            </w:r>
          </w:p>
        </w:tc>
        <w:tc>
          <w:tcPr>
            <w:tcW w:w="1709" w:type="dxa"/>
          </w:tcPr>
          <w:p w14:paraId="268798DD" w14:textId="77777777" w:rsidR="00F75A67" w:rsidRPr="00C779BE" w:rsidRDefault="00F75A67" w:rsidP="002B54F2">
            <w:pPr>
              <w:pStyle w:val="TableText"/>
              <w:keepNext/>
            </w:pPr>
            <w:r w:rsidRPr="00C779BE">
              <w:t>Passenger/</w:t>
            </w:r>
            <w:r>
              <w:t>‌</w:t>
            </w:r>
            <w:r w:rsidRPr="00C779BE">
              <w:t>Parking Facilities</w:t>
            </w:r>
          </w:p>
        </w:tc>
        <w:tc>
          <w:tcPr>
            <w:tcW w:w="1062" w:type="dxa"/>
          </w:tcPr>
          <w:p w14:paraId="3B000F75" w14:textId="77777777" w:rsidR="00F75A67" w:rsidRPr="00C779BE" w:rsidRDefault="00F75A67" w:rsidP="002B54F2">
            <w:pPr>
              <w:pStyle w:val="TableText"/>
              <w:keepNext/>
              <w:jc w:val="center"/>
            </w:pPr>
            <w:r>
              <w:t>N/A</w:t>
            </w:r>
          </w:p>
        </w:tc>
        <w:tc>
          <w:tcPr>
            <w:tcW w:w="1548" w:type="dxa"/>
          </w:tcPr>
          <w:p w14:paraId="0C5DC5B0" w14:textId="77777777" w:rsidR="00F75A67" w:rsidRPr="00C779BE" w:rsidRDefault="00F75A67" w:rsidP="002B54F2">
            <w:pPr>
              <w:pStyle w:val="TableText"/>
              <w:keepNext/>
              <w:jc w:val="center"/>
            </w:pPr>
            <w:r w:rsidRPr="00C779BE">
              <w:t>0%</w:t>
            </w:r>
          </w:p>
        </w:tc>
        <w:tc>
          <w:tcPr>
            <w:tcW w:w="1224" w:type="dxa"/>
          </w:tcPr>
          <w:p w14:paraId="04759DAC" w14:textId="77777777" w:rsidR="00F75A67" w:rsidRPr="00C779BE" w:rsidRDefault="00F75A67" w:rsidP="002B54F2">
            <w:pPr>
              <w:pStyle w:val="TableText"/>
              <w:keepNext/>
              <w:jc w:val="center"/>
            </w:pPr>
            <w:r>
              <w:t>0%</w:t>
            </w:r>
          </w:p>
        </w:tc>
        <w:tc>
          <w:tcPr>
            <w:tcW w:w="1386" w:type="dxa"/>
          </w:tcPr>
          <w:p w14:paraId="2F2E93D2" w14:textId="77777777" w:rsidR="00F75A67" w:rsidRDefault="00F75A67" w:rsidP="002B54F2">
            <w:pPr>
              <w:pStyle w:val="TableText"/>
              <w:keepNext/>
              <w:jc w:val="center"/>
            </w:pPr>
            <w:r>
              <w:t>0%</w:t>
            </w:r>
          </w:p>
        </w:tc>
      </w:tr>
      <w:tr w:rsidR="00F75A67" w:rsidRPr="00C779BE" w14:paraId="13F6A9A6" w14:textId="77777777" w:rsidTr="00B354C8">
        <w:trPr>
          <w:trHeight w:val="976"/>
        </w:trPr>
        <w:tc>
          <w:tcPr>
            <w:tcW w:w="2431" w:type="dxa"/>
            <w:vMerge/>
            <w:shd w:val="clear" w:color="auto" w:fill="BCE0FC" w:themeFill="accent1" w:themeFillTint="33"/>
          </w:tcPr>
          <w:p w14:paraId="27760F6C" w14:textId="77777777" w:rsidR="00F75A67" w:rsidRPr="00C779BE" w:rsidRDefault="00F75A67">
            <w:pPr>
              <w:pStyle w:val="TableText"/>
            </w:pPr>
          </w:p>
        </w:tc>
        <w:tc>
          <w:tcPr>
            <w:tcW w:w="1709" w:type="dxa"/>
          </w:tcPr>
          <w:p w14:paraId="773A7806" w14:textId="77777777" w:rsidR="00F75A67" w:rsidRPr="00C779BE" w:rsidRDefault="00F75A67">
            <w:pPr>
              <w:pStyle w:val="TableText"/>
            </w:pPr>
            <w:r w:rsidRPr="00C779BE">
              <w:t>Administration/</w:t>
            </w:r>
            <w:r>
              <w:t>‌</w:t>
            </w:r>
            <w:r w:rsidRPr="00C779BE">
              <w:t>Maintenance</w:t>
            </w:r>
            <w:r>
              <w:t xml:space="preserve"> </w:t>
            </w:r>
            <w:r w:rsidRPr="00C779BE">
              <w:t>Facilities</w:t>
            </w:r>
          </w:p>
        </w:tc>
        <w:tc>
          <w:tcPr>
            <w:tcW w:w="1062" w:type="dxa"/>
          </w:tcPr>
          <w:p w14:paraId="191B7D8F" w14:textId="77777777" w:rsidR="00F75A67" w:rsidRPr="00C779BE" w:rsidRDefault="00F75A67">
            <w:pPr>
              <w:pStyle w:val="TableText"/>
              <w:jc w:val="center"/>
            </w:pPr>
            <w:r>
              <w:t>6.00</w:t>
            </w:r>
            <w:r w:rsidRPr="00C779BE">
              <w:t>%</w:t>
            </w:r>
          </w:p>
        </w:tc>
        <w:tc>
          <w:tcPr>
            <w:tcW w:w="1548" w:type="dxa"/>
          </w:tcPr>
          <w:p w14:paraId="4EACA8B2" w14:textId="77777777" w:rsidR="00F75A67" w:rsidRPr="00C779BE" w:rsidRDefault="00F75A67">
            <w:pPr>
              <w:pStyle w:val="TableText"/>
              <w:jc w:val="center"/>
            </w:pPr>
            <w:r>
              <w:t>9.09</w:t>
            </w:r>
            <w:r w:rsidRPr="00C779BE">
              <w:t>%</w:t>
            </w:r>
          </w:p>
        </w:tc>
        <w:tc>
          <w:tcPr>
            <w:tcW w:w="1224" w:type="dxa"/>
          </w:tcPr>
          <w:p w14:paraId="50D09505" w14:textId="77777777" w:rsidR="00F75A67" w:rsidRDefault="00F75A67">
            <w:pPr>
              <w:pStyle w:val="TableText"/>
              <w:jc w:val="center"/>
            </w:pPr>
            <w:r>
              <w:t>3.09</w:t>
            </w:r>
          </w:p>
        </w:tc>
        <w:tc>
          <w:tcPr>
            <w:tcW w:w="1386" w:type="dxa"/>
          </w:tcPr>
          <w:p w14:paraId="6CF1D148" w14:textId="77777777" w:rsidR="00F75A67" w:rsidRDefault="00F75A67">
            <w:pPr>
              <w:pStyle w:val="TableText"/>
              <w:jc w:val="center"/>
            </w:pPr>
            <w:r>
              <w:t>9.00%</w:t>
            </w:r>
          </w:p>
        </w:tc>
      </w:tr>
    </w:tbl>
    <w:p w14:paraId="6EFCD6FC" w14:textId="35D298AD" w:rsidR="00EE2A04" w:rsidRPr="00EE2A04" w:rsidRDefault="004B70BD" w:rsidP="009911FF">
      <w:pPr>
        <w:pStyle w:val="Heading2"/>
        <w:spacing w:before="240"/>
      </w:pPr>
      <w:r>
        <w:t xml:space="preserve">MPO </w:t>
      </w:r>
      <w:r w:rsidR="00020854" w:rsidRPr="00EE2A04">
        <w:t>Timeline</w:t>
      </w:r>
      <w:r>
        <w:t xml:space="preserve"> and Reporting</w:t>
      </w:r>
    </w:p>
    <w:p w14:paraId="6113BE45" w14:textId="7DF21071" w:rsidR="00664DFA" w:rsidRDefault="00664DFA" w:rsidP="009911FF">
      <w:pPr>
        <w:pStyle w:val="BodyText"/>
      </w:pPr>
      <w:r w:rsidRPr="00E36D94">
        <w:t xml:space="preserve">MPOs are </w:t>
      </w:r>
      <w:r w:rsidRPr="00486407">
        <w:rPr>
          <w:b/>
          <w:bCs/>
        </w:rPr>
        <w:t>not</w:t>
      </w:r>
      <w:r w:rsidRPr="00E36D94">
        <w:t xml:space="preserve"> required to establish TAM targets annually</w:t>
      </w:r>
      <w:r w:rsidR="008A1C96" w:rsidRPr="00E36D94">
        <w:t xml:space="preserve">, as </w:t>
      </w:r>
      <w:r w:rsidR="00141367" w:rsidRPr="00E36D94">
        <w:t>transit providers do</w:t>
      </w:r>
      <w:r w:rsidRPr="00E36D94">
        <w:t xml:space="preserve">. Instead, </w:t>
      </w:r>
      <w:r w:rsidR="004479F9" w:rsidRPr="00E36D94">
        <w:t>MPOs</w:t>
      </w:r>
      <w:r w:rsidRPr="00E36D94">
        <w:t xml:space="preserve"> </w:t>
      </w:r>
      <w:r w:rsidRPr="00486407">
        <w:rPr>
          <w:b/>
          <w:bCs/>
        </w:rPr>
        <w:t>must</w:t>
      </w:r>
      <w:r w:rsidRPr="00E36D94">
        <w:t xml:space="preserve"> revisit </w:t>
      </w:r>
      <w:r w:rsidR="00D86A1E">
        <w:t>their targets each time they update</w:t>
      </w:r>
      <w:r w:rsidRPr="00E36D94">
        <w:t xml:space="preserve"> the LRTP. </w:t>
      </w:r>
    </w:p>
    <w:p w14:paraId="07E5E2EB" w14:textId="47DD2194" w:rsidR="00FA4716" w:rsidRDefault="00F404B5" w:rsidP="009911FF">
      <w:pPr>
        <w:pStyle w:val="BodyText"/>
      </w:pPr>
      <w:r w:rsidRPr="00E36D94">
        <w:t>However</w:t>
      </w:r>
      <w:r w:rsidR="00FA4716" w:rsidRPr="00E36D94">
        <w:t xml:space="preserve">, </w:t>
      </w:r>
      <w:r w:rsidRPr="00E36D94">
        <w:t>if MPOs have not yet updated their MPO targets, it is recommended that MPOs include the most recent transit provider targets in the TIP</w:t>
      </w:r>
      <w:r w:rsidR="00FA4716" w:rsidRPr="00E36D94">
        <w:t>. When creating TAM targets, the MPO can either agree to fund projects that support the transit provider's targets or develop its own regional TAM targets for the MPO planning area. MPO targets may differ from agency targets, especially if multiple transit agencies operate within the MPO planning area. To the greatest extent possible, public transit providers, states, and MPOs should coordinate to select performance targets.</w:t>
      </w:r>
    </w:p>
    <w:p w14:paraId="72EF4387" w14:textId="78939700" w:rsidR="00664DFA" w:rsidRPr="00EC1A5C" w:rsidRDefault="00664DFA" w:rsidP="003C32B3">
      <w:pPr>
        <w:keepNext/>
        <w:spacing w:after="0" w:line="240" w:lineRule="auto"/>
        <w:rPr>
          <w:rFonts w:cs="Proxima Nova"/>
          <w:b/>
          <w:bCs/>
          <w:color w:val="000000"/>
          <w:sz w:val="22"/>
        </w:rPr>
      </w:pPr>
      <w:r w:rsidRPr="00EC1A5C">
        <w:rPr>
          <w:rFonts w:cs="Proxima Nova"/>
          <w:b/>
          <w:bCs/>
          <w:color w:val="000000"/>
          <w:sz w:val="22"/>
        </w:rPr>
        <w:t xml:space="preserve">[OPTION A: For </w:t>
      </w:r>
      <w:r w:rsidR="00112883" w:rsidRPr="00EC1A5C">
        <w:rPr>
          <w:rFonts w:cs="Proxima Nova"/>
          <w:b/>
          <w:bCs/>
          <w:color w:val="000000"/>
          <w:sz w:val="22"/>
        </w:rPr>
        <w:t>a</w:t>
      </w:r>
      <w:r w:rsidR="00C12985" w:rsidRPr="00EC1A5C">
        <w:rPr>
          <w:rFonts w:cs="Proxima Nova"/>
          <w:b/>
          <w:bCs/>
          <w:color w:val="000000"/>
          <w:sz w:val="22"/>
        </w:rPr>
        <w:t>n</w:t>
      </w:r>
      <w:r w:rsidR="00112883" w:rsidRPr="00EC1A5C">
        <w:rPr>
          <w:rFonts w:cs="Proxima Nova"/>
          <w:b/>
          <w:bCs/>
          <w:color w:val="000000"/>
          <w:sz w:val="22"/>
        </w:rPr>
        <w:t xml:space="preserve"> </w:t>
      </w:r>
      <w:r w:rsidRPr="00EC1A5C">
        <w:rPr>
          <w:rFonts w:cs="Proxima Nova"/>
          <w:b/>
          <w:bCs/>
          <w:color w:val="000000"/>
          <w:sz w:val="22"/>
        </w:rPr>
        <w:t>MPO that supports the transit agency targets]</w:t>
      </w:r>
    </w:p>
    <w:p w14:paraId="5FFE7925" w14:textId="2627E5DB" w:rsidR="00664DFA" w:rsidRDefault="00DA244F" w:rsidP="009911FF">
      <w:pPr>
        <w:pStyle w:val="BodyText"/>
        <w:rPr>
          <w:bCs/>
          <w:color w:val="000000"/>
          <w:kern w:val="36"/>
        </w:rPr>
      </w:pPr>
      <w:r w:rsidRPr="00486407">
        <w:rPr>
          <w:b/>
          <w:bCs/>
        </w:rPr>
        <w:t>Sample language:</w:t>
      </w:r>
      <w:r w:rsidRPr="00EC1A5C">
        <w:t xml:space="preserve"> </w:t>
      </w:r>
      <w:r w:rsidR="00664DFA" w:rsidRPr="00EC1A5C">
        <w:t>On [</w:t>
      </w:r>
      <w:r w:rsidR="00664DFA" w:rsidRPr="00EC1A5C">
        <w:rPr>
          <w:i/>
          <w:iCs/>
        </w:rPr>
        <w:t>date</w:t>
      </w:r>
      <w:r w:rsidR="00664DFA" w:rsidRPr="00EC1A5C">
        <w:t>], the [</w:t>
      </w:r>
      <w:r w:rsidR="00664DFA" w:rsidRPr="00EC1A5C">
        <w:rPr>
          <w:i/>
          <w:iCs/>
        </w:rPr>
        <w:t>MPO name</w:t>
      </w:r>
      <w:r w:rsidR="00664DFA" w:rsidRPr="00EC1A5C">
        <w:t>] agreed to support the [</w:t>
      </w:r>
      <w:r w:rsidR="00664DFA" w:rsidRPr="00EC1A5C">
        <w:rPr>
          <w:i/>
          <w:iCs/>
        </w:rPr>
        <w:t>transit agency’s name</w:t>
      </w:r>
      <w:r w:rsidR="00664DFA" w:rsidRPr="00EC1A5C">
        <w:t>] TAM targets, thus agreeing to plan and program projects in the TIP that</w:t>
      </w:r>
      <w:r w:rsidR="00584FB8" w:rsidRPr="00EC1A5C">
        <w:t>,</w:t>
      </w:r>
      <w:r w:rsidR="00664DFA" w:rsidRPr="00EC1A5C">
        <w:t xml:space="preserve"> once implemented, are anticipated to make progress toward achieving the provider’s targets. </w:t>
      </w:r>
      <w:r w:rsidR="00664DFA" w:rsidRPr="00EC1A5C">
        <w:rPr>
          <w:bCs/>
          <w:color w:val="000000"/>
          <w:kern w:val="36"/>
        </w:rPr>
        <w:t>[</w:t>
      </w:r>
      <w:r w:rsidR="00664DFA" w:rsidRPr="00EC1A5C">
        <w:rPr>
          <w:bCs/>
          <w:i/>
          <w:iCs/>
          <w:color w:val="000000"/>
          <w:kern w:val="36"/>
        </w:rPr>
        <w:t>The MPO may discuss the reasoning or analysis behind the decision to support the transit provider’s targets.</w:t>
      </w:r>
      <w:r w:rsidR="00664DFA" w:rsidRPr="00EC1A5C">
        <w:rPr>
          <w:bCs/>
          <w:color w:val="000000"/>
          <w:kern w:val="36"/>
        </w:rPr>
        <w:t>]</w:t>
      </w:r>
    </w:p>
    <w:p w14:paraId="1AD4EE2D" w14:textId="77777777" w:rsidR="00F404B5" w:rsidRPr="00EC1A5C" w:rsidRDefault="00664DFA" w:rsidP="003C32B3">
      <w:pPr>
        <w:keepNext/>
        <w:spacing w:after="0" w:line="240" w:lineRule="auto"/>
        <w:rPr>
          <w:rFonts w:cs="Proxima Nova"/>
          <w:b/>
          <w:bCs/>
          <w:color w:val="000000"/>
          <w:sz w:val="22"/>
        </w:rPr>
      </w:pPr>
      <w:r w:rsidRPr="00EC1A5C">
        <w:rPr>
          <w:rFonts w:cs="Proxima Nova"/>
          <w:b/>
          <w:bCs/>
          <w:color w:val="000000"/>
          <w:sz w:val="22"/>
        </w:rPr>
        <w:t xml:space="preserve">[OPTION B: For </w:t>
      </w:r>
      <w:r w:rsidR="00112883" w:rsidRPr="00EC1A5C">
        <w:rPr>
          <w:rFonts w:cs="Proxima Nova"/>
          <w:b/>
          <w:bCs/>
          <w:color w:val="000000"/>
          <w:sz w:val="22"/>
        </w:rPr>
        <w:t>a</w:t>
      </w:r>
      <w:r w:rsidR="00C12985" w:rsidRPr="00EC1A5C">
        <w:rPr>
          <w:rFonts w:cs="Proxima Nova"/>
          <w:b/>
          <w:bCs/>
          <w:color w:val="000000"/>
          <w:sz w:val="22"/>
        </w:rPr>
        <w:t>n</w:t>
      </w:r>
      <w:r w:rsidR="00112883" w:rsidRPr="00EC1A5C">
        <w:rPr>
          <w:rFonts w:cs="Proxima Nova"/>
          <w:b/>
          <w:bCs/>
          <w:color w:val="000000"/>
          <w:sz w:val="22"/>
        </w:rPr>
        <w:t xml:space="preserve"> </w:t>
      </w:r>
      <w:r w:rsidRPr="00EC1A5C">
        <w:rPr>
          <w:rFonts w:cs="Proxima Nova"/>
          <w:b/>
          <w:bCs/>
          <w:color w:val="000000"/>
          <w:sz w:val="22"/>
        </w:rPr>
        <w:t>MPO that establishes its own TAM targets]</w:t>
      </w:r>
      <w:r w:rsidR="009D3FAA" w:rsidRPr="00EC1A5C">
        <w:rPr>
          <w:rFonts w:cs="Proxima Nova"/>
          <w:b/>
          <w:bCs/>
          <w:color w:val="000000"/>
          <w:sz w:val="22"/>
        </w:rPr>
        <w:t xml:space="preserve"> </w:t>
      </w:r>
    </w:p>
    <w:p w14:paraId="0EE73885" w14:textId="02A7B2B4" w:rsidR="00664DFA" w:rsidRDefault="00DA244F" w:rsidP="009911FF">
      <w:pPr>
        <w:pStyle w:val="BodyText"/>
      </w:pPr>
      <w:r w:rsidRPr="00486407">
        <w:rPr>
          <w:b/>
          <w:bCs/>
        </w:rPr>
        <w:t>Sample language:</w:t>
      </w:r>
      <w:r w:rsidRPr="00EC1A5C">
        <w:t xml:space="preserve"> </w:t>
      </w:r>
      <w:r w:rsidR="00664DFA" w:rsidRPr="00EC1A5C">
        <w:t>On [</w:t>
      </w:r>
      <w:r w:rsidR="00664DFA" w:rsidRPr="00EC1A5C">
        <w:rPr>
          <w:i/>
          <w:iCs/>
        </w:rPr>
        <w:t>date</w:t>
      </w:r>
      <w:r w:rsidR="00664DFA" w:rsidRPr="00EC1A5C">
        <w:t>], the [</w:t>
      </w:r>
      <w:r w:rsidR="00664DFA" w:rsidRPr="00EC1A5C">
        <w:rPr>
          <w:i/>
          <w:iCs/>
        </w:rPr>
        <w:t>MPO name</w:t>
      </w:r>
      <w:r w:rsidR="00664DFA" w:rsidRPr="00EC1A5C">
        <w:t xml:space="preserve">] established TAM targets for the MPO planning area. The targets are presented in </w:t>
      </w:r>
      <w:r w:rsidR="00194814" w:rsidRPr="00EC1A5C">
        <w:t>the table below.</w:t>
      </w:r>
    </w:p>
    <w:p w14:paraId="03FD9EF0" w14:textId="001EF1B1" w:rsidR="00765F35" w:rsidRDefault="00765F35" w:rsidP="00486407">
      <w:pPr>
        <w:pStyle w:val="Caption"/>
      </w:pPr>
      <w:bookmarkStart w:id="14" w:name="_Toc223951443"/>
      <w:r w:rsidRPr="0075456F">
        <w:t>MPO Transit Asset Management Targets</w:t>
      </w:r>
      <w:bookmarkEnd w:id="14"/>
    </w:p>
    <w:tbl>
      <w:tblPr>
        <w:tblStyle w:val="Style1"/>
        <w:tblW w:w="9648" w:type="dxa"/>
        <w:tblLayout w:type="fixed"/>
        <w:tblLook w:val="01E0" w:firstRow="1" w:lastRow="1" w:firstColumn="1" w:lastColumn="1" w:noHBand="0" w:noVBand="0"/>
      </w:tblPr>
      <w:tblGrid>
        <w:gridCol w:w="3690"/>
        <w:gridCol w:w="2984"/>
        <w:gridCol w:w="1483"/>
        <w:gridCol w:w="1491"/>
      </w:tblGrid>
      <w:tr w:rsidR="00664DFA" w:rsidRPr="00C779BE" w14:paraId="74CD66D4" w14:textId="77777777" w:rsidTr="002B54F2">
        <w:trPr>
          <w:cnfStyle w:val="100000000000" w:firstRow="1" w:lastRow="0" w:firstColumn="0" w:lastColumn="0" w:oddVBand="0" w:evenVBand="0" w:oddHBand="0" w:evenHBand="0" w:firstRowFirstColumn="0" w:firstRowLastColumn="0" w:lastRowFirstColumn="0" w:lastRowLastColumn="0"/>
          <w:trHeight w:val="576"/>
          <w:tblHeader/>
        </w:trPr>
        <w:tc>
          <w:tcPr>
            <w:tcW w:w="3690" w:type="dxa"/>
            <w:vAlign w:val="bottom"/>
          </w:tcPr>
          <w:p w14:paraId="01160CA9" w14:textId="77777777" w:rsidR="00664DFA" w:rsidRPr="00C779BE" w:rsidRDefault="00664DFA" w:rsidP="003C32B3">
            <w:pPr>
              <w:pStyle w:val="TableHead"/>
              <w:spacing w:before="0"/>
            </w:pPr>
            <w:r w:rsidRPr="00C779BE">
              <w:t>Asset Category - Performance Measure</w:t>
            </w:r>
          </w:p>
        </w:tc>
        <w:tc>
          <w:tcPr>
            <w:tcW w:w="2984" w:type="dxa"/>
            <w:vAlign w:val="bottom"/>
          </w:tcPr>
          <w:p w14:paraId="45F05456" w14:textId="77777777" w:rsidR="00664DFA" w:rsidRPr="00C779BE" w:rsidRDefault="00664DFA" w:rsidP="003C32B3">
            <w:pPr>
              <w:pStyle w:val="TableHead"/>
              <w:spacing w:before="0"/>
              <w:jc w:val="center"/>
            </w:pPr>
            <w:r w:rsidRPr="00C779BE">
              <w:t>Asset Class</w:t>
            </w:r>
          </w:p>
        </w:tc>
        <w:tc>
          <w:tcPr>
            <w:tcW w:w="1483" w:type="dxa"/>
            <w:vAlign w:val="bottom"/>
          </w:tcPr>
          <w:p w14:paraId="2FE02FC6" w14:textId="77777777" w:rsidR="00664DFA" w:rsidRPr="00C779BE" w:rsidRDefault="00664DFA" w:rsidP="003C32B3">
            <w:pPr>
              <w:pStyle w:val="TableHead"/>
              <w:spacing w:before="0"/>
              <w:jc w:val="center"/>
            </w:pPr>
            <w:r w:rsidRPr="00C779BE">
              <w:t>FY 20XX Asset Condition</w:t>
            </w:r>
          </w:p>
        </w:tc>
        <w:tc>
          <w:tcPr>
            <w:tcW w:w="1491" w:type="dxa"/>
            <w:vAlign w:val="bottom"/>
          </w:tcPr>
          <w:p w14:paraId="46959DA4" w14:textId="77777777" w:rsidR="00664DFA" w:rsidRPr="00C779BE" w:rsidRDefault="00664DFA" w:rsidP="003C32B3">
            <w:pPr>
              <w:pStyle w:val="TableHead"/>
              <w:spacing w:before="0"/>
              <w:jc w:val="center"/>
            </w:pPr>
            <w:r w:rsidRPr="00C779BE">
              <w:t>FY20xx Target</w:t>
            </w:r>
          </w:p>
        </w:tc>
      </w:tr>
      <w:tr w:rsidR="00664DFA" w:rsidRPr="00C779BE" w14:paraId="42E5EEFE" w14:textId="77777777" w:rsidTr="00B354C8">
        <w:trPr>
          <w:trHeight w:val="144"/>
        </w:trPr>
        <w:tc>
          <w:tcPr>
            <w:tcW w:w="3690" w:type="dxa"/>
            <w:vMerge w:val="restart"/>
            <w:shd w:val="clear" w:color="auto" w:fill="BCE0FC" w:themeFill="accent1" w:themeFillTint="33"/>
          </w:tcPr>
          <w:p w14:paraId="12E9B942" w14:textId="013446D6" w:rsidR="00664DFA" w:rsidRPr="00C779BE" w:rsidRDefault="009911FF" w:rsidP="003C32B3">
            <w:pPr>
              <w:pStyle w:val="TableText"/>
            </w:pPr>
            <w:r w:rsidRPr="009911FF">
              <w:rPr>
                <w:b/>
                <w:bCs/>
              </w:rPr>
              <w:t>Revenue Vehicles</w:t>
            </w:r>
            <w:r>
              <w:br/>
            </w:r>
            <w:r w:rsidR="00664DFA" w:rsidRPr="00C779BE">
              <w:t>Age - % of revenue vehicles within a particular asset class that have met or exceeded their ULB</w:t>
            </w:r>
          </w:p>
        </w:tc>
        <w:tc>
          <w:tcPr>
            <w:tcW w:w="2984" w:type="dxa"/>
          </w:tcPr>
          <w:p w14:paraId="2B74E016" w14:textId="77777777" w:rsidR="00664DFA" w:rsidRPr="00C779BE" w:rsidRDefault="00664DFA" w:rsidP="003C32B3">
            <w:pPr>
              <w:pStyle w:val="TableText"/>
            </w:pPr>
            <w:r w:rsidRPr="00C779BE">
              <w:t>Articulated Bus</w:t>
            </w:r>
          </w:p>
        </w:tc>
        <w:tc>
          <w:tcPr>
            <w:tcW w:w="1483" w:type="dxa"/>
          </w:tcPr>
          <w:p w14:paraId="3DC56DEE" w14:textId="77777777" w:rsidR="00664DFA" w:rsidRPr="00C779BE" w:rsidRDefault="00664DFA" w:rsidP="003C32B3">
            <w:pPr>
              <w:pStyle w:val="TableText"/>
              <w:jc w:val="center"/>
            </w:pPr>
            <w:r w:rsidRPr="00C779BE">
              <w:t>X</w:t>
            </w:r>
          </w:p>
        </w:tc>
        <w:tc>
          <w:tcPr>
            <w:tcW w:w="1491" w:type="dxa"/>
          </w:tcPr>
          <w:p w14:paraId="5A17174E" w14:textId="77777777" w:rsidR="00664DFA" w:rsidRPr="00C779BE" w:rsidRDefault="00664DFA" w:rsidP="003C32B3">
            <w:pPr>
              <w:pStyle w:val="TableText"/>
              <w:jc w:val="center"/>
            </w:pPr>
            <w:r w:rsidRPr="00C779BE">
              <w:t>%</w:t>
            </w:r>
          </w:p>
        </w:tc>
      </w:tr>
      <w:tr w:rsidR="00664DFA" w:rsidRPr="00C779BE" w14:paraId="5E68688F" w14:textId="77777777" w:rsidTr="00B354C8">
        <w:trPr>
          <w:trHeight w:val="144"/>
        </w:trPr>
        <w:tc>
          <w:tcPr>
            <w:tcW w:w="3690" w:type="dxa"/>
            <w:vMerge/>
            <w:shd w:val="clear" w:color="auto" w:fill="BCE0FC" w:themeFill="accent1" w:themeFillTint="33"/>
          </w:tcPr>
          <w:p w14:paraId="0A0E5015" w14:textId="77777777" w:rsidR="00664DFA" w:rsidRPr="00C779BE" w:rsidRDefault="00664DFA" w:rsidP="003C32B3">
            <w:pPr>
              <w:pStyle w:val="TableText"/>
            </w:pPr>
          </w:p>
        </w:tc>
        <w:tc>
          <w:tcPr>
            <w:tcW w:w="2984" w:type="dxa"/>
          </w:tcPr>
          <w:p w14:paraId="6222E5E2" w14:textId="77777777" w:rsidR="00664DFA" w:rsidRPr="00C779BE" w:rsidRDefault="00664DFA" w:rsidP="003C32B3">
            <w:pPr>
              <w:pStyle w:val="TableText"/>
            </w:pPr>
            <w:r w:rsidRPr="00C779BE">
              <w:t>Bus</w:t>
            </w:r>
          </w:p>
        </w:tc>
        <w:tc>
          <w:tcPr>
            <w:tcW w:w="1483" w:type="dxa"/>
          </w:tcPr>
          <w:p w14:paraId="6FD9E80A" w14:textId="77777777" w:rsidR="00664DFA" w:rsidRPr="00C779BE" w:rsidRDefault="00664DFA" w:rsidP="003C32B3">
            <w:pPr>
              <w:pStyle w:val="TableText"/>
              <w:jc w:val="center"/>
            </w:pPr>
            <w:r w:rsidRPr="00C779BE">
              <w:t>X</w:t>
            </w:r>
          </w:p>
        </w:tc>
        <w:tc>
          <w:tcPr>
            <w:tcW w:w="1491" w:type="dxa"/>
          </w:tcPr>
          <w:p w14:paraId="15A7B8C7" w14:textId="77777777" w:rsidR="00664DFA" w:rsidRPr="00C779BE" w:rsidRDefault="00664DFA" w:rsidP="003C32B3">
            <w:pPr>
              <w:pStyle w:val="TableText"/>
              <w:jc w:val="center"/>
            </w:pPr>
            <w:r w:rsidRPr="00C779BE">
              <w:t>%</w:t>
            </w:r>
          </w:p>
        </w:tc>
      </w:tr>
      <w:tr w:rsidR="00664DFA" w:rsidRPr="00C779BE" w14:paraId="634312E9" w14:textId="77777777" w:rsidTr="00B354C8">
        <w:trPr>
          <w:trHeight w:val="144"/>
        </w:trPr>
        <w:tc>
          <w:tcPr>
            <w:tcW w:w="3690" w:type="dxa"/>
            <w:vMerge/>
            <w:shd w:val="clear" w:color="auto" w:fill="BCE0FC" w:themeFill="accent1" w:themeFillTint="33"/>
          </w:tcPr>
          <w:p w14:paraId="66800D9D" w14:textId="77777777" w:rsidR="00664DFA" w:rsidRPr="00C779BE" w:rsidRDefault="00664DFA" w:rsidP="003C32B3">
            <w:pPr>
              <w:pStyle w:val="TableText"/>
            </w:pPr>
          </w:p>
        </w:tc>
        <w:tc>
          <w:tcPr>
            <w:tcW w:w="2984" w:type="dxa"/>
          </w:tcPr>
          <w:p w14:paraId="59972DCE" w14:textId="77777777" w:rsidR="00664DFA" w:rsidRPr="00C779BE" w:rsidRDefault="00664DFA" w:rsidP="003C32B3">
            <w:pPr>
              <w:pStyle w:val="TableText"/>
            </w:pPr>
            <w:r w:rsidRPr="00C779BE">
              <w:t>Mini-Bus</w:t>
            </w:r>
          </w:p>
        </w:tc>
        <w:tc>
          <w:tcPr>
            <w:tcW w:w="1483" w:type="dxa"/>
          </w:tcPr>
          <w:p w14:paraId="17C515A6" w14:textId="77777777" w:rsidR="00664DFA" w:rsidRPr="00C779BE" w:rsidRDefault="00664DFA" w:rsidP="003C32B3">
            <w:pPr>
              <w:pStyle w:val="TableText"/>
              <w:jc w:val="center"/>
            </w:pPr>
            <w:r w:rsidRPr="00C779BE">
              <w:t>X</w:t>
            </w:r>
          </w:p>
        </w:tc>
        <w:tc>
          <w:tcPr>
            <w:tcW w:w="1491" w:type="dxa"/>
          </w:tcPr>
          <w:p w14:paraId="7EDC44A9" w14:textId="77777777" w:rsidR="00664DFA" w:rsidRPr="00C779BE" w:rsidRDefault="00664DFA" w:rsidP="003C32B3">
            <w:pPr>
              <w:pStyle w:val="TableText"/>
              <w:jc w:val="center"/>
            </w:pPr>
            <w:r w:rsidRPr="00C779BE">
              <w:t>%</w:t>
            </w:r>
          </w:p>
        </w:tc>
      </w:tr>
      <w:tr w:rsidR="00664DFA" w:rsidRPr="00C779BE" w14:paraId="40925F21" w14:textId="77777777" w:rsidTr="00B354C8">
        <w:trPr>
          <w:trHeight w:val="144"/>
        </w:trPr>
        <w:tc>
          <w:tcPr>
            <w:tcW w:w="3690" w:type="dxa"/>
            <w:vMerge/>
            <w:shd w:val="clear" w:color="auto" w:fill="BCE0FC" w:themeFill="accent1" w:themeFillTint="33"/>
          </w:tcPr>
          <w:p w14:paraId="1F3956E1" w14:textId="77777777" w:rsidR="00664DFA" w:rsidRPr="00C779BE" w:rsidRDefault="00664DFA" w:rsidP="003C32B3">
            <w:pPr>
              <w:pStyle w:val="TableText"/>
            </w:pPr>
          </w:p>
        </w:tc>
        <w:tc>
          <w:tcPr>
            <w:tcW w:w="2984" w:type="dxa"/>
          </w:tcPr>
          <w:p w14:paraId="75C6AE3B" w14:textId="77777777" w:rsidR="00664DFA" w:rsidRPr="00C779BE" w:rsidRDefault="00664DFA" w:rsidP="003C32B3">
            <w:pPr>
              <w:pStyle w:val="TableText"/>
            </w:pPr>
            <w:r w:rsidRPr="00C779BE">
              <w:t>Van</w:t>
            </w:r>
          </w:p>
        </w:tc>
        <w:tc>
          <w:tcPr>
            <w:tcW w:w="1483" w:type="dxa"/>
          </w:tcPr>
          <w:p w14:paraId="62170BFC" w14:textId="77777777" w:rsidR="00664DFA" w:rsidRPr="00C779BE" w:rsidRDefault="00664DFA" w:rsidP="003C32B3">
            <w:pPr>
              <w:pStyle w:val="TableText"/>
              <w:jc w:val="center"/>
            </w:pPr>
            <w:r w:rsidRPr="00C779BE">
              <w:t>X</w:t>
            </w:r>
          </w:p>
        </w:tc>
        <w:tc>
          <w:tcPr>
            <w:tcW w:w="1491" w:type="dxa"/>
          </w:tcPr>
          <w:p w14:paraId="2933BACF" w14:textId="77777777" w:rsidR="00664DFA" w:rsidRPr="00C779BE" w:rsidRDefault="00664DFA" w:rsidP="003C32B3">
            <w:pPr>
              <w:pStyle w:val="TableText"/>
              <w:jc w:val="center"/>
            </w:pPr>
            <w:r w:rsidRPr="00C779BE">
              <w:t>%</w:t>
            </w:r>
          </w:p>
        </w:tc>
      </w:tr>
      <w:tr w:rsidR="00664DFA" w:rsidRPr="00C779BE" w14:paraId="77457C9F" w14:textId="77777777" w:rsidTr="00B354C8">
        <w:trPr>
          <w:trHeight w:val="144"/>
        </w:trPr>
        <w:tc>
          <w:tcPr>
            <w:tcW w:w="3690" w:type="dxa"/>
            <w:vMerge/>
            <w:shd w:val="clear" w:color="auto" w:fill="BCE0FC" w:themeFill="accent1" w:themeFillTint="33"/>
          </w:tcPr>
          <w:p w14:paraId="4A585D37" w14:textId="77777777" w:rsidR="00664DFA" w:rsidRPr="00C779BE" w:rsidRDefault="00664DFA" w:rsidP="003C32B3">
            <w:pPr>
              <w:pStyle w:val="TableText"/>
            </w:pPr>
          </w:p>
        </w:tc>
        <w:tc>
          <w:tcPr>
            <w:tcW w:w="2984" w:type="dxa"/>
          </w:tcPr>
          <w:p w14:paraId="3AFCD3DC" w14:textId="77777777" w:rsidR="00664DFA" w:rsidRPr="00C779BE" w:rsidRDefault="00664DFA" w:rsidP="003C32B3">
            <w:pPr>
              <w:pStyle w:val="TableText"/>
            </w:pPr>
            <w:r w:rsidRPr="00C779BE">
              <w:t>Etc.</w:t>
            </w:r>
          </w:p>
        </w:tc>
        <w:tc>
          <w:tcPr>
            <w:tcW w:w="1483" w:type="dxa"/>
          </w:tcPr>
          <w:p w14:paraId="10586056" w14:textId="77777777" w:rsidR="00664DFA" w:rsidRPr="00C779BE" w:rsidRDefault="00664DFA" w:rsidP="003C32B3">
            <w:pPr>
              <w:pStyle w:val="TableText"/>
              <w:jc w:val="center"/>
            </w:pPr>
            <w:r w:rsidRPr="00C779BE">
              <w:t>X</w:t>
            </w:r>
          </w:p>
        </w:tc>
        <w:tc>
          <w:tcPr>
            <w:tcW w:w="1491" w:type="dxa"/>
          </w:tcPr>
          <w:p w14:paraId="29748CAC" w14:textId="77777777" w:rsidR="00664DFA" w:rsidRPr="00C779BE" w:rsidRDefault="00664DFA" w:rsidP="003C32B3">
            <w:pPr>
              <w:pStyle w:val="TableText"/>
              <w:jc w:val="center"/>
            </w:pPr>
            <w:r w:rsidRPr="00C779BE">
              <w:t>%</w:t>
            </w:r>
          </w:p>
        </w:tc>
      </w:tr>
      <w:tr w:rsidR="00664DFA" w:rsidRPr="00C779BE" w14:paraId="458C36B8" w14:textId="77777777" w:rsidTr="00B354C8">
        <w:trPr>
          <w:trHeight w:val="144"/>
        </w:trPr>
        <w:tc>
          <w:tcPr>
            <w:tcW w:w="3690" w:type="dxa"/>
            <w:vMerge w:val="restart"/>
            <w:shd w:val="clear" w:color="auto" w:fill="BCE0FC" w:themeFill="accent1" w:themeFillTint="33"/>
          </w:tcPr>
          <w:p w14:paraId="5D4981C6" w14:textId="4ECC7C39" w:rsidR="00664DFA" w:rsidRPr="00C779BE" w:rsidRDefault="009911FF" w:rsidP="002B54F2">
            <w:pPr>
              <w:pStyle w:val="TableText"/>
              <w:keepNext/>
            </w:pPr>
            <w:r w:rsidRPr="009911FF">
              <w:rPr>
                <w:b/>
                <w:bCs/>
              </w:rPr>
              <w:lastRenderedPageBreak/>
              <w:t>Equipment</w:t>
            </w:r>
            <w:r>
              <w:br/>
            </w:r>
            <w:r w:rsidR="00664DFA" w:rsidRPr="00C779BE">
              <w:t>Age - % of non-revenue vehicles within a particular asset class that have met or exceeded their ULB</w:t>
            </w:r>
          </w:p>
        </w:tc>
        <w:tc>
          <w:tcPr>
            <w:tcW w:w="2984" w:type="dxa"/>
          </w:tcPr>
          <w:p w14:paraId="680464B7" w14:textId="77777777" w:rsidR="00664DFA" w:rsidRPr="00C779BE" w:rsidRDefault="00664DFA" w:rsidP="002B54F2">
            <w:pPr>
              <w:pStyle w:val="TableText"/>
              <w:keepNext/>
            </w:pPr>
            <w:r w:rsidRPr="00C779BE">
              <w:t>Non-Revenue/Service Automobile</w:t>
            </w:r>
          </w:p>
        </w:tc>
        <w:tc>
          <w:tcPr>
            <w:tcW w:w="1483" w:type="dxa"/>
          </w:tcPr>
          <w:p w14:paraId="0B98ADE1" w14:textId="77777777" w:rsidR="00664DFA" w:rsidRPr="00C779BE" w:rsidRDefault="00664DFA" w:rsidP="002B54F2">
            <w:pPr>
              <w:pStyle w:val="TableText"/>
              <w:keepNext/>
              <w:jc w:val="center"/>
            </w:pPr>
            <w:r w:rsidRPr="00C779BE">
              <w:t>X</w:t>
            </w:r>
          </w:p>
        </w:tc>
        <w:tc>
          <w:tcPr>
            <w:tcW w:w="1491" w:type="dxa"/>
          </w:tcPr>
          <w:p w14:paraId="7B534BB4" w14:textId="77777777" w:rsidR="00664DFA" w:rsidRPr="00C779BE" w:rsidRDefault="00664DFA" w:rsidP="002B54F2">
            <w:pPr>
              <w:pStyle w:val="TableText"/>
              <w:keepNext/>
              <w:jc w:val="center"/>
            </w:pPr>
            <w:r w:rsidRPr="00C779BE">
              <w:t>%</w:t>
            </w:r>
          </w:p>
        </w:tc>
      </w:tr>
      <w:tr w:rsidR="00664DFA" w:rsidRPr="00C779BE" w14:paraId="44511FCD" w14:textId="77777777" w:rsidTr="00B354C8">
        <w:trPr>
          <w:trHeight w:val="144"/>
        </w:trPr>
        <w:tc>
          <w:tcPr>
            <w:tcW w:w="3690" w:type="dxa"/>
            <w:vMerge/>
            <w:shd w:val="clear" w:color="auto" w:fill="BCE0FC" w:themeFill="accent1" w:themeFillTint="33"/>
          </w:tcPr>
          <w:p w14:paraId="2F1C1446" w14:textId="77777777" w:rsidR="00664DFA" w:rsidRPr="00C779BE" w:rsidRDefault="00664DFA" w:rsidP="003C32B3">
            <w:pPr>
              <w:pStyle w:val="TableText"/>
            </w:pPr>
          </w:p>
        </w:tc>
        <w:tc>
          <w:tcPr>
            <w:tcW w:w="2984" w:type="dxa"/>
          </w:tcPr>
          <w:p w14:paraId="63429CB1" w14:textId="77777777" w:rsidR="00664DFA" w:rsidRPr="00C779BE" w:rsidRDefault="00664DFA" w:rsidP="003C32B3">
            <w:pPr>
              <w:pStyle w:val="TableText"/>
            </w:pPr>
            <w:r w:rsidRPr="00C779BE">
              <w:t>Trucks and other Rubber Tire Vehicles</w:t>
            </w:r>
          </w:p>
        </w:tc>
        <w:tc>
          <w:tcPr>
            <w:tcW w:w="1483" w:type="dxa"/>
          </w:tcPr>
          <w:p w14:paraId="0D821549" w14:textId="77777777" w:rsidR="00664DFA" w:rsidRPr="00C779BE" w:rsidRDefault="00664DFA" w:rsidP="003C32B3">
            <w:pPr>
              <w:pStyle w:val="TableText"/>
              <w:jc w:val="center"/>
            </w:pPr>
            <w:r w:rsidRPr="00C779BE">
              <w:t>X</w:t>
            </w:r>
          </w:p>
        </w:tc>
        <w:tc>
          <w:tcPr>
            <w:tcW w:w="1491" w:type="dxa"/>
          </w:tcPr>
          <w:p w14:paraId="527742F9" w14:textId="77777777" w:rsidR="00664DFA" w:rsidRPr="00C779BE" w:rsidRDefault="00664DFA" w:rsidP="003C32B3">
            <w:pPr>
              <w:pStyle w:val="TableText"/>
              <w:jc w:val="center"/>
            </w:pPr>
            <w:r w:rsidRPr="00C779BE">
              <w:t>%</w:t>
            </w:r>
          </w:p>
        </w:tc>
      </w:tr>
      <w:tr w:rsidR="00664DFA" w:rsidRPr="00C779BE" w14:paraId="21191ADF" w14:textId="77777777" w:rsidTr="00B354C8">
        <w:trPr>
          <w:trHeight w:val="144"/>
        </w:trPr>
        <w:tc>
          <w:tcPr>
            <w:tcW w:w="3690" w:type="dxa"/>
            <w:vMerge/>
            <w:shd w:val="clear" w:color="auto" w:fill="BCE0FC" w:themeFill="accent1" w:themeFillTint="33"/>
          </w:tcPr>
          <w:p w14:paraId="773DD10A" w14:textId="77777777" w:rsidR="00664DFA" w:rsidRPr="00C779BE" w:rsidRDefault="00664DFA" w:rsidP="003C32B3">
            <w:pPr>
              <w:pStyle w:val="TableText"/>
            </w:pPr>
          </w:p>
        </w:tc>
        <w:tc>
          <w:tcPr>
            <w:tcW w:w="2984" w:type="dxa"/>
          </w:tcPr>
          <w:p w14:paraId="1989571C" w14:textId="77777777" w:rsidR="00664DFA" w:rsidRPr="00C779BE" w:rsidRDefault="00664DFA" w:rsidP="003C32B3">
            <w:pPr>
              <w:pStyle w:val="TableText"/>
            </w:pPr>
            <w:r w:rsidRPr="00C779BE">
              <w:t>Maintenance Equipment</w:t>
            </w:r>
          </w:p>
        </w:tc>
        <w:tc>
          <w:tcPr>
            <w:tcW w:w="1483" w:type="dxa"/>
          </w:tcPr>
          <w:p w14:paraId="44DF84FE" w14:textId="77777777" w:rsidR="00664DFA" w:rsidRPr="00C779BE" w:rsidRDefault="00664DFA" w:rsidP="003C32B3">
            <w:pPr>
              <w:pStyle w:val="TableText"/>
              <w:jc w:val="center"/>
            </w:pPr>
            <w:r w:rsidRPr="00C779BE">
              <w:t>X</w:t>
            </w:r>
          </w:p>
        </w:tc>
        <w:tc>
          <w:tcPr>
            <w:tcW w:w="1491" w:type="dxa"/>
          </w:tcPr>
          <w:p w14:paraId="4DFDEA7A" w14:textId="77777777" w:rsidR="00664DFA" w:rsidRPr="00C779BE" w:rsidRDefault="00664DFA" w:rsidP="003C32B3">
            <w:pPr>
              <w:pStyle w:val="TableText"/>
              <w:jc w:val="center"/>
            </w:pPr>
            <w:r w:rsidRPr="00C779BE">
              <w:t>%</w:t>
            </w:r>
          </w:p>
        </w:tc>
      </w:tr>
      <w:tr w:rsidR="00664DFA" w:rsidRPr="00C779BE" w14:paraId="63862290" w14:textId="77777777" w:rsidTr="00B354C8">
        <w:trPr>
          <w:trHeight w:val="144"/>
        </w:trPr>
        <w:tc>
          <w:tcPr>
            <w:tcW w:w="3690" w:type="dxa"/>
            <w:vMerge/>
            <w:shd w:val="clear" w:color="auto" w:fill="BCE0FC" w:themeFill="accent1" w:themeFillTint="33"/>
          </w:tcPr>
          <w:p w14:paraId="5B289A9A" w14:textId="77777777" w:rsidR="00664DFA" w:rsidRPr="00C779BE" w:rsidRDefault="00664DFA" w:rsidP="003C32B3">
            <w:pPr>
              <w:pStyle w:val="TableText"/>
            </w:pPr>
          </w:p>
        </w:tc>
        <w:tc>
          <w:tcPr>
            <w:tcW w:w="2984" w:type="dxa"/>
          </w:tcPr>
          <w:p w14:paraId="3FBFEBA0" w14:textId="77777777" w:rsidR="00664DFA" w:rsidRPr="00C779BE" w:rsidRDefault="00664DFA" w:rsidP="003C32B3">
            <w:pPr>
              <w:pStyle w:val="TableText"/>
            </w:pPr>
            <w:r w:rsidRPr="00C779BE">
              <w:t>Etc.</w:t>
            </w:r>
          </w:p>
        </w:tc>
        <w:tc>
          <w:tcPr>
            <w:tcW w:w="1483" w:type="dxa"/>
          </w:tcPr>
          <w:p w14:paraId="40BF1F42" w14:textId="77777777" w:rsidR="00664DFA" w:rsidRPr="00C779BE" w:rsidRDefault="00664DFA" w:rsidP="003C32B3">
            <w:pPr>
              <w:pStyle w:val="TableText"/>
              <w:jc w:val="center"/>
            </w:pPr>
            <w:r w:rsidRPr="00C779BE">
              <w:t>X</w:t>
            </w:r>
          </w:p>
        </w:tc>
        <w:tc>
          <w:tcPr>
            <w:tcW w:w="1491" w:type="dxa"/>
          </w:tcPr>
          <w:p w14:paraId="7F1F0169" w14:textId="77777777" w:rsidR="00664DFA" w:rsidRPr="00C779BE" w:rsidRDefault="00664DFA" w:rsidP="003C32B3">
            <w:pPr>
              <w:pStyle w:val="TableText"/>
              <w:jc w:val="center"/>
            </w:pPr>
            <w:r w:rsidRPr="00C779BE">
              <w:t>%</w:t>
            </w:r>
          </w:p>
        </w:tc>
      </w:tr>
      <w:tr w:rsidR="00664DFA" w:rsidRPr="00C779BE" w14:paraId="59F44E8E" w14:textId="77777777" w:rsidTr="00B354C8">
        <w:trPr>
          <w:trHeight w:val="320"/>
        </w:trPr>
        <w:tc>
          <w:tcPr>
            <w:tcW w:w="3690" w:type="dxa"/>
            <w:vMerge w:val="restart"/>
            <w:shd w:val="clear" w:color="auto" w:fill="BCE0FC" w:themeFill="accent1" w:themeFillTint="33"/>
          </w:tcPr>
          <w:p w14:paraId="0E2B9F10" w14:textId="4FE8D639" w:rsidR="00664DFA" w:rsidRPr="00C779BE" w:rsidRDefault="009911FF" w:rsidP="003C32B3">
            <w:pPr>
              <w:pStyle w:val="TableText"/>
            </w:pPr>
            <w:r w:rsidRPr="009911FF">
              <w:rPr>
                <w:b/>
                <w:bCs/>
              </w:rPr>
              <w:t>Infrastructure</w:t>
            </w:r>
            <w:r>
              <w:br/>
            </w:r>
            <w:r w:rsidR="00664DFA" w:rsidRPr="00C779BE">
              <w:t xml:space="preserve">% of track segments with performance restrictions </w:t>
            </w:r>
            <w:r w:rsidR="00664DFA" w:rsidRPr="00B354C8">
              <w:rPr>
                <w:i/>
                <w:iCs/>
              </w:rPr>
              <w:t>(applicable only for Tier I providers)</w:t>
            </w:r>
          </w:p>
        </w:tc>
        <w:tc>
          <w:tcPr>
            <w:tcW w:w="2984" w:type="dxa"/>
            <w:vAlign w:val="center"/>
          </w:tcPr>
          <w:p w14:paraId="3A81EA27" w14:textId="77777777" w:rsidR="00664DFA" w:rsidRPr="00C779BE" w:rsidRDefault="00664DFA" w:rsidP="004E6DBC">
            <w:pPr>
              <w:pStyle w:val="TableText"/>
            </w:pPr>
            <w:r w:rsidRPr="00C779BE">
              <w:t>Guideway Elements</w:t>
            </w:r>
          </w:p>
        </w:tc>
        <w:tc>
          <w:tcPr>
            <w:tcW w:w="1483" w:type="dxa"/>
            <w:vAlign w:val="center"/>
          </w:tcPr>
          <w:p w14:paraId="25009CA2" w14:textId="77777777" w:rsidR="00664DFA" w:rsidRPr="00C779BE" w:rsidRDefault="00664DFA" w:rsidP="004E6DBC">
            <w:pPr>
              <w:pStyle w:val="TableText"/>
              <w:jc w:val="center"/>
            </w:pPr>
            <w:r w:rsidRPr="00C779BE">
              <w:t>X</w:t>
            </w:r>
          </w:p>
        </w:tc>
        <w:tc>
          <w:tcPr>
            <w:tcW w:w="1491" w:type="dxa"/>
            <w:vAlign w:val="center"/>
          </w:tcPr>
          <w:p w14:paraId="2385AAC0" w14:textId="77777777" w:rsidR="00664DFA" w:rsidRPr="00C779BE" w:rsidRDefault="00664DFA" w:rsidP="004E6DBC">
            <w:pPr>
              <w:pStyle w:val="TableText"/>
              <w:jc w:val="center"/>
            </w:pPr>
            <w:r w:rsidRPr="00C779BE">
              <w:t>%</w:t>
            </w:r>
          </w:p>
        </w:tc>
      </w:tr>
      <w:tr w:rsidR="00664DFA" w:rsidRPr="00C779BE" w14:paraId="7270CF8F" w14:textId="77777777" w:rsidTr="00B354C8">
        <w:trPr>
          <w:trHeight w:val="320"/>
        </w:trPr>
        <w:tc>
          <w:tcPr>
            <w:tcW w:w="3690" w:type="dxa"/>
            <w:vMerge/>
            <w:shd w:val="clear" w:color="auto" w:fill="BCE0FC" w:themeFill="accent1" w:themeFillTint="33"/>
          </w:tcPr>
          <w:p w14:paraId="0C769061" w14:textId="77777777" w:rsidR="00664DFA" w:rsidRPr="00C779BE" w:rsidRDefault="00664DFA" w:rsidP="003C32B3">
            <w:pPr>
              <w:pStyle w:val="TableText"/>
            </w:pPr>
          </w:p>
        </w:tc>
        <w:tc>
          <w:tcPr>
            <w:tcW w:w="2984" w:type="dxa"/>
            <w:vAlign w:val="center"/>
          </w:tcPr>
          <w:p w14:paraId="3B8D9734" w14:textId="77777777" w:rsidR="00664DFA" w:rsidRPr="00C779BE" w:rsidRDefault="00664DFA" w:rsidP="004E6DBC">
            <w:pPr>
              <w:pStyle w:val="TableText"/>
            </w:pPr>
            <w:r w:rsidRPr="00C779BE">
              <w:t>Power &amp; Signal Elements</w:t>
            </w:r>
          </w:p>
        </w:tc>
        <w:tc>
          <w:tcPr>
            <w:tcW w:w="1483" w:type="dxa"/>
            <w:vAlign w:val="center"/>
          </w:tcPr>
          <w:p w14:paraId="41EE880C" w14:textId="77777777" w:rsidR="00664DFA" w:rsidRPr="00C779BE" w:rsidRDefault="00664DFA" w:rsidP="004E6DBC">
            <w:pPr>
              <w:pStyle w:val="TableText"/>
              <w:jc w:val="center"/>
            </w:pPr>
            <w:r w:rsidRPr="00C779BE">
              <w:t>X</w:t>
            </w:r>
          </w:p>
        </w:tc>
        <w:tc>
          <w:tcPr>
            <w:tcW w:w="1491" w:type="dxa"/>
            <w:vAlign w:val="center"/>
          </w:tcPr>
          <w:p w14:paraId="76E60C3F" w14:textId="77777777" w:rsidR="00664DFA" w:rsidRPr="00C779BE" w:rsidRDefault="00664DFA" w:rsidP="004E6DBC">
            <w:pPr>
              <w:pStyle w:val="TableText"/>
              <w:jc w:val="center"/>
            </w:pPr>
            <w:r w:rsidRPr="00C779BE">
              <w:t>%</w:t>
            </w:r>
          </w:p>
        </w:tc>
      </w:tr>
      <w:tr w:rsidR="00664DFA" w:rsidRPr="00C779BE" w14:paraId="29CA114E" w14:textId="77777777" w:rsidTr="00B354C8">
        <w:trPr>
          <w:trHeight w:val="321"/>
        </w:trPr>
        <w:tc>
          <w:tcPr>
            <w:tcW w:w="3690" w:type="dxa"/>
            <w:vMerge/>
            <w:shd w:val="clear" w:color="auto" w:fill="BCE0FC" w:themeFill="accent1" w:themeFillTint="33"/>
          </w:tcPr>
          <w:p w14:paraId="6CD798C2" w14:textId="77777777" w:rsidR="00664DFA" w:rsidRPr="00C779BE" w:rsidRDefault="00664DFA" w:rsidP="003C32B3">
            <w:pPr>
              <w:pStyle w:val="TableText"/>
            </w:pPr>
          </w:p>
        </w:tc>
        <w:tc>
          <w:tcPr>
            <w:tcW w:w="2984" w:type="dxa"/>
            <w:vAlign w:val="center"/>
          </w:tcPr>
          <w:p w14:paraId="260C3567" w14:textId="77777777" w:rsidR="00664DFA" w:rsidRPr="00C779BE" w:rsidRDefault="00664DFA" w:rsidP="004E6DBC">
            <w:pPr>
              <w:pStyle w:val="TableText"/>
            </w:pPr>
            <w:r w:rsidRPr="00C779BE">
              <w:t>Track Elements</w:t>
            </w:r>
          </w:p>
        </w:tc>
        <w:tc>
          <w:tcPr>
            <w:tcW w:w="1483" w:type="dxa"/>
            <w:vAlign w:val="center"/>
          </w:tcPr>
          <w:p w14:paraId="3D696BB0" w14:textId="77777777" w:rsidR="00664DFA" w:rsidRPr="00C779BE" w:rsidRDefault="00664DFA" w:rsidP="004E6DBC">
            <w:pPr>
              <w:pStyle w:val="TableText"/>
              <w:jc w:val="center"/>
            </w:pPr>
            <w:r w:rsidRPr="00C779BE">
              <w:t>X</w:t>
            </w:r>
          </w:p>
        </w:tc>
        <w:tc>
          <w:tcPr>
            <w:tcW w:w="1491" w:type="dxa"/>
            <w:vAlign w:val="center"/>
          </w:tcPr>
          <w:p w14:paraId="10550C6B" w14:textId="77777777" w:rsidR="00664DFA" w:rsidRPr="00C779BE" w:rsidRDefault="00664DFA" w:rsidP="004E6DBC">
            <w:pPr>
              <w:pStyle w:val="TableText"/>
              <w:jc w:val="center"/>
            </w:pPr>
            <w:r w:rsidRPr="00C779BE">
              <w:t>%</w:t>
            </w:r>
          </w:p>
        </w:tc>
      </w:tr>
      <w:tr w:rsidR="00664DFA" w:rsidRPr="00C779BE" w14:paraId="02C624F0" w14:textId="77777777" w:rsidTr="00B354C8">
        <w:trPr>
          <w:trHeight w:val="144"/>
        </w:trPr>
        <w:tc>
          <w:tcPr>
            <w:tcW w:w="3690" w:type="dxa"/>
            <w:vMerge w:val="restart"/>
            <w:shd w:val="clear" w:color="auto" w:fill="BCE0FC" w:themeFill="accent1" w:themeFillTint="33"/>
          </w:tcPr>
          <w:p w14:paraId="117ACA48" w14:textId="70BD2676" w:rsidR="00664DFA" w:rsidRPr="00C779BE" w:rsidRDefault="009911FF" w:rsidP="003C32B3">
            <w:pPr>
              <w:pStyle w:val="TableText"/>
            </w:pPr>
            <w:r w:rsidRPr="009911FF">
              <w:rPr>
                <w:b/>
                <w:bCs/>
              </w:rPr>
              <w:t>Facilities</w:t>
            </w:r>
            <w:r>
              <w:br/>
            </w:r>
            <w:r w:rsidR="00664DFA" w:rsidRPr="00C779BE">
              <w:t>Condition - % of facilities with a condition rating below 3.0 on the FTA Transit Economic Requirements Model (TERM) Scale</w:t>
            </w:r>
          </w:p>
        </w:tc>
        <w:tc>
          <w:tcPr>
            <w:tcW w:w="2984" w:type="dxa"/>
          </w:tcPr>
          <w:p w14:paraId="2EAEE9AC" w14:textId="77777777" w:rsidR="00664DFA" w:rsidRPr="00C779BE" w:rsidRDefault="00664DFA" w:rsidP="003C32B3">
            <w:pPr>
              <w:pStyle w:val="TableText"/>
            </w:pPr>
            <w:r w:rsidRPr="00C779BE">
              <w:t>Administration</w:t>
            </w:r>
          </w:p>
        </w:tc>
        <w:tc>
          <w:tcPr>
            <w:tcW w:w="1483" w:type="dxa"/>
          </w:tcPr>
          <w:p w14:paraId="07474A33" w14:textId="77777777" w:rsidR="00664DFA" w:rsidRPr="00C779BE" w:rsidRDefault="00664DFA" w:rsidP="003C32B3">
            <w:pPr>
              <w:pStyle w:val="TableText"/>
              <w:jc w:val="center"/>
            </w:pPr>
            <w:r w:rsidRPr="00C779BE">
              <w:t>n/a</w:t>
            </w:r>
          </w:p>
        </w:tc>
        <w:tc>
          <w:tcPr>
            <w:tcW w:w="1491" w:type="dxa"/>
          </w:tcPr>
          <w:p w14:paraId="54F62A6B" w14:textId="77777777" w:rsidR="00664DFA" w:rsidRPr="00C779BE" w:rsidRDefault="00664DFA" w:rsidP="003C32B3">
            <w:pPr>
              <w:pStyle w:val="TableText"/>
              <w:jc w:val="center"/>
            </w:pPr>
            <w:r w:rsidRPr="00C779BE">
              <w:t>%</w:t>
            </w:r>
          </w:p>
        </w:tc>
      </w:tr>
      <w:tr w:rsidR="00664DFA" w:rsidRPr="00C779BE" w14:paraId="2550916A" w14:textId="77777777" w:rsidTr="00B354C8">
        <w:trPr>
          <w:trHeight w:val="144"/>
        </w:trPr>
        <w:tc>
          <w:tcPr>
            <w:tcW w:w="3690" w:type="dxa"/>
            <w:vMerge/>
            <w:shd w:val="clear" w:color="auto" w:fill="BCE0FC" w:themeFill="accent1" w:themeFillTint="33"/>
          </w:tcPr>
          <w:p w14:paraId="0683CB68" w14:textId="77777777" w:rsidR="00664DFA" w:rsidRPr="00C779BE" w:rsidRDefault="00664DFA" w:rsidP="003C32B3">
            <w:pPr>
              <w:pStyle w:val="TableText"/>
            </w:pPr>
          </w:p>
        </w:tc>
        <w:tc>
          <w:tcPr>
            <w:tcW w:w="2984" w:type="dxa"/>
          </w:tcPr>
          <w:p w14:paraId="091EFB73" w14:textId="77777777" w:rsidR="00664DFA" w:rsidRPr="00C779BE" w:rsidRDefault="00664DFA" w:rsidP="003C32B3">
            <w:pPr>
              <w:pStyle w:val="TableText"/>
            </w:pPr>
            <w:r w:rsidRPr="00C779BE">
              <w:t>Maintenance</w:t>
            </w:r>
          </w:p>
        </w:tc>
        <w:tc>
          <w:tcPr>
            <w:tcW w:w="1483" w:type="dxa"/>
          </w:tcPr>
          <w:p w14:paraId="04A12AC3" w14:textId="77777777" w:rsidR="00664DFA" w:rsidRPr="00C779BE" w:rsidRDefault="00664DFA" w:rsidP="003C32B3">
            <w:pPr>
              <w:pStyle w:val="TableText"/>
              <w:jc w:val="center"/>
            </w:pPr>
            <w:r w:rsidRPr="00C779BE">
              <w:t>n/a</w:t>
            </w:r>
          </w:p>
        </w:tc>
        <w:tc>
          <w:tcPr>
            <w:tcW w:w="1491" w:type="dxa"/>
          </w:tcPr>
          <w:p w14:paraId="35F223B4" w14:textId="77777777" w:rsidR="00664DFA" w:rsidRPr="00C779BE" w:rsidRDefault="00664DFA" w:rsidP="003C32B3">
            <w:pPr>
              <w:pStyle w:val="TableText"/>
              <w:jc w:val="center"/>
            </w:pPr>
            <w:r w:rsidRPr="00C779BE">
              <w:t>%</w:t>
            </w:r>
          </w:p>
        </w:tc>
      </w:tr>
      <w:tr w:rsidR="00664DFA" w:rsidRPr="00C779BE" w14:paraId="58593F97" w14:textId="77777777" w:rsidTr="00B354C8">
        <w:trPr>
          <w:trHeight w:val="144"/>
        </w:trPr>
        <w:tc>
          <w:tcPr>
            <w:tcW w:w="3690" w:type="dxa"/>
            <w:vMerge/>
            <w:shd w:val="clear" w:color="auto" w:fill="BCE0FC" w:themeFill="accent1" w:themeFillTint="33"/>
          </w:tcPr>
          <w:p w14:paraId="1EE762AE" w14:textId="77777777" w:rsidR="00664DFA" w:rsidRPr="00C779BE" w:rsidRDefault="00664DFA" w:rsidP="003C32B3">
            <w:pPr>
              <w:pStyle w:val="TableText"/>
            </w:pPr>
          </w:p>
        </w:tc>
        <w:tc>
          <w:tcPr>
            <w:tcW w:w="2984" w:type="dxa"/>
          </w:tcPr>
          <w:p w14:paraId="2DC17884" w14:textId="77777777" w:rsidR="00664DFA" w:rsidRPr="00C779BE" w:rsidRDefault="00664DFA" w:rsidP="003C32B3">
            <w:pPr>
              <w:pStyle w:val="TableText"/>
            </w:pPr>
            <w:r w:rsidRPr="00C779BE">
              <w:t>Parking Structures</w:t>
            </w:r>
          </w:p>
        </w:tc>
        <w:tc>
          <w:tcPr>
            <w:tcW w:w="1483" w:type="dxa"/>
          </w:tcPr>
          <w:p w14:paraId="7239287B" w14:textId="77777777" w:rsidR="00664DFA" w:rsidRPr="00C779BE" w:rsidRDefault="00664DFA" w:rsidP="003C32B3">
            <w:pPr>
              <w:pStyle w:val="TableText"/>
              <w:jc w:val="center"/>
            </w:pPr>
            <w:r w:rsidRPr="00C779BE">
              <w:t>n/a</w:t>
            </w:r>
          </w:p>
        </w:tc>
        <w:tc>
          <w:tcPr>
            <w:tcW w:w="1491" w:type="dxa"/>
          </w:tcPr>
          <w:p w14:paraId="15D2F04C" w14:textId="77777777" w:rsidR="00664DFA" w:rsidRPr="00C779BE" w:rsidRDefault="00664DFA" w:rsidP="003C32B3">
            <w:pPr>
              <w:pStyle w:val="TableText"/>
              <w:jc w:val="center"/>
            </w:pPr>
            <w:r w:rsidRPr="00C779BE">
              <w:t>%</w:t>
            </w:r>
          </w:p>
        </w:tc>
      </w:tr>
      <w:tr w:rsidR="00664DFA" w:rsidRPr="00C779BE" w14:paraId="457F3F1F" w14:textId="77777777" w:rsidTr="00B354C8">
        <w:trPr>
          <w:trHeight w:val="144"/>
        </w:trPr>
        <w:tc>
          <w:tcPr>
            <w:tcW w:w="3690" w:type="dxa"/>
            <w:vMerge/>
            <w:shd w:val="clear" w:color="auto" w:fill="BCE0FC" w:themeFill="accent1" w:themeFillTint="33"/>
          </w:tcPr>
          <w:p w14:paraId="72E97598" w14:textId="77777777" w:rsidR="00664DFA" w:rsidRPr="00C779BE" w:rsidRDefault="00664DFA" w:rsidP="003C32B3">
            <w:pPr>
              <w:pStyle w:val="TableText"/>
            </w:pPr>
          </w:p>
        </w:tc>
        <w:tc>
          <w:tcPr>
            <w:tcW w:w="2984" w:type="dxa"/>
          </w:tcPr>
          <w:p w14:paraId="01513E16" w14:textId="77777777" w:rsidR="00664DFA" w:rsidRPr="00C779BE" w:rsidRDefault="00664DFA" w:rsidP="003C32B3">
            <w:pPr>
              <w:pStyle w:val="TableText"/>
            </w:pPr>
            <w:r w:rsidRPr="00C779BE">
              <w:t>Passenger Facilities</w:t>
            </w:r>
          </w:p>
        </w:tc>
        <w:tc>
          <w:tcPr>
            <w:tcW w:w="1483" w:type="dxa"/>
          </w:tcPr>
          <w:p w14:paraId="24C77AD5" w14:textId="77777777" w:rsidR="00664DFA" w:rsidRPr="00C779BE" w:rsidRDefault="00664DFA" w:rsidP="003C32B3">
            <w:pPr>
              <w:pStyle w:val="TableText"/>
              <w:jc w:val="center"/>
            </w:pPr>
            <w:r w:rsidRPr="00C779BE">
              <w:t>n/a</w:t>
            </w:r>
          </w:p>
        </w:tc>
        <w:tc>
          <w:tcPr>
            <w:tcW w:w="1491" w:type="dxa"/>
          </w:tcPr>
          <w:p w14:paraId="13BFF0A2" w14:textId="77777777" w:rsidR="00664DFA" w:rsidRPr="00C779BE" w:rsidRDefault="00664DFA" w:rsidP="003C32B3">
            <w:pPr>
              <w:pStyle w:val="TableText"/>
              <w:jc w:val="center"/>
            </w:pPr>
            <w:r w:rsidRPr="00C779BE">
              <w:t>%</w:t>
            </w:r>
          </w:p>
        </w:tc>
      </w:tr>
      <w:tr w:rsidR="00664DFA" w:rsidRPr="00C779BE" w14:paraId="69773334" w14:textId="77777777" w:rsidTr="00B354C8">
        <w:trPr>
          <w:trHeight w:val="144"/>
        </w:trPr>
        <w:tc>
          <w:tcPr>
            <w:tcW w:w="3690" w:type="dxa"/>
            <w:vMerge/>
            <w:shd w:val="clear" w:color="auto" w:fill="BCE0FC" w:themeFill="accent1" w:themeFillTint="33"/>
          </w:tcPr>
          <w:p w14:paraId="3DA5564D" w14:textId="77777777" w:rsidR="00664DFA" w:rsidRPr="00C779BE" w:rsidRDefault="00664DFA" w:rsidP="003C32B3">
            <w:pPr>
              <w:pStyle w:val="TableText"/>
            </w:pPr>
          </w:p>
        </w:tc>
        <w:tc>
          <w:tcPr>
            <w:tcW w:w="2984" w:type="dxa"/>
          </w:tcPr>
          <w:p w14:paraId="0AEC9574" w14:textId="77777777" w:rsidR="00664DFA" w:rsidRPr="00C779BE" w:rsidRDefault="00664DFA" w:rsidP="003C32B3">
            <w:pPr>
              <w:pStyle w:val="TableText"/>
            </w:pPr>
            <w:r w:rsidRPr="00C779BE">
              <w:t>Shelter</w:t>
            </w:r>
          </w:p>
        </w:tc>
        <w:tc>
          <w:tcPr>
            <w:tcW w:w="1483" w:type="dxa"/>
          </w:tcPr>
          <w:p w14:paraId="312E2F93" w14:textId="77777777" w:rsidR="00664DFA" w:rsidRPr="00C779BE" w:rsidRDefault="00664DFA" w:rsidP="003C32B3">
            <w:pPr>
              <w:pStyle w:val="TableText"/>
              <w:jc w:val="center"/>
            </w:pPr>
            <w:r w:rsidRPr="00C779BE">
              <w:t>n/a</w:t>
            </w:r>
          </w:p>
        </w:tc>
        <w:tc>
          <w:tcPr>
            <w:tcW w:w="1491" w:type="dxa"/>
          </w:tcPr>
          <w:p w14:paraId="53E3E93A" w14:textId="77777777" w:rsidR="00664DFA" w:rsidRPr="00C779BE" w:rsidRDefault="00664DFA" w:rsidP="003C32B3">
            <w:pPr>
              <w:pStyle w:val="TableText"/>
              <w:jc w:val="center"/>
            </w:pPr>
            <w:r w:rsidRPr="00C779BE">
              <w:t>%</w:t>
            </w:r>
          </w:p>
        </w:tc>
      </w:tr>
      <w:tr w:rsidR="00664DFA" w:rsidRPr="00C779BE" w14:paraId="32D3EBAC" w14:textId="77777777" w:rsidTr="00B354C8">
        <w:trPr>
          <w:trHeight w:val="144"/>
        </w:trPr>
        <w:tc>
          <w:tcPr>
            <w:tcW w:w="3690" w:type="dxa"/>
            <w:vMerge/>
            <w:shd w:val="clear" w:color="auto" w:fill="BCE0FC" w:themeFill="accent1" w:themeFillTint="33"/>
          </w:tcPr>
          <w:p w14:paraId="1CF449A1" w14:textId="77777777" w:rsidR="00664DFA" w:rsidRPr="00C779BE" w:rsidRDefault="00664DFA" w:rsidP="003C32B3">
            <w:pPr>
              <w:pStyle w:val="TableText"/>
            </w:pPr>
          </w:p>
        </w:tc>
        <w:tc>
          <w:tcPr>
            <w:tcW w:w="2984" w:type="dxa"/>
          </w:tcPr>
          <w:p w14:paraId="62B96301" w14:textId="77777777" w:rsidR="00664DFA" w:rsidRPr="00C779BE" w:rsidRDefault="00664DFA" w:rsidP="003C32B3">
            <w:pPr>
              <w:pStyle w:val="TableText"/>
            </w:pPr>
            <w:r w:rsidRPr="00C779BE">
              <w:t>Storage</w:t>
            </w:r>
          </w:p>
        </w:tc>
        <w:tc>
          <w:tcPr>
            <w:tcW w:w="1483" w:type="dxa"/>
          </w:tcPr>
          <w:p w14:paraId="7D17FC12" w14:textId="77777777" w:rsidR="00664DFA" w:rsidRPr="00C779BE" w:rsidRDefault="00664DFA" w:rsidP="003C32B3">
            <w:pPr>
              <w:pStyle w:val="TableText"/>
              <w:jc w:val="center"/>
            </w:pPr>
            <w:r w:rsidRPr="00C779BE">
              <w:t>n/a</w:t>
            </w:r>
          </w:p>
        </w:tc>
        <w:tc>
          <w:tcPr>
            <w:tcW w:w="1491" w:type="dxa"/>
          </w:tcPr>
          <w:p w14:paraId="1C2E2F29" w14:textId="77777777" w:rsidR="00664DFA" w:rsidRPr="00C779BE" w:rsidRDefault="00664DFA" w:rsidP="003C32B3">
            <w:pPr>
              <w:pStyle w:val="TableText"/>
              <w:jc w:val="center"/>
            </w:pPr>
            <w:r w:rsidRPr="00C779BE">
              <w:t>%</w:t>
            </w:r>
          </w:p>
        </w:tc>
      </w:tr>
      <w:tr w:rsidR="00664DFA" w:rsidRPr="00C779BE" w14:paraId="4791AB94" w14:textId="77777777" w:rsidTr="00B354C8">
        <w:trPr>
          <w:trHeight w:val="144"/>
        </w:trPr>
        <w:tc>
          <w:tcPr>
            <w:tcW w:w="3690" w:type="dxa"/>
            <w:vMerge/>
            <w:shd w:val="clear" w:color="auto" w:fill="BCE0FC" w:themeFill="accent1" w:themeFillTint="33"/>
          </w:tcPr>
          <w:p w14:paraId="0704ECAC" w14:textId="77777777" w:rsidR="00664DFA" w:rsidRPr="00C779BE" w:rsidRDefault="00664DFA" w:rsidP="003C32B3">
            <w:pPr>
              <w:pStyle w:val="TableText"/>
            </w:pPr>
          </w:p>
        </w:tc>
        <w:tc>
          <w:tcPr>
            <w:tcW w:w="2984" w:type="dxa"/>
          </w:tcPr>
          <w:p w14:paraId="62F82506" w14:textId="77777777" w:rsidR="00664DFA" w:rsidRPr="00C779BE" w:rsidRDefault="00664DFA" w:rsidP="003C32B3">
            <w:pPr>
              <w:pStyle w:val="TableText"/>
            </w:pPr>
            <w:r w:rsidRPr="00C779BE">
              <w:t>Etc.</w:t>
            </w:r>
          </w:p>
        </w:tc>
        <w:tc>
          <w:tcPr>
            <w:tcW w:w="1483" w:type="dxa"/>
          </w:tcPr>
          <w:p w14:paraId="64B14D44" w14:textId="77777777" w:rsidR="00664DFA" w:rsidRPr="00C779BE" w:rsidRDefault="00664DFA" w:rsidP="003C32B3">
            <w:pPr>
              <w:pStyle w:val="TableText"/>
              <w:jc w:val="center"/>
            </w:pPr>
            <w:r w:rsidRPr="00C779BE">
              <w:t>n/a</w:t>
            </w:r>
          </w:p>
        </w:tc>
        <w:tc>
          <w:tcPr>
            <w:tcW w:w="1491" w:type="dxa"/>
          </w:tcPr>
          <w:p w14:paraId="00EE0DBD" w14:textId="77777777" w:rsidR="00664DFA" w:rsidRPr="00C779BE" w:rsidRDefault="00664DFA" w:rsidP="003C32B3">
            <w:pPr>
              <w:pStyle w:val="TableText"/>
              <w:jc w:val="center"/>
            </w:pPr>
            <w:r w:rsidRPr="00C779BE">
              <w:t>%</w:t>
            </w:r>
          </w:p>
        </w:tc>
      </w:tr>
    </w:tbl>
    <w:p w14:paraId="7DB38C5A" w14:textId="4824CC5C" w:rsidR="00664DFA" w:rsidRPr="00AF274C" w:rsidRDefault="00FE6C7E" w:rsidP="009911FF">
      <w:pPr>
        <w:pStyle w:val="BodyText"/>
        <w:spacing w:before="240"/>
      </w:pPr>
      <w:r w:rsidRPr="00486407">
        <w:rPr>
          <w:b/>
          <w:bCs/>
        </w:rPr>
        <w:t>Sample language</w:t>
      </w:r>
      <w:r w:rsidRPr="00486407">
        <w:t>:</w:t>
      </w:r>
      <w:r w:rsidRPr="00AF274C">
        <w:t xml:space="preserve"> </w:t>
      </w:r>
      <w:r w:rsidR="00664DFA" w:rsidRPr="00AF274C">
        <w:t xml:space="preserve">The MPO’s TAM targets reflect the targets established by </w:t>
      </w:r>
      <w:r w:rsidR="008A1C96" w:rsidRPr="00AF274C">
        <w:t>the</w:t>
      </w:r>
      <w:r w:rsidR="00994A8C" w:rsidRPr="00AF274C">
        <w:t xml:space="preserve"> [</w:t>
      </w:r>
      <w:r w:rsidR="00664DFA" w:rsidRPr="00D86A1E">
        <w:rPr>
          <w:i/>
          <w:iCs/>
        </w:rPr>
        <w:t>list names of individual transit providers</w:t>
      </w:r>
      <w:r w:rsidR="008A1C96" w:rsidRPr="00D86A1E">
        <w:rPr>
          <w:i/>
          <w:iCs/>
        </w:rPr>
        <w:t xml:space="preserve">(s) and/or those </w:t>
      </w:r>
      <w:r w:rsidR="00664DFA" w:rsidRPr="00D86A1E">
        <w:rPr>
          <w:i/>
          <w:iCs/>
        </w:rPr>
        <w:t>contained in the FDOT Group TAM Plan</w:t>
      </w:r>
      <w:r w:rsidR="00994A8C" w:rsidRPr="00AF274C">
        <w:t>]</w:t>
      </w:r>
      <w:r w:rsidR="00664DFA" w:rsidRPr="00AF274C">
        <w:t>. In establishing the MPO’s TAM targets, [</w:t>
      </w:r>
      <w:r w:rsidR="00664DFA" w:rsidRPr="00AF274C">
        <w:rPr>
          <w:i/>
          <w:iCs/>
          <w:kern w:val="28"/>
        </w:rPr>
        <w:t>MPO name</w:t>
      </w:r>
      <w:r w:rsidR="00664DFA" w:rsidRPr="00AF274C">
        <w:rPr>
          <w:kern w:val="28"/>
        </w:rPr>
        <w:t>]</w:t>
      </w:r>
      <w:r w:rsidR="00664DFA" w:rsidRPr="00AF274C">
        <w:t xml:space="preserve"> considered several factors. </w:t>
      </w:r>
      <w:r w:rsidR="00487243" w:rsidRPr="00AF274C">
        <w:t>[</w:t>
      </w:r>
      <w:r w:rsidR="00D86A1E">
        <w:rPr>
          <w:i/>
          <w:iCs/>
        </w:rPr>
        <w:t>Discuss</w:t>
      </w:r>
      <w:r w:rsidR="00584FB8" w:rsidRPr="00AF274C">
        <w:rPr>
          <w:i/>
          <w:iCs/>
        </w:rPr>
        <w:t xml:space="preserve"> how the MPO established regional targets based on the individual provider and/or Group TAM Plan targets; for example, if there are multiple providers,</w:t>
      </w:r>
      <w:r w:rsidR="00664DFA" w:rsidRPr="00AF274C">
        <w:rPr>
          <w:i/>
          <w:iCs/>
        </w:rPr>
        <w:t xml:space="preserve"> did the MPO weight targets by the relative size of each transit provider’s assets?</w:t>
      </w:r>
      <w:r w:rsidR="00487243" w:rsidRPr="00AF274C">
        <w:t>]</w:t>
      </w:r>
    </w:p>
    <w:p w14:paraId="48DEF63D" w14:textId="77777777" w:rsidR="002B54F2" w:rsidRDefault="002B54F2" w:rsidP="003C32B3">
      <w:pPr>
        <w:spacing w:after="0" w:line="240" w:lineRule="auto"/>
        <w:rPr>
          <w:rFonts w:cs="Calibri"/>
          <w:b/>
          <w:color w:val="000000"/>
          <w:kern w:val="36"/>
          <w:szCs w:val="24"/>
          <w:highlight w:val="yellow"/>
        </w:rPr>
        <w:sectPr w:rsidR="002B54F2" w:rsidSect="002B54F2">
          <w:pgSz w:w="12240" w:h="15840" w:code="1"/>
          <w:pgMar w:top="1440" w:right="1440" w:bottom="1440" w:left="1440" w:header="720" w:footer="720" w:gutter="0"/>
          <w:cols w:space="720"/>
          <w:titlePg/>
          <w:docGrid w:linePitch="360"/>
        </w:sectPr>
      </w:pPr>
    </w:p>
    <w:p w14:paraId="66374534" w14:textId="7AE0E6EA" w:rsidR="00F371CB" w:rsidRPr="00946E89" w:rsidRDefault="00664DFA" w:rsidP="009911FF">
      <w:pPr>
        <w:pStyle w:val="Heading1"/>
      </w:pPr>
      <w:bookmarkStart w:id="15" w:name="_Toc225334708"/>
      <w:r w:rsidRPr="00946E89">
        <w:lastRenderedPageBreak/>
        <w:t>Transit Safety Performance</w:t>
      </w:r>
      <w:r w:rsidR="000E0AF9" w:rsidRPr="00946E89">
        <w:t xml:space="preserve"> Measures</w:t>
      </w:r>
      <w:bookmarkEnd w:id="15"/>
    </w:p>
    <w:p w14:paraId="370EF88A" w14:textId="77777777" w:rsidR="00664DFA" w:rsidRDefault="00664DFA" w:rsidP="009911FF">
      <w:pPr>
        <w:pStyle w:val="BodyText"/>
      </w:pPr>
      <w:r w:rsidRPr="00D62976">
        <w:t xml:space="preserve">FTA’s Public Transportation Agency Safety Plan (PTASP) regulations established transit safety performance management requirements for providers of public transportation systems that receive federal financial assistance under 49 U.S.C. Chapter 53. </w:t>
      </w:r>
    </w:p>
    <w:p w14:paraId="5461A092" w14:textId="4089DE63" w:rsidR="00664DFA" w:rsidRDefault="00484830" w:rsidP="009911FF">
      <w:pPr>
        <w:pStyle w:val="BodyText"/>
      </w:pPr>
      <w:r w:rsidRPr="00D62976">
        <w:t xml:space="preserve">The regulations apply to all public transportation operators receiving FTA Urbanized Area Formula Grant Program funds under 49 U.S.C. Section 5307 or operating a rail transit system subject to FTA’s State Safety Oversight Program. They do not apply to transit modes regulated by other agencies, </w:t>
      </w:r>
      <w:r w:rsidR="00430A48">
        <w:t>such as passenger ferries overseen by the Coast Guard or commuter rail</w:t>
      </w:r>
      <w:r w:rsidRPr="00D62976">
        <w:t xml:space="preserve"> regulated by the Federal Railroad Administration.</w:t>
      </w:r>
    </w:p>
    <w:p w14:paraId="1C58F8CD" w14:textId="6180191B" w:rsidR="00664DFA" w:rsidRPr="00494297" w:rsidRDefault="00310197" w:rsidP="009911FF">
      <w:pPr>
        <w:pStyle w:val="BodyText"/>
      </w:pPr>
      <w:r>
        <w:t xml:space="preserve">Each public transportation provider in Florida that operates under Section 5307 or 5311 must create a System Safety Program Plan (SSPP) </w:t>
      </w:r>
      <w:r w:rsidR="00F1612A">
        <w:t>in accordance with</w:t>
      </w:r>
      <w:r>
        <w:t xml:space="preserve"> Chapter 14-90 of the Florida Administrative Code. FDOT technical guidance recommends that Florida’s transit agencies update their current SSPPs to align with the FTA PTASP requirements.</w:t>
      </w:r>
    </w:p>
    <w:p w14:paraId="573C7E9B" w14:textId="296D5996" w:rsidR="00170AFC" w:rsidRPr="00A36FFC" w:rsidRDefault="00664DFA" w:rsidP="009911FF">
      <w:pPr>
        <w:pStyle w:val="BodyText"/>
      </w:pPr>
      <w:r>
        <w:t xml:space="preserve">Each public transportation provider </w:t>
      </w:r>
      <w:r w:rsidR="00430A48">
        <w:t>subject to the PTASP regulations must certify that its SSPP meets the requirements of</w:t>
      </w:r>
      <w:r>
        <w:t xml:space="preserve"> </w:t>
      </w:r>
      <w:r w:rsidRPr="007D49F7">
        <w:t xml:space="preserve">a </w:t>
      </w:r>
      <w:r>
        <w:t>PTASP, including</w:t>
      </w:r>
      <w:r w:rsidR="003A0B48">
        <w:t xml:space="preserve"> annual</w:t>
      </w:r>
      <w:r>
        <w:t xml:space="preserve"> transit safety targets for the federally required measures. Once the public transportation provider establishes safety targets</w:t>
      </w:r>
      <w:r w:rsidR="00702A79">
        <w:t>,</w:t>
      </w:r>
      <w:r>
        <w:t xml:space="preserve"> it </w:t>
      </w:r>
      <w:r w:rsidRPr="00A3328B">
        <w:t xml:space="preserve">must make </w:t>
      </w:r>
      <w:r w:rsidR="00702A79">
        <w:t>them available to MPOs to aid in planning</w:t>
      </w:r>
      <w:r>
        <w:t xml:space="preserve">. </w:t>
      </w:r>
    </w:p>
    <w:p w14:paraId="50FB9A0E" w14:textId="13BF7B09" w:rsidR="0032437D" w:rsidRPr="00A36FFC" w:rsidRDefault="009765DB" w:rsidP="005F1059">
      <w:pPr>
        <w:pStyle w:val="Heading2"/>
      </w:pPr>
      <w:r w:rsidRPr="00A36FFC">
        <w:t xml:space="preserve">Transit Agency </w:t>
      </w:r>
      <w:r w:rsidR="0032437D" w:rsidRPr="00A36FFC">
        <w:t>Timeline</w:t>
      </w:r>
      <w:r w:rsidRPr="00A36FFC">
        <w:t xml:space="preserve"> and Reporting</w:t>
      </w:r>
    </w:p>
    <w:p w14:paraId="1DB7D7C2" w14:textId="6DF32C0B" w:rsidR="0032437D" w:rsidRDefault="008A33E8" w:rsidP="009911FF">
      <w:pPr>
        <w:pStyle w:val="BodyText"/>
      </w:pPr>
      <w:r w:rsidRPr="00A36FFC">
        <w:t xml:space="preserve">Public transportation providers must set and report </w:t>
      </w:r>
      <w:r w:rsidR="00127A50" w:rsidRPr="00A36FFC">
        <w:t>safety</w:t>
      </w:r>
      <w:r w:rsidRPr="00A36FFC">
        <w:t xml:space="preserve"> targets each year for the upcoming fiscal year. Each provider or its sponsors must share these targets with every MPO where the provider’s projects and services are included in the MPO’s TIP. </w:t>
      </w:r>
    </w:p>
    <w:p w14:paraId="3EB629F5" w14:textId="3048D169" w:rsidR="00664DFA" w:rsidRDefault="00845797" w:rsidP="009911FF">
      <w:pPr>
        <w:pStyle w:val="BodyText"/>
      </w:pPr>
      <w:r w:rsidRPr="00486407">
        <w:rPr>
          <w:b/>
          <w:bCs/>
        </w:rPr>
        <w:t xml:space="preserve">Sample language: </w:t>
      </w:r>
      <w:r w:rsidR="00664DFA" w:rsidRPr="00A36FFC">
        <w:t>The [</w:t>
      </w:r>
      <w:r w:rsidR="00664DFA" w:rsidRPr="00A36FFC">
        <w:rPr>
          <w:i/>
          <w:iCs/>
        </w:rPr>
        <w:t>name of transit agency or agencies</w:t>
      </w:r>
      <w:r w:rsidR="00664DFA" w:rsidRPr="00A36FFC">
        <w:t xml:space="preserve">] established transit safety targets identified in </w:t>
      </w:r>
      <w:r w:rsidR="00F127FC">
        <w:t>[</w:t>
      </w:r>
      <w:r w:rsidR="00F127FC" w:rsidRPr="00F127FC">
        <w:rPr>
          <w:i/>
          <w:iCs/>
        </w:rPr>
        <w:t>transit plan name</w:t>
      </w:r>
      <w:r w:rsidR="00F127FC">
        <w:t xml:space="preserve">] </w:t>
      </w:r>
      <w:r w:rsidR="00664DFA" w:rsidRPr="00A36FFC">
        <w:t>on [</w:t>
      </w:r>
      <w:r w:rsidR="00664DFA" w:rsidRPr="00A36FFC">
        <w:rPr>
          <w:i/>
          <w:iCs/>
        </w:rPr>
        <w:t>insert date</w:t>
      </w:r>
      <w:r w:rsidR="00664DFA" w:rsidRPr="00A36FFC">
        <w:t>]:</w:t>
      </w:r>
    </w:p>
    <w:p w14:paraId="2ACC932C" w14:textId="77777777" w:rsidR="00B8664F" w:rsidRDefault="0050638A" w:rsidP="009911FF">
      <w:pPr>
        <w:pStyle w:val="BodyText"/>
      </w:pPr>
      <w:r w:rsidRPr="009911FF">
        <w:rPr>
          <w:i/>
          <w:iCs/>
        </w:rPr>
        <w:t>[</w:t>
      </w:r>
      <w:r w:rsidR="00664DFA" w:rsidRPr="009911FF">
        <w:rPr>
          <w:i/>
          <w:iCs/>
        </w:rPr>
        <w:t>Include</w:t>
      </w:r>
      <w:r w:rsidR="00664DFA" w:rsidRPr="00A36FFC">
        <w:t xml:space="preserve"> </w:t>
      </w:r>
      <w:r w:rsidRPr="009911FF">
        <w:rPr>
          <w:i/>
          <w:iCs/>
        </w:rPr>
        <w:t>table below</w:t>
      </w:r>
      <w:r w:rsidR="00664DFA" w:rsidRPr="009911FF">
        <w:rPr>
          <w:i/>
          <w:iCs/>
        </w:rPr>
        <w:t xml:space="preserve"> to list the transit safety targets established by the transit provider(s)</w:t>
      </w:r>
      <w:r w:rsidR="003E4618" w:rsidRPr="009911FF">
        <w:rPr>
          <w:i/>
          <w:iCs/>
        </w:rPr>
        <w:t>]</w:t>
      </w:r>
      <w:r w:rsidR="00664DFA" w:rsidRPr="009911FF">
        <w:rPr>
          <w:i/>
          <w:iCs/>
        </w:rPr>
        <w:t>.</w:t>
      </w:r>
    </w:p>
    <w:p w14:paraId="6D7482E1" w14:textId="0E24AA83" w:rsidR="00664DFA" w:rsidRPr="009911FF" w:rsidRDefault="00B8664F" w:rsidP="009911FF">
      <w:pPr>
        <w:pStyle w:val="BodyText"/>
        <w:rPr>
          <w:i/>
          <w:iCs/>
          <w:color w:val="000000"/>
          <w:kern w:val="36"/>
        </w:rPr>
      </w:pPr>
      <w:r w:rsidRPr="009911FF">
        <w:rPr>
          <w:i/>
          <w:iCs/>
        </w:rPr>
        <w:t>[</w:t>
      </w:r>
      <w:r w:rsidR="00E91805" w:rsidRPr="009911FF">
        <w:rPr>
          <w:i/>
          <w:iCs/>
        </w:rPr>
        <w:t>T</w:t>
      </w:r>
      <w:r w:rsidR="00664DFA" w:rsidRPr="009911FF">
        <w:rPr>
          <w:i/>
          <w:iCs/>
        </w:rPr>
        <w:t xml:space="preserve">he MPO should adapt the table to their specific situation. If more than one provider in the MPO area </w:t>
      </w:r>
      <w:r w:rsidR="00C13A77" w:rsidRPr="009911FF">
        <w:rPr>
          <w:i/>
          <w:iCs/>
        </w:rPr>
        <w:t xml:space="preserve">has </w:t>
      </w:r>
      <w:r w:rsidR="00664DFA" w:rsidRPr="009911FF">
        <w:rPr>
          <w:i/>
          <w:iCs/>
        </w:rPr>
        <w:t xml:space="preserve">established transit safety targets, the MPO may include a separate table for each provider or one table that combines the providers, as shown in the example below. Because transit safety targets are established by transit mode, the table may include additional modes not shown below or may list fewer modes. Transit providers also choose the units </w:t>
      </w:r>
      <w:r w:rsidR="008F51E8" w:rsidRPr="009911FF">
        <w:rPr>
          <w:i/>
          <w:iCs/>
        </w:rPr>
        <w:t xml:space="preserve">used to express </w:t>
      </w:r>
      <w:r w:rsidR="002E16CF" w:rsidRPr="009911FF">
        <w:rPr>
          <w:i/>
          <w:iCs/>
        </w:rPr>
        <w:t>fatality</w:t>
      </w:r>
      <w:r w:rsidR="008F51E8" w:rsidRPr="009911FF">
        <w:rPr>
          <w:i/>
          <w:iCs/>
        </w:rPr>
        <w:t>, injury</w:t>
      </w:r>
      <w:r w:rsidR="00664DFA" w:rsidRPr="009911FF">
        <w:rPr>
          <w:i/>
          <w:iCs/>
        </w:rPr>
        <w:t xml:space="preserve">, and safety </w:t>
      </w:r>
      <w:r w:rsidR="00F1612A" w:rsidRPr="009911FF">
        <w:rPr>
          <w:i/>
          <w:iCs/>
        </w:rPr>
        <w:t>event</w:t>
      </w:r>
      <w:r w:rsidR="00664DFA" w:rsidRPr="009911FF">
        <w:rPr>
          <w:i/>
          <w:iCs/>
        </w:rPr>
        <w:t xml:space="preserve"> rate measures. For example, a provider may use total annual vehicle revenue miles (VRM) or per 100,000 VRM. The units should be specified in the table. </w:t>
      </w:r>
      <w:r w:rsidR="00664DFA" w:rsidRPr="009911FF">
        <w:rPr>
          <w:i/>
          <w:iCs/>
          <w:color w:val="000000"/>
          <w:kern w:val="36"/>
        </w:rPr>
        <w:t xml:space="preserve">The MPO </w:t>
      </w:r>
      <w:r w:rsidR="00342563" w:rsidRPr="009911FF">
        <w:rPr>
          <w:i/>
          <w:iCs/>
          <w:color w:val="000000"/>
          <w:kern w:val="36"/>
        </w:rPr>
        <w:t xml:space="preserve">may </w:t>
      </w:r>
      <w:r w:rsidR="00664DFA" w:rsidRPr="009911FF">
        <w:rPr>
          <w:i/>
          <w:iCs/>
          <w:color w:val="000000"/>
          <w:kern w:val="36"/>
        </w:rPr>
        <w:t>also include relevant details from the provider’s PTASP.</w:t>
      </w:r>
      <w:r w:rsidR="00845797" w:rsidRPr="009911FF">
        <w:rPr>
          <w:i/>
          <w:iCs/>
          <w:color w:val="000000"/>
          <w:kern w:val="36"/>
        </w:rPr>
        <w:t>]</w:t>
      </w:r>
    </w:p>
    <w:p w14:paraId="536C0F76" w14:textId="3087045E" w:rsidR="00775EF9" w:rsidRDefault="00775EF9" w:rsidP="00486407">
      <w:pPr>
        <w:pStyle w:val="Caption"/>
      </w:pPr>
      <w:bookmarkStart w:id="16" w:name="_Toc223951444"/>
      <w:r w:rsidRPr="00AD528C">
        <w:lastRenderedPageBreak/>
        <w:t>Transit Safety Targets for Transit Provider</w:t>
      </w:r>
      <w:bookmarkEnd w:id="16"/>
      <w:r w:rsidR="006213FB">
        <w:t xml:space="preserve"> [</w:t>
      </w:r>
      <w:r w:rsidR="006213FB" w:rsidRPr="006213FB">
        <w:rPr>
          <w:i/>
          <w:iCs/>
        </w:rPr>
        <w:t>Example</w:t>
      </w:r>
      <w:r w:rsidR="006213FB">
        <w:t>]</w:t>
      </w:r>
    </w:p>
    <w:tbl>
      <w:tblPr>
        <w:tblStyle w:val="Style1"/>
        <w:tblW w:w="9360" w:type="dxa"/>
        <w:tblLayout w:type="fixed"/>
        <w:tblCellMar>
          <w:left w:w="58" w:type="dxa"/>
          <w:right w:w="58" w:type="dxa"/>
        </w:tblCellMar>
        <w:tblLook w:val="01E0" w:firstRow="1" w:lastRow="1" w:firstColumn="1" w:lastColumn="1" w:noHBand="0" w:noVBand="0"/>
      </w:tblPr>
      <w:tblGrid>
        <w:gridCol w:w="1080"/>
        <w:gridCol w:w="1710"/>
        <w:gridCol w:w="990"/>
        <w:gridCol w:w="990"/>
        <w:gridCol w:w="900"/>
        <w:gridCol w:w="900"/>
        <w:gridCol w:w="900"/>
        <w:gridCol w:w="810"/>
        <w:gridCol w:w="1080"/>
      </w:tblGrid>
      <w:tr w:rsidR="004E6DBC" w:rsidRPr="008A2DFD" w14:paraId="0916D44D" w14:textId="77777777" w:rsidTr="002B54F2">
        <w:trPr>
          <w:cnfStyle w:val="100000000000" w:firstRow="1" w:lastRow="0" w:firstColumn="0" w:lastColumn="0" w:oddVBand="0" w:evenVBand="0" w:oddHBand="0" w:evenHBand="0" w:firstRowFirstColumn="0" w:firstRowLastColumn="0" w:lastRowFirstColumn="0" w:lastRowLastColumn="0"/>
          <w:tblHeader/>
        </w:trPr>
        <w:tc>
          <w:tcPr>
            <w:tcW w:w="1080" w:type="dxa"/>
            <w:vAlign w:val="bottom"/>
          </w:tcPr>
          <w:p w14:paraId="513E44D0" w14:textId="735A40B5" w:rsidR="004E6DBC" w:rsidRDefault="004E6DBC" w:rsidP="004E6DBC">
            <w:pPr>
              <w:pStyle w:val="TableHead"/>
              <w:spacing w:before="0"/>
            </w:pPr>
            <w:r>
              <w:t>Transit Provider</w:t>
            </w:r>
          </w:p>
        </w:tc>
        <w:tc>
          <w:tcPr>
            <w:tcW w:w="1710" w:type="dxa"/>
            <w:vAlign w:val="bottom"/>
          </w:tcPr>
          <w:p w14:paraId="59498471" w14:textId="109C24D9" w:rsidR="004E6DBC" w:rsidRPr="008A2DFD" w:rsidRDefault="004E6DBC" w:rsidP="00A1337B">
            <w:pPr>
              <w:pStyle w:val="TableHead"/>
              <w:spacing w:before="0"/>
              <w:jc w:val="center"/>
            </w:pPr>
            <w:r>
              <w:t>Transit Mode</w:t>
            </w:r>
          </w:p>
        </w:tc>
        <w:tc>
          <w:tcPr>
            <w:tcW w:w="990" w:type="dxa"/>
            <w:vAlign w:val="bottom"/>
          </w:tcPr>
          <w:p w14:paraId="746ACC19" w14:textId="77777777" w:rsidR="004E6DBC" w:rsidRPr="008A2DFD" w:rsidRDefault="004E6DBC" w:rsidP="003C32B3">
            <w:pPr>
              <w:pStyle w:val="TableHead"/>
              <w:spacing w:before="0"/>
              <w:jc w:val="center"/>
            </w:pPr>
            <w:r>
              <w:t>Fatalities (total)</w:t>
            </w:r>
          </w:p>
        </w:tc>
        <w:tc>
          <w:tcPr>
            <w:tcW w:w="990" w:type="dxa"/>
            <w:vAlign w:val="bottom"/>
          </w:tcPr>
          <w:p w14:paraId="4024CE3F" w14:textId="77777777" w:rsidR="004E6DBC" w:rsidRPr="008A2DFD" w:rsidRDefault="004E6DBC" w:rsidP="003C32B3">
            <w:pPr>
              <w:pStyle w:val="TableHead"/>
              <w:spacing w:before="0"/>
              <w:jc w:val="center"/>
            </w:pPr>
            <w:r>
              <w:t>Fatalities (rate)</w:t>
            </w:r>
          </w:p>
        </w:tc>
        <w:tc>
          <w:tcPr>
            <w:tcW w:w="900" w:type="dxa"/>
            <w:vAlign w:val="bottom"/>
          </w:tcPr>
          <w:p w14:paraId="5F0927C4" w14:textId="77777777" w:rsidR="004E6DBC" w:rsidRPr="008A2DFD" w:rsidRDefault="004E6DBC" w:rsidP="003C32B3">
            <w:pPr>
              <w:pStyle w:val="TableHead"/>
              <w:spacing w:before="0"/>
              <w:jc w:val="center"/>
            </w:pPr>
            <w:r>
              <w:t>Injuries (total)</w:t>
            </w:r>
          </w:p>
        </w:tc>
        <w:tc>
          <w:tcPr>
            <w:tcW w:w="900" w:type="dxa"/>
            <w:vAlign w:val="bottom"/>
          </w:tcPr>
          <w:p w14:paraId="7D478515" w14:textId="77777777" w:rsidR="004E6DBC" w:rsidRPr="008A2DFD" w:rsidRDefault="004E6DBC" w:rsidP="003C32B3">
            <w:pPr>
              <w:pStyle w:val="TableHead"/>
              <w:spacing w:before="0"/>
              <w:jc w:val="center"/>
            </w:pPr>
            <w:r>
              <w:t>Injuries (rate)</w:t>
            </w:r>
          </w:p>
        </w:tc>
        <w:tc>
          <w:tcPr>
            <w:tcW w:w="900" w:type="dxa"/>
            <w:vAlign w:val="bottom"/>
          </w:tcPr>
          <w:p w14:paraId="3BC972A3" w14:textId="77777777" w:rsidR="004E6DBC" w:rsidRPr="008A2DFD" w:rsidRDefault="004E6DBC" w:rsidP="003C32B3">
            <w:pPr>
              <w:pStyle w:val="TableHead"/>
              <w:spacing w:before="0"/>
              <w:jc w:val="center"/>
            </w:pPr>
            <w:r>
              <w:t>Safety Events (total)</w:t>
            </w:r>
          </w:p>
        </w:tc>
        <w:tc>
          <w:tcPr>
            <w:tcW w:w="810" w:type="dxa"/>
            <w:vAlign w:val="bottom"/>
          </w:tcPr>
          <w:p w14:paraId="3A3FA25E" w14:textId="77777777" w:rsidR="004E6DBC" w:rsidRPr="008A2DFD" w:rsidRDefault="004E6DBC" w:rsidP="003C32B3">
            <w:pPr>
              <w:pStyle w:val="TableHead"/>
              <w:spacing w:before="0"/>
              <w:jc w:val="center"/>
            </w:pPr>
            <w:r>
              <w:t>Safety Events (rate)</w:t>
            </w:r>
          </w:p>
        </w:tc>
        <w:tc>
          <w:tcPr>
            <w:tcW w:w="1080" w:type="dxa"/>
            <w:vAlign w:val="bottom"/>
          </w:tcPr>
          <w:p w14:paraId="3644D11B" w14:textId="77777777" w:rsidR="004E6DBC" w:rsidRPr="008A2DFD" w:rsidRDefault="004E6DBC" w:rsidP="003C32B3">
            <w:pPr>
              <w:pStyle w:val="TableHead"/>
              <w:spacing w:before="0"/>
              <w:jc w:val="center"/>
            </w:pPr>
            <w:r>
              <w:t>System Reliability</w:t>
            </w:r>
          </w:p>
        </w:tc>
      </w:tr>
      <w:tr w:rsidR="004E6DBC" w:rsidRPr="008A2DFD" w14:paraId="2CDD9B7E" w14:textId="77777777" w:rsidTr="00B354C8">
        <w:tc>
          <w:tcPr>
            <w:tcW w:w="1080" w:type="dxa"/>
            <w:vMerge w:val="restart"/>
          </w:tcPr>
          <w:p w14:paraId="0770434C" w14:textId="59925F68" w:rsidR="004E6DBC" w:rsidRDefault="004E6DBC" w:rsidP="003C32B3">
            <w:pPr>
              <w:pStyle w:val="TableText"/>
            </w:pPr>
            <w:r>
              <w:t>Transit Provider 1</w:t>
            </w:r>
          </w:p>
        </w:tc>
        <w:tc>
          <w:tcPr>
            <w:tcW w:w="1710" w:type="dxa"/>
          </w:tcPr>
          <w:p w14:paraId="0791ED4F" w14:textId="67501CDD" w:rsidR="004E6DBC" w:rsidRPr="008A2DFD" w:rsidRDefault="004E6DBC" w:rsidP="003C32B3">
            <w:pPr>
              <w:pStyle w:val="TableText"/>
            </w:pPr>
            <w:r>
              <w:t>Fixed Route Bus</w:t>
            </w:r>
          </w:p>
        </w:tc>
        <w:tc>
          <w:tcPr>
            <w:tcW w:w="990" w:type="dxa"/>
          </w:tcPr>
          <w:p w14:paraId="04499458" w14:textId="77777777" w:rsidR="004E6DBC" w:rsidRPr="008A2DFD" w:rsidRDefault="004E6DBC" w:rsidP="003C32B3">
            <w:pPr>
              <w:pStyle w:val="TableText"/>
            </w:pPr>
          </w:p>
        </w:tc>
        <w:tc>
          <w:tcPr>
            <w:tcW w:w="990" w:type="dxa"/>
          </w:tcPr>
          <w:p w14:paraId="15CCA0A1" w14:textId="77777777" w:rsidR="004E6DBC" w:rsidRPr="008A2DFD" w:rsidRDefault="004E6DBC" w:rsidP="003C32B3">
            <w:pPr>
              <w:pStyle w:val="TableText"/>
            </w:pPr>
          </w:p>
        </w:tc>
        <w:tc>
          <w:tcPr>
            <w:tcW w:w="900" w:type="dxa"/>
          </w:tcPr>
          <w:p w14:paraId="663AFDDA" w14:textId="77777777" w:rsidR="004E6DBC" w:rsidRPr="008A2DFD" w:rsidRDefault="004E6DBC" w:rsidP="003C32B3">
            <w:pPr>
              <w:pStyle w:val="TableText"/>
            </w:pPr>
          </w:p>
        </w:tc>
        <w:tc>
          <w:tcPr>
            <w:tcW w:w="900" w:type="dxa"/>
          </w:tcPr>
          <w:p w14:paraId="00298B56" w14:textId="77777777" w:rsidR="004E6DBC" w:rsidRPr="008A2DFD" w:rsidRDefault="004E6DBC" w:rsidP="003C32B3">
            <w:pPr>
              <w:pStyle w:val="TableText"/>
            </w:pPr>
          </w:p>
        </w:tc>
        <w:tc>
          <w:tcPr>
            <w:tcW w:w="900" w:type="dxa"/>
          </w:tcPr>
          <w:p w14:paraId="54D30E60" w14:textId="77777777" w:rsidR="004E6DBC" w:rsidRPr="008A2DFD" w:rsidRDefault="004E6DBC" w:rsidP="003C32B3">
            <w:pPr>
              <w:pStyle w:val="TableText"/>
            </w:pPr>
          </w:p>
        </w:tc>
        <w:tc>
          <w:tcPr>
            <w:tcW w:w="810" w:type="dxa"/>
          </w:tcPr>
          <w:p w14:paraId="3FDB5231" w14:textId="77777777" w:rsidR="004E6DBC" w:rsidRPr="008A2DFD" w:rsidRDefault="004E6DBC" w:rsidP="003C32B3">
            <w:pPr>
              <w:pStyle w:val="TableText"/>
            </w:pPr>
          </w:p>
        </w:tc>
        <w:tc>
          <w:tcPr>
            <w:tcW w:w="1080" w:type="dxa"/>
          </w:tcPr>
          <w:p w14:paraId="5BECF771" w14:textId="77777777" w:rsidR="004E6DBC" w:rsidRPr="008A2DFD" w:rsidRDefault="004E6DBC" w:rsidP="003C32B3">
            <w:pPr>
              <w:pStyle w:val="TableText"/>
            </w:pPr>
          </w:p>
        </w:tc>
      </w:tr>
      <w:tr w:rsidR="004E6DBC" w:rsidRPr="008A2DFD" w14:paraId="15D7B4C3" w14:textId="77777777" w:rsidTr="00B354C8">
        <w:tc>
          <w:tcPr>
            <w:tcW w:w="1080" w:type="dxa"/>
            <w:vMerge/>
          </w:tcPr>
          <w:p w14:paraId="3DD89C84" w14:textId="77777777" w:rsidR="004E6DBC" w:rsidRDefault="004E6DBC" w:rsidP="003C32B3">
            <w:pPr>
              <w:pStyle w:val="TableText"/>
            </w:pPr>
          </w:p>
        </w:tc>
        <w:tc>
          <w:tcPr>
            <w:tcW w:w="1710" w:type="dxa"/>
          </w:tcPr>
          <w:p w14:paraId="4CA30AC3" w14:textId="78D27B7E" w:rsidR="004E6DBC" w:rsidRPr="008A2DFD" w:rsidRDefault="004E6DBC" w:rsidP="003C32B3">
            <w:pPr>
              <w:pStyle w:val="TableText"/>
            </w:pPr>
            <w:r>
              <w:t>Community Bus</w:t>
            </w:r>
          </w:p>
        </w:tc>
        <w:tc>
          <w:tcPr>
            <w:tcW w:w="990" w:type="dxa"/>
          </w:tcPr>
          <w:p w14:paraId="25E0BA73" w14:textId="77777777" w:rsidR="004E6DBC" w:rsidRPr="008A2DFD" w:rsidRDefault="004E6DBC" w:rsidP="003C32B3">
            <w:pPr>
              <w:pStyle w:val="TableText"/>
            </w:pPr>
          </w:p>
        </w:tc>
        <w:tc>
          <w:tcPr>
            <w:tcW w:w="990" w:type="dxa"/>
          </w:tcPr>
          <w:p w14:paraId="395D9EED" w14:textId="77777777" w:rsidR="004E6DBC" w:rsidRPr="008A2DFD" w:rsidRDefault="004E6DBC" w:rsidP="003C32B3">
            <w:pPr>
              <w:pStyle w:val="TableText"/>
            </w:pPr>
          </w:p>
        </w:tc>
        <w:tc>
          <w:tcPr>
            <w:tcW w:w="900" w:type="dxa"/>
          </w:tcPr>
          <w:p w14:paraId="57A6B912" w14:textId="77777777" w:rsidR="004E6DBC" w:rsidRPr="008A2DFD" w:rsidRDefault="004E6DBC" w:rsidP="003C32B3">
            <w:pPr>
              <w:pStyle w:val="TableText"/>
            </w:pPr>
          </w:p>
        </w:tc>
        <w:tc>
          <w:tcPr>
            <w:tcW w:w="900" w:type="dxa"/>
          </w:tcPr>
          <w:p w14:paraId="3216D29D" w14:textId="77777777" w:rsidR="004E6DBC" w:rsidRPr="008A2DFD" w:rsidRDefault="004E6DBC" w:rsidP="003C32B3">
            <w:pPr>
              <w:pStyle w:val="TableText"/>
            </w:pPr>
          </w:p>
        </w:tc>
        <w:tc>
          <w:tcPr>
            <w:tcW w:w="900" w:type="dxa"/>
          </w:tcPr>
          <w:p w14:paraId="309A9A2B" w14:textId="77777777" w:rsidR="004E6DBC" w:rsidRPr="008A2DFD" w:rsidRDefault="004E6DBC" w:rsidP="003C32B3">
            <w:pPr>
              <w:pStyle w:val="TableText"/>
            </w:pPr>
          </w:p>
        </w:tc>
        <w:tc>
          <w:tcPr>
            <w:tcW w:w="810" w:type="dxa"/>
          </w:tcPr>
          <w:p w14:paraId="361921E3" w14:textId="77777777" w:rsidR="004E6DBC" w:rsidRPr="008A2DFD" w:rsidRDefault="004E6DBC" w:rsidP="003C32B3">
            <w:pPr>
              <w:pStyle w:val="TableText"/>
            </w:pPr>
          </w:p>
        </w:tc>
        <w:tc>
          <w:tcPr>
            <w:tcW w:w="1080" w:type="dxa"/>
          </w:tcPr>
          <w:p w14:paraId="7D35D921" w14:textId="77777777" w:rsidR="004E6DBC" w:rsidRPr="008A2DFD" w:rsidRDefault="004E6DBC" w:rsidP="003C32B3">
            <w:pPr>
              <w:pStyle w:val="TableText"/>
            </w:pPr>
          </w:p>
        </w:tc>
      </w:tr>
      <w:tr w:rsidR="004E6DBC" w:rsidRPr="008A2DFD" w14:paraId="353214E2" w14:textId="77777777" w:rsidTr="00B354C8">
        <w:tc>
          <w:tcPr>
            <w:tcW w:w="1080" w:type="dxa"/>
            <w:vMerge/>
          </w:tcPr>
          <w:p w14:paraId="2ACB8633" w14:textId="77777777" w:rsidR="004E6DBC" w:rsidRDefault="004E6DBC" w:rsidP="003C32B3">
            <w:pPr>
              <w:pStyle w:val="TableText"/>
            </w:pPr>
          </w:p>
        </w:tc>
        <w:tc>
          <w:tcPr>
            <w:tcW w:w="1710" w:type="dxa"/>
          </w:tcPr>
          <w:p w14:paraId="0F3E545D" w14:textId="39F944A7" w:rsidR="004E6DBC" w:rsidRPr="008A2DFD" w:rsidRDefault="004E6DBC" w:rsidP="003C32B3">
            <w:pPr>
              <w:pStyle w:val="TableText"/>
            </w:pPr>
            <w:r>
              <w:t>Other…</w:t>
            </w:r>
          </w:p>
        </w:tc>
        <w:tc>
          <w:tcPr>
            <w:tcW w:w="990" w:type="dxa"/>
          </w:tcPr>
          <w:p w14:paraId="65373E1D" w14:textId="77777777" w:rsidR="004E6DBC" w:rsidRPr="008A2DFD" w:rsidRDefault="004E6DBC" w:rsidP="003C32B3">
            <w:pPr>
              <w:pStyle w:val="TableText"/>
            </w:pPr>
          </w:p>
        </w:tc>
        <w:tc>
          <w:tcPr>
            <w:tcW w:w="990" w:type="dxa"/>
          </w:tcPr>
          <w:p w14:paraId="1356BF92" w14:textId="77777777" w:rsidR="004E6DBC" w:rsidRPr="008A2DFD" w:rsidRDefault="004E6DBC" w:rsidP="003C32B3">
            <w:pPr>
              <w:pStyle w:val="TableText"/>
            </w:pPr>
          </w:p>
        </w:tc>
        <w:tc>
          <w:tcPr>
            <w:tcW w:w="900" w:type="dxa"/>
          </w:tcPr>
          <w:p w14:paraId="02000023" w14:textId="77777777" w:rsidR="004E6DBC" w:rsidRPr="008A2DFD" w:rsidRDefault="004E6DBC" w:rsidP="003C32B3">
            <w:pPr>
              <w:pStyle w:val="TableText"/>
            </w:pPr>
          </w:p>
        </w:tc>
        <w:tc>
          <w:tcPr>
            <w:tcW w:w="900" w:type="dxa"/>
          </w:tcPr>
          <w:p w14:paraId="5511E5C0" w14:textId="77777777" w:rsidR="004E6DBC" w:rsidRPr="008A2DFD" w:rsidRDefault="004E6DBC" w:rsidP="003C32B3">
            <w:pPr>
              <w:pStyle w:val="TableText"/>
            </w:pPr>
          </w:p>
        </w:tc>
        <w:tc>
          <w:tcPr>
            <w:tcW w:w="900" w:type="dxa"/>
          </w:tcPr>
          <w:p w14:paraId="2AA7E8F2" w14:textId="77777777" w:rsidR="004E6DBC" w:rsidRPr="008A2DFD" w:rsidRDefault="004E6DBC" w:rsidP="003C32B3">
            <w:pPr>
              <w:pStyle w:val="TableText"/>
            </w:pPr>
          </w:p>
        </w:tc>
        <w:tc>
          <w:tcPr>
            <w:tcW w:w="810" w:type="dxa"/>
          </w:tcPr>
          <w:p w14:paraId="06A04F81" w14:textId="77777777" w:rsidR="004E6DBC" w:rsidRPr="008A2DFD" w:rsidRDefault="004E6DBC" w:rsidP="003C32B3">
            <w:pPr>
              <w:pStyle w:val="TableText"/>
            </w:pPr>
          </w:p>
        </w:tc>
        <w:tc>
          <w:tcPr>
            <w:tcW w:w="1080" w:type="dxa"/>
          </w:tcPr>
          <w:p w14:paraId="4F16B532" w14:textId="77777777" w:rsidR="004E6DBC" w:rsidRPr="008A2DFD" w:rsidRDefault="004E6DBC" w:rsidP="003C32B3">
            <w:pPr>
              <w:pStyle w:val="TableText"/>
            </w:pPr>
          </w:p>
        </w:tc>
      </w:tr>
      <w:tr w:rsidR="004E6DBC" w:rsidRPr="008A2DFD" w14:paraId="0DFD8168" w14:textId="77777777" w:rsidTr="00B354C8">
        <w:tc>
          <w:tcPr>
            <w:tcW w:w="1080" w:type="dxa"/>
            <w:vMerge w:val="restart"/>
          </w:tcPr>
          <w:p w14:paraId="08882B5B" w14:textId="6AF3EFF7" w:rsidR="004E6DBC" w:rsidRDefault="004E6DBC" w:rsidP="003C32B3">
            <w:pPr>
              <w:pStyle w:val="TableText"/>
            </w:pPr>
            <w:r>
              <w:t>Transit Provider 2</w:t>
            </w:r>
          </w:p>
        </w:tc>
        <w:tc>
          <w:tcPr>
            <w:tcW w:w="1710" w:type="dxa"/>
          </w:tcPr>
          <w:p w14:paraId="761E4577" w14:textId="4162DB69" w:rsidR="004E6DBC" w:rsidRPr="008A2DFD" w:rsidRDefault="004E6DBC" w:rsidP="003C32B3">
            <w:pPr>
              <w:pStyle w:val="TableText"/>
            </w:pPr>
            <w:r>
              <w:t>Fixed Route Bus</w:t>
            </w:r>
          </w:p>
        </w:tc>
        <w:tc>
          <w:tcPr>
            <w:tcW w:w="990" w:type="dxa"/>
          </w:tcPr>
          <w:p w14:paraId="025BDA39" w14:textId="77777777" w:rsidR="004E6DBC" w:rsidRPr="008A2DFD" w:rsidRDefault="004E6DBC" w:rsidP="003C32B3">
            <w:pPr>
              <w:pStyle w:val="TableText"/>
            </w:pPr>
          </w:p>
        </w:tc>
        <w:tc>
          <w:tcPr>
            <w:tcW w:w="990" w:type="dxa"/>
          </w:tcPr>
          <w:p w14:paraId="18CF7714" w14:textId="77777777" w:rsidR="004E6DBC" w:rsidRPr="008A2DFD" w:rsidRDefault="004E6DBC" w:rsidP="003C32B3">
            <w:pPr>
              <w:pStyle w:val="TableText"/>
            </w:pPr>
          </w:p>
        </w:tc>
        <w:tc>
          <w:tcPr>
            <w:tcW w:w="900" w:type="dxa"/>
          </w:tcPr>
          <w:p w14:paraId="6A1800D9" w14:textId="77777777" w:rsidR="004E6DBC" w:rsidRPr="008A2DFD" w:rsidRDefault="004E6DBC" w:rsidP="003C32B3">
            <w:pPr>
              <w:pStyle w:val="TableText"/>
            </w:pPr>
          </w:p>
        </w:tc>
        <w:tc>
          <w:tcPr>
            <w:tcW w:w="900" w:type="dxa"/>
          </w:tcPr>
          <w:p w14:paraId="35E579B9" w14:textId="77777777" w:rsidR="004E6DBC" w:rsidRPr="008A2DFD" w:rsidRDefault="004E6DBC" w:rsidP="003C32B3">
            <w:pPr>
              <w:pStyle w:val="TableText"/>
            </w:pPr>
          </w:p>
        </w:tc>
        <w:tc>
          <w:tcPr>
            <w:tcW w:w="900" w:type="dxa"/>
          </w:tcPr>
          <w:p w14:paraId="3F7B6F78" w14:textId="77777777" w:rsidR="004E6DBC" w:rsidRPr="008A2DFD" w:rsidRDefault="004E6DBC" w:rsidP="003C32B3">
            <w:pPr>
              <w:pStyle w:val="TableText"/>
            </w:pPr>
          </w:p>
        </w:tc>
        <w:tc>
          <w:tcPr>
            <w:tcW w:w="810" w:type="dxa"/>
          </w:tcPr>
          <w:p w14:paraId="7D703072" w14:textId="77777777" w:rsidR="004E6DBC" w:rsidRPr="008A2DFD" w:rsidRDefault="004E6DBC" w:rsidP="003C32B3">
            <w:pPr>
              <w:pStyle w:val="TableText"/>
            </w:pPr>
          </w:p>
        </w:tc>
        <w:tc>
          <w:tcPr>
            <w:tcW w:w="1080" w:type="dxa"/>
          </w:tcPr>
          <w:p w14:paraId="53FF8E28" w14:textId="77777777" w:rsidR="004E6DBC" w:rsidRPr="008A2DFD" w:rsidRDefault="004E6DBC" w:rsidP="003C32B3">
            <w:pPr>
              <w:pStyle w:val="TableText"/>
            </w:pPr>
          </w:p>
        </w:tc>
      </w:tr>
      <w:tr w:rsidR="004E6DBC" w:rsidRPr="008A2DFD" w14:paraId="3CCF81D1" w14:textId="77777777" w:rsidTr="00B354C8">
        <w:tc>
          <w:tcPr>
            <w:tcW w:w="1080" w:type="dxa"/>
            <w:vMerge/>
          </w:tcPr>
          <w:p w14:paraId="2D6CCB71" w14:textId="77777777" w:rsidR="004E6DBC" w:rsidRDefault="004E6DBC" w:rsidP="003C32B3">
            <w:pPr>
              <w:pStyle w:val="TableText"/>
            </w:pPr>
          </w:p>
        </w:tc>
        <w:tc>
          <w:tcPr>
            <w:tcW w:w="1710" w:type="dxa"/>
          </w:tcPr>
          <w:p w14:paraId="515A2356" w14:textId="6AF3FE39" w:rsidR="004E6DBC" w:rsidRPr="008A2DFD" w:rsidRDefault="004E6DBC" w:rsidP="003C32B3">
            <w:pPr>
              <w:pStyle w:val="TableText"/>
            </w:pPr>
            <w:r>
              <w:t>Paratransit</w:t>
            </w:r>
          </w:p>
        </w:tc>
        <w:tc>
          <w:tcPr>
            <w:tcW w:w="990" w:type="dxa"/>
          </w:tcPr>
          <w:p w14:paraId="0A0A68B2" w14:textId="77777777" w:rsidR="004E6DBC" w:rsidRPr="008A2DFD" w:rsidRDefault="004E6DBC" w:rsidP="003C32B3">
            <w:pPr>
              <w:pStyle w:val="TableText"/>
            </w:pPr>
          </w:p>
        </w:tc>
        <w:tc>
          <w:tcPr>
            <w:tcW w:w="990" w:type="dxa"/>
          </w:tcPr>
          <w:p w14:paraId="4C5F2EF5" w14:textId="77777777" w:rsidR="004E6DBC" w:rsidRPr="008A2DFD" w:rsidRDefault="004E6DBC" w:rsidP="003C32B3">
            <w:pPr>
              <w:pStyle w:val="TableText"/>
            </w:pPr>
          </w:p>
        </w:tc>
        <w:tc>
          <w:tcPr>
            <w:tcW w:w="900" w:type="dxa"/>
          </w:tcPr>
          <w:p w14:paraId="7A9952FA" w14:textId="77777777" w:rsidR="004E6DBC" w:rsidRPr="008A2DFD" w:rsidRDefault="004E6DBC" w:rsidP="003C32B3">
            <w:pPr>
              <w:pStyle w:val="TableText"/>
            </w:pPr>
          </w:p>
        </w:tc>
        <w:tc>
          <w:tcPr>
            <w:tcW w:w="900" w:type="dxa"/>
          </w:tcPr>
          <w:p w14:paraId="67114930" w14:textId="77777777" w:rsidR="004E6DBC" w:rsidRPr="008A2DFD" w:rsidRDefault="004E6DBC" w:rsidP="003C32B3">
            <w:pPr>
              <w:pStyle w:val="TableText"/>
            </w:pPr>
          </w:p>
        </w:tc>
        <w:tc>
          <w:tcPr>
            <w:tcW w:w="900" w:type="dxa"/>
          </w:tcPr>
          <w:p w14:paraId="1D31A6C2" w14:textId="77777777" w:rsidR="004E6DBC" w:rsidRPr="008A2DFD" w:rsidRDefault="004E6DBC" w:rsidP="003C32B3">
            <w:pPr>
              <w:pStyle w:val="TableText"/>
            </w:pPr>
          </w:p>
        </w:tc>
        <w:tc>
          <w:tcPr>
            <w:tcW w:w="810" w:type="dxa"/>
          </w:tcPr>
          <w:p w14:paraId="14D71EAC" w14:textId="77777777" w:rsidR="004E6DBC" w:rsidRPr="008A2DFD" w:rsidRDefault="004E6DBC" w:rsidP="003C32B3">
            <w:pPr>
              <w:pStyle w:val="TableText"/>
            </w:pPr>
          </w:p>
        </w:tc>
        <w:tc>
          <w:tcPr>
            <w:tcW w:w="1080" w:type="dxa"/>
          </w:tcPr>
          <w:p w14:paraId="1BC056D2" w14:textId="77777777" w:rsidR="004E6DBC" w:rsidRPr="008A2DFD" w:rsidRDefault="004E6DBC" w:rsidP="003C32B3">
            <w:pPr>
              <w:pStyle w:val="TableText"/>
            </w:pPr>
          </w:p>
        </w:tc>
      </w:tr>
    </w:tbl>
    <w:p w14:paraId="55B31B30" w14:textId="1A76F25B" w:rsidR="009D4ACA" w:rsidRPr="00B8664F" w:rsidRDefault="00673EF2" w:rsidP="005F1059">
      <w:pPr>
        <w:pStyle w:val="Heading2"/>
        <w:spacing w:before="240"/>
      </w:pPr>
      <w:r w:rsidRPr="00B8664F">
        <w:t xml:space="preserve">MPO Transit Safety </w:t>
      </w:r>
      <w:r w:rsidR="00AA4901" w:rsidRPr="00B8664F">
        <w:t>Timeline</w:t>
      </w:r>
      <w:r w:rsidRPr="00B8664F">
        <w:t xml:space="preserve"> and Reporting</w:t>
      </w:r>
    </w:p>
    <w:p w14:paraId="1017FDAB" w14:textId="7ABDFCE1" w:rsidR="00664DFA" w:rsidRDefault="00D33494" w:rsidP="005F1059">
      <w:pPr>
        <w:pStyle w:val="BodyText"/>
        <w:rPr>
          <w:rFonts w:cs="Calibri"/>
          <w:kern w:val="28"/>
        </w:rPr>
      </w:pPr>
      <w:r w:rsidRPr="00B8664F">
        <w:t xml:space="preserve">MPOs must revisit </w:t>
      </w:r>
      <w:r w:rsidR="000F28FA">
        <w:t>their targets each time they update</w:t>
      </w:r>
      <w:r w:rsidRPr="00B8664F">
        <w:t xml:space="preserve"> the LRTP. They</w:t>
      </w:r>
      <w:r w:rsidR="00664DFA" w:rsidRPr="00B8664F">
        <w:t xml:space="preserve"> are not required to establish transit safety targets annually</w:t>
      </w:r>
      <w:r w:rsidR="005308FB" w:rsidRPr="00B8664F">
        <w:t xml:space="preserve">, as </w:t>
      </w:r>
      <w:r w:rsidR="00C93EC5" w:rsidRPr="00B8664F">
        <w:t>transit providers do</w:t>
      </w:r>
      <w:r w:rsidR="00664DFA" w:rsidRPr="00B8664F">
        <w:t xml:space="preserve">. </w:t>
      </w:r>
      <w:r w:rsidR="00664DFA" w:rsidRPr="00B8664F">
        <w:rPr>
          <w:rFonts w:cs="Calibri"/>
          <w:kern w:val="28"/>
        </w:rPr>
        <w:t xml:space="preserve">MPOs can either agree to program projects that will support the transit provider targets or establish separate regional transit safety targets for the MPO planning area. MPO targets may differ from agency targets, especially if </w:t>
      </w:r>
      <w:r w:rsidR="00F27481" w:rsidRPr="00B8664F">
        <w:rPr>
          <w:rFonts w:cs="Calibri"/>
          <w:kern w:val="28"/>
        </w:rPr>
        <w:t>multiple transit agencies are</w:t>
      </w:r>
      <w:r w:rsidR="00664DFA" w:rsidRPr="00B8664F">
        <w:rPr>
          <w:rFonts w:cs="Calibri"/>
          <w:kern w:val="28"/>
        </w:rPr>
        <w:t xml:space="preserve"> in the MPO planning area.</w:t>
      </w:r>
    </w:p>
    <w:p w14:paraId="20752E60" w14:textId="3CF56409" w:rsidR="00664DFA" w:rsidRPr="00B8664F" w:rsidRDefault="00664DFA" w:rsidP="003C32B3">
      <w:pPr>
        <w:keepNext/>
        <w:spacing w:after="0" w:line="240" w:lineRule="auto"/>
        <w:rPr>
          <w:rFonts w:cs="Proxima Nova"/>
          <w:b/>
          <w:bCs/>
          <w:color w:val="000000"/>
          <w:sz w:val="22"/>
        </w:rPr>
      </w:pPr>
      <w:r w:rsidRPr="00B8664F">
        <w:rPr>
          <w:rFonts w:cs="Proxima Nova"/>
          <w:b/>
          <w:bCs/>
          <w:color w:val="000000"/>
          <w:sz w:val="22"/>
        </w:rPr>
        <w:t xml:space="preserve">[OPTION A: For </w:t>
      </w:r>
      <w:r w:rsidR="00112883" w:rsidRPr="00B8664F">
        <w:rPr>
          <w:rFonts w:cs="Proxima Nova"/>
          <w:b/>
          <w:bCs/>
          <w:color w:val="000000"/>
          <w:sz w:val="22"/>
        </w:rPr>
        <w:t>a</w:t>
      </w:r>
      <w:r w:rsidR="000B676A" w:rsidRPr="00B8664F">
        <w:rPr>
          <w:rFonts w:cs="Proxima Nova"/>
          <w:b/>
          <w:bCs/>
          <w:color w:val="000000"/>
          <w:sz w:val="22"/>
        </w:rPr>
        <w:t>n</w:t>
      </w:r>
      <w:r w:rsidR="00112883" w:rsidRPr="00B8664F">
        <w:rPr>
          <w:rFonts w:cs="Proxima Nova"/>
          <w:b/>
          <w:bCs/>
          <w:color w:val="000000"/>
          <w:sz w:val="22"/>
        </w:rPr>
        <w:t xml:space="preserve"> </w:t>
      </w:r>
      <w:r w:rsidRPr="00B8664F">
        <w:rPr>
          <w:rFonts w:cs="Proxima Nova"/>
          <w:b/>
          <w:bCs/>
          <w:color w:val="000000"/>
          <w:sz w:val="22"/>
        </w:rPr>
        <w:t>MPO that supports the transit agency targets]</w:t>
      </w:r>
    </w:p>
    <w:p w14:paraId="4A80D98A" w14:textId="3E95373D" w:rsidR="00664DFA" w:rsidRDefault="009A54DD" w:rsidP="005F1059">
      <w:pPr>
        <w:pStyle w:val="BodyText"/>
        <w:rPr>
          <w:bCs/>
          <w:color w:val="000000"/>
          <w:kern w:val="36"/>
        </w:rPr>
      </w:pPr>
      <w:r w:rsidRPr="00486407">
        <w:rPr>
          <w:b/>
          <w:bCs/>
        </w:rPr>
        <w:t>Sample language:</w:t>
      </w:r>
      <w:r w:rsidRPr="00B8664F">
        <w:t xml:space="preserve"> </w:t>
      </w:r>
      <w:r w:rsidR="00664DFA" w:rsidRPr="00B8664F">
        <w:t>On [</w:t>
      </w:r>
      <w:r w:rsidR="00664DFA" w:rsidRPr="00B8664F">
        <w:rPr>
          <w:i/>
          <w:iCs/>
        </w:rPr>
        <w:t>date</w:t>
      </w:r>
      <w:r w:rsidR="00664DFA" w:rsidRPr="00B8664F">
        <w:t>], the [</w:t>
      </w:r>
      <w:r w:rsidR="00664DFA" w:rsidRPr="00B8664F">
        <w:rPr>
          <w:i/>
          <w:iCs/>
        </w:rPr>
        <w:t>MPO name</w:t>
      </w:r>
      <w:r w:rsidR="00664DFA" w:rsidRPr="00B8664F">
        <w:t>] agreed to support the [</w:t>
      </w:r>
      <w:r w:rsidR="00664DFA" w:rsidRPr="00B8664F">
        <w:rPr>
          <w:i/>
          <w:iCs/>
        </w:rPr>
        <w:t>transit agency name</w:t>
      </w:r>
      <w:r w:rsidR="00664DFA" w:rsidRPr="00B8664F">
        <w:t>] transit safety targets, th</w:t>
      </w:r>
      <w:r w:rsidR="00D17B0D" w:rsidRPr="00B8664F">
        <w:t>ereby</w:t>
      </w:r>
      <w:r w:rsidR="00664DFA" w:rsidRPr="00B8664F">
        <w:t xml:space="preserve"> agreeing to plan and program projects in the TIP that</w:t>
      </w:r>
      <w:r w:rsidR="00F27481" w:rsidRPr="00B8664F">
        <w:t>,</w:t>
      </w:r>
      <w:r w:rsidR="00664DFA" w:rsidRPr="00B8664F">
        <w:t xml:space="preserve"> once implemented, are anticipated to make progress toward achieving the provider’s targets. </w:t>
      </w:r>
      <w:r w:rsidR="00664DFA" w:rsidRPr="00B8664F">
        <w:rPr>
          <w:bCs/>
          <w:color w:val="000000"/>
          <w:kern w:val="36"/>
        </w:rPr>
        <w:t>[</w:t>
      </w:r>
      <w:r w:rsidR="00664DFA" w:rsidRPr="00B8664F">
        <w:rPr>
          <w:bCs/>
          <w:i/>
          <w:iCs/>
          <w:color w:val="000000"/>
          <w:kern w:val="36"/>
        </w:rPr>
        <w:t>The MPO may discuss the reasoning or analysis behind the decision to support the transit agency targets.</w:t>
      </w:r>
      <w:r w:rsidR="00664DFA" w:rsidRPr="00B8664F">
        <w:rPr>
          <w:bCs/>
          <w:color w:val="000000"/>
          <w:kern w:val="36"/>
        </w:rPr>
        <w:t>]</w:t>
      </w:r>
    </w:p>
    <w:p w14:paraId="54FCAD0B" w14:textId="06A74ABA" w:rsidR="00664DFA" w:rsidRPr="00B8664F" w:rsidRDefault="00664DFA" w:rsidP="003C32B3">
      <w:pPr>
        <w:keepNext/>
        <w:spacing w:after="0" w:line="240" w:lineRule="auto"/>
        <w:rPr>
          <w:rFonts w:cs="Proxima Nova"/>
          <w:b/>
          <w:bCs/>
          <w:color w:val="000000"/>
          <w:sz w:val="22"/>
        </w:rPr>
      </w:pPr>
      <w:r w:rsidRPr="00B8664F">
        <w:rPr>
          <w:rFonts w:cs="Proxima Nova"/>
          <w:b/>
          <w:bCs/>
          <w:color w:val="000000"/>
          <w:sz w:val="22"/>
        </w:rPr>
        <w:t xml:space="preserve">[OPTION B: For </w:t>
      </w:r>
      <w:r w:rsidR="00112883" w:rsidRPr="00B8664F">
        <w:rPr>
          <w:rFonts w:cs="Proxima Nova"/>
          <w:b/>
          <w:bCs/>
          <w:color w:val="000000"/>
          <w:sz w:val="22"/>
        </w:rPr>
        <w:t>a</w:t>
      </w:r>
      <w:r w:rsidR="000B676A" w:rsidRPr="00B8664F">
        <w:rPr>
          <w:rFonts w:cs="Proxima Nova"/>
          <w:b/>
          <w:bCs/>
          <w:color w:val="000000"/>
          <w:sz w:val="22"/>
        </w:rPr>
        <w:t>n</w:t>
      </w:r>
      <w:r w:rsidR="00112883" w:rsidRPr="00B8664F">
        <w:rPr>
          <w:rFonts w:cs="Proxima Nova"/>
          <w:b/>
          <w:bCs/>
          <w:color w:val="000000"/>
          <w:sz w:val="22"/>
        </w:rPr>
        <w:t xml:space="preserve"> </w:t>
      </w:r>
      <w:r w:rsidRPr="00B8664F">
        <w:rPr>
          <w:rFonts w:cs="Proxima Nova"/>
          <w:b/>
          <w:bCs/>
          <w:color w:val="000000"/>
          <w:sz w:val="22"/>
        </w:rPr>
        <w:t>MPO that establishes its own transit safety targets]</w:t>
      </w:r>
    </w:p>
    <w:p w14:paraId="7C876B1D" w14:textId="1C4EF917" w:rsidR="00664DFA" w:rsidRDefault="009A54DD" w:rsidP="005F1059">
      <w:pPr>
        <w:pStyle w:val="BodyText"/>
      </w:pPr>
      <w:r w:rsidRPr="00486407">
        <w:rPr>
          <w:b/>
          <w:bCs/>
        </w:rPr>
        <w:t>Sample language:</w:t>
      </w:r>
      <w:r w:rsidRPr="00B8664F">
        <w:t xml:space="preserve"> </w:t>
      </w:r>
      <w:r w:rsidR="00664DFA" w:rsidRPr="00B8664F">
        <w:t>On [</w:t>
      </w:r>
      <w:r w:rsidR="00664DFA" w:rsidRPr="00B8664F">
        <w:rPr>
          <w:i/>
          <w:iCs/>
        </w:rPr>
        <w:t>date</w:t>
      </w:r>
      <w:r w:rsidR="00664DFA" w:rsidRPr="00B8664F">
        <w:t>], the [</w:t>
      </w:r>
      <w:r w:rsidR="00664DFA" w:rsidRPr="00B8664F">
        <w:rPr>
          <w:i/>
          <w:iCs/>
        </w:rPr>
        <w:t>MPO name</w:t>
      </w:r>
      <w:r w:rsidR="00664DFA" w:rsidRPr="00B8664F">
        <w:t xml:space="preserve">] established transit safety targets for the MPO planning area. The targets are presented in </w:t>
      </w:r>
      <w:r w:rsidRPr="00B8664F">
        <w:t>the table below</w:t>
      </w:r>
      <w:r w:rsidR="00664DFA" w:rsidRPr="00B8664F">
        <w:t>.</w:t>
      </w:r>
    </w:p>
    <w:p w14:paraId="0C18CC0F" w14:textId="57314446" w:rsidR="00775EF9" w:rsidRDefault="00775EF9" w:rsidP="00486407">
      <w:pPr>
        <w:pStyle w:val="Caption"/>
      </w:pPr>
      <w:bookmarkStart w:id="17" w:name="_Toc223951445"/>
      <w:r w:rsidRPr="00C82EBC">
        <w:t>MPO Transit Safety Targets</w:t>
      </w:r>
      <w:bookmarkEnd w:id="17"/>
      <w:r w:rsidR="00B56F9A">
        <w:t xml:space="preserve"> [</w:t>
      </w:r>
      <w:r w:rsidR="00B56F9A" w:rsidRPr="00B56F9A">
        <w:rPr>
          <w:i/>
          <w:iCs/>
        </w:rPr>
        <w:t>Example</w:t>
      </w:r>
      <w:r w:rsidR="00B56F9A">
        <w:t>]</w:t>
      </w:r>
    </w:p>
    <w:tbl>
      <w:tblPr>
        <w:tblStyle w:val="Style1"/>
        <w:tblW w:w="5000" w:type="pct"/>
        <w:tblLayout w:type="fixed"/>
        <w:tblLook w:val="01E0" w:firstRow="1" w:lastRow="1" w:firstColumn="1" w:lastColumn="1" w:noHBand="0" w:noVBand="0"/>
      </w:tblPr>
      <w:tblGrid>
        <w:gridCol w:w="1781"/>
        <w:gridCol w:w="1065"/>
        <w:gridCol w:w="1065"/>
        <w:gridCol w:w="1066"/>
        <w:gridCol w:w="1065"/>
        <w:gridCol w:w="1065"/>
        <w:gridCol w:w="1066"/>
        <w:gridCol w:w="1187"/>
      </w:tblGrid>
      <w:tr w:rsidR="00664DFA" w:rsidRPr="009D4ACA" w14:paraId="6FC858E0" w14:textId="77777777" w:rsidTr="002B54F2">
        <w:trPr>
          <w:cnfStyle w:val="100000000000" w:firstRow="1" w:lastRow="0" w:firstColumn="0" w:lastColumn="0" w:oddVBand="0" w:evenVBand="0" w:oddHBand="0" w:evenHBand="0" w:firstRowFirstColumn="0" w:firstRowLastColumn="0" w:lastRowFirstColumn="0" w:lastRowLastColumn="0"/>
          <w:tblHeader/>
        </w:trPr>
        <w:tc>
          <w:tcPr>
            <w:tcW w:w="1800" w:type="dxa"/>
            <w:vAlign w:val="bottom"/>
          </w:tcPr>
          <w:p w14:paraId="1976385F" w14:textId="77777777" w:rsidR="00664DFA" w:rsidRPr="009D4ACA" w:rsidRDefault="00664DFA" w:rsidP="003C32B3">
            <w:pPr>
              <w:pStyle w:val="TableHead"/>
              <w:spacing w:before="0"/>
            </w:pPr>
            <w:r w:rsidRPr="009D4ACA">
              <w:t>Transit Mode</w:t>
            </w:r>
          </w:p>
        </w:tc>
        <w:tc>
          <w:tcPr>
            <w:tcW w:w="1075" w:type="dxa"/>
            <w:vAlign w:val="bottom"/>
          </w:tcPr>
          <w:p w14:paraId="675D5912" w14:textId="77777777" w:rsidR="00664DFA" w:rsidRPr="009D4ACA" w:rsidRDefault="00664DFA" w:rsidP="003C32B3">
            <w:pPr>
              <w:pStyle w:val="TableHead"/>
              <w:spacing w:before="0"/>
              <w:jc w:val="center"/>
            </w:pPr>
            <w:r w:rsidRPr="009D4ACA">
              <w:t>Fatalities (total)</w:t>
            </w:r>
          </w:p>
        </w:tc>
        <w:tc>
          <w:tcPr>
            <w:tcW w:w="1075" w:type="dxa"/>
            <w:vAlign w:val="bottom"/>
          </w:tcPr>
          <w:p w14:paraId="032EE91A" w14:textId="77777777" w:rsidR="00664DFA" w:rsidRPr="009D4ACA" w:rsidRDefault="00664DFA" w:rsidP="003C32B3">
            <w:pPr>
              <w:pStyle w:val="TableHead"/>
              <w:spacing w:before="0"/>
              <w:jc w:val="center"/>
            </w:pPr>
            <w:r w:rsidRPr="009D4ACA">
              <w:t>Fatalities (rate)</w:t>
            </w:r>
          </w:p>
        </w:tc>
        <w:tc>
          <w:tcPr>
            <w:tcW w:w="1076" w:type="dxa"/>
            <w:vAlign w:val="bottom"/>
          </w:tcPr>
          <w:p w14:paraId="39B12A97" w14:textId="77777777" w:rsidR="00664DFA" w:rsidRPr="009D4ACA" w:rsidRDefault="00664DFA" w:rsidP="003C32B3">
            <w:pPr>
              <w:pStyle w:val="TableHead"/>
              <w:spacing w:before="0"/>
              <w:jc w:val="center"/>
            </w:pPr>
            <w:r w:rsidRPr="009D4ACA">
              <w:t>Injuries (total)</w:t>
            </w:r>
          </w:p>
        </w:tc>
        <w:tc>
          <w:tcPr>
            <w:tcW w:w="1075" w:type="dxa"/>
            <w:vAlign w:val="bottom"/>
          </w:tcPr>
          <w:p w14:paraId="5CBBB9C6" w14:textId="77777777" w:rsidR="00664DFA" w:rsidRPr="009D4ACA" w:rsidRDefault="00664DFA" w:rsidP="003C32B3">
            <w:pPr>
              <w:pStyle w:val="TableHead"/>
              <w:spacing w:before="0"/>
              <w:jc w:val="center"/>
            </w:pPr>
            <w:r w:rsidRPr="009D4ACA">
              <w:t>Injuries (rate)</w:t>
            </w:r>
          </w:p>
        </w:tc>
        <w:tc>
          <w:tcPr>
            <w:tcW w:w="1075" w:type="dxa"/>
            <w:vAlign w:val="bottom"/>
          </w:tcPr>
          <w:p w14:paraId="28D2C662" w14:textId="77777777" w:rsidR="00664DFA" w:rsidRPr="009D4ACA" w:rsidRDefault="00664DFA" w:rsidP="003C32B3">
            <w:pPr>
              <w:pStyle w:val="TableHead"/>
              <w:spacing w:before="0"/>
              <w:jc w:val="center"/>
            </w:pPr>
            <w:r w:rsidRPr="009D4ACA">
              <w:t>Safety Events (total)</w:t>
            </w:r>
          </w:p>
        </w:tc>
        <w:tc>
          <w:tcPr>
            <w:tcW w:w="1076" w:type="dxa"/>
            <w:vAlign w:val="bottom"/>
          </w:tcPr>
          <w:p w14:paraId="39117532" w14:textId="77777777" w:rsidR="00664DFA" w:rsidRPr="009D4ACA" w:rsidRDefault="00664DFA" w:rsidP="003C32B3">
            <w:pPr>
              <w:pStyle w:val="TableHead"/>
              <w:spacing w:before="0"/>
              <w:jc w:val="center"/>
            </w:pPr>
            <w:r w:rsidRPr="009D4ACA">
              <w:t>Safety Events (rate)</w:t>
            </w:r>
          </w:p>
        </w:tc>
        <w:tc>
          <w:tcPr>
            <w:tcW w:w="1198" w:type="dxa"/>
            <w:vAlign w:val="bottom"/>
          </w:tcPr>
          <w:p w14:paraId="6DC9BF9A" w14:textId="77777777" w:rsidR="00664DFA" w:rsidRPr="009D4ACA" w:rsidRDefault="00664DFA" w:rsidP="003C32B3">
            <w:pPr>
              <w:pStyle w:val="TableHead"/>
              <w:spacing w:before="0"/>
              <w:jc w:val="center"/>
            </w:pPr>
            <w:r w:rsidRPr="009D4ACA">
              <w:t>System Reliability</w:t>
            </w:r>
          </w:p>
        </w:tc>
      </w:tr>
      <w:tr w:rsidR="00664DFA" w:rsidRPr="009D4ACA" w14:paraId="0283B50B" w14:textId="77777777" w:rsidTr="00CA4E23">
        <w:tc>
          <w:tcPr>
            <w:tcW w:w="1800" w:type="dxa"/>
          </w:tcPr>
          <w:p w14:paraId="740672CC" w14:textId="77777777" w:rsidR="00664DFA" w:rsidRPr="009D4ACA" w:rsidRDefault="00664DFA" w:rsidP="003C32B3">
            <w:pPr>
              <w:pStyle w:val="TableText"/>
            </w:pPr>
            <w:r w:rsidRPr="009D4ACA">
              <w:t>Fixed Route Bus</w:t>
            </w:r>
          </w:p>
        </w:tc>
        <w:tc>
          <w:tcPr>
            <w:tcW w:w="1075" w:type="dxa"/>
          </w:tcPr>
          <w:p w14:paraId="366EEBD4" w14:textId="77777777" w:rsidR="00664DFA" w:rsidRPr="009D4ACA" w:rsidRDefault="00664DFA" w:rsidP="003C32B3">
            <w:pPr>
              <w:pStyle w:val="TableText"/>
            </w:pPr>
          </w:p>
        </w:tc>
        <w:tc>
          <w:tcPr>
            <w:tcW w:w="1075" w:type="dxa"/>
          </w:tcPr>
          <w:p w14:paraId="5859F743" w14:textId="77777777" w:rsidR="00664DFA" w:rsidRPr="009D4ACA" w:rsidRDefault="00664DFA" w:rsidP="003C32B3">
            <w:pPr>
              <w:pStyle w:val="TableText"/>
            </w:pPr>
          </w:p>
        </w:tc>
        <w:tc>
          <w:tcPr>
            <w:tcW w:w="1076" w:type="dxa"/>
          </w:tcPr>
          <w:p w14:paraId="0E6F979D" w14:textId="77777777" w:rsidR="00664DFA" w:rsidRPr="009D4ACA" w:rsidRDefault="00664DFA" w:rsidP="003C32B3">
            <w:pPr>
              <w:pStyle w:val="TableText"/>
            </w:pPr>
          </w:p>
        </w:tc>
        <w:tc>
          <w:tcPr>
            <w:tcW w:w="1075" w:type="dxa"/>
          </w:tcPr>
          <w:p w14:paraId="6A182671" w14:textId="77777777" w:rsidR="00664DFA" w:rsidRPr="009D4ACA" w:rsidRDefault="00664DFA" w:rsidP="003C32B3">
            <w:pPr>
              <w:pStyle w:val="TableText"/>
            </w:pPr>
          </w:p>
        </w:tc>
        <w:tc>
          <w:tcPr>
            <w:tcW w:w="1075" w:type="dxa"/>
          </w:tcPr>
          <w:p w14:paraId="3B87B709" w14:textId="77777777" w:rsidR="00664DFA" w:rsidRPr="009D4ACA" w:rsidRDefault="00664DFA" w:rsidP="003C32B3">
            <w:pPr>
              <w:pStyle w:val="TableText"/>
            </w:pPr>
          </w:p>
        </w:tc>
        <w:tc>
          <w:tcPr>
            <w:tcW w:w="1076" w:type="dxa"/>
          </w:tcPr>
          <w:p w14:paraId="6085A304" w14:textId="77777777" w:rsidR="00664DFA" w:rsidRPr="009D4ACA" w:rsidRDefault="00664DFA" w:rsidP="003C32B3">
            <w:pPr>
              <w:pStyle w:val="TableText"/>
            </w:pPr>
          </w:p>
        </w:tc>
        <w:tc>
          <w:tcPr>
            <w:tcW w:w="1198" w:type="dxa"/>
          </w:tcPr>
          <w:p w14:paraId="01CBCCFD" w14:textId="77777777" w:rsidR="00664DFA" w:rsidRPr="009D4ACA" w:rsidRDefault="00664DFA" w:rsidP="003C32B3">
            <w:pPr>
              <w:pStyle w:val="TableText"/>
            </w:pPr>
          </w:p>
        </w:tc>
      </w:tr>
      <w:tr w:rsidR="00664DFA" w:rsidRPr="009D4ACA" w14:paraId="2762A382" w14:textId="77777777" w:rsidTr="00CA4E23">
        <w:tc>
          <w:tcPr>
            <w:tcW w:w="1800" w:type="dxa"/>
          </w:tcPr>
          <w:p w14:paraId="11C52425" w14:textId="77777777" w:rsidR="00664DFA" w:rsidRPr="009D4ACA" w:rsidRDefault="00664DFA" w:rsidP="003C32B3">
            <w:pPr>
              <w:pStyle w:val="TableText"/>
            </w:pPr>
            <w:r w:rsidRPr="009D4ACA">
              <w:t>Community Bus</w:t>
            </w:r>
          </w:p>
        </w:tc>
        <w:tc>
          <w:tcPr>
            <w:tcW w:w="1075" w:type="dxa"/>
          </w:tcPr>
          <w:p w14:paraId="53084BF1" w14:textId="77777777" w:rsidR="00664DFA" w:rsidRPr="009D4ACA" w:rsidRDefault="00664DFA" w:rsidP="003C32B3">
            <w:pPr>
              <w:pStyle w:val="TableText"/>
            </w:pPr>
          </w:p>
        </w:tc>
        <w:tc>
          <w:tcPr>
            <w:tcW w:w="1075" w:type="dxa"/>
          </w:tcPr>
          <w:p w14:paraId="00565116" w14:textId="77777777" w:rsidR="00664DFA" w:rsidRPr="009D4ACA" w:rsidRDefault="00664DFA" w:rsidP="003C32B3">
            <w:pPr>
              <w:pStyle w:val="TableText"/>
            </w:pPr>
          </w:p>
        </w:tc>
        <w:tc>
          <w:tcPr>
            <w:tcW w:w="1076" w:type="dxa"/>
          </w:tcPr>
          <w:p w14:paraId="0A7175EA" w14:textId="77777777" w:rsidR="00664DFA" w:rsidRPr="009D4ACA" w:rsidRDefault="00664DFA" w:rsidP="003C32B3">
            <w:pPr>
              <w:pStyle w:val="TableText"/>
            </w:pPr>
          </w:p>
        </w:tc>
        <w:tc>
          <w:tcPr>
            <w:tcW w:w="1075" w:type="dxa"/>
          </w:tcPr>
          <w:p w14:paraId="3DC538F9" w14:textId="77777777" w:rsidR="00664DFA" w:rsidRPr="009D4ACA" w:rsidRDefault="00664DFA" w:rsidP="003C32B3">
            <w:pPr>
              <w:pStyle w:val="TableText"/>
            </w:pPr>
          </w:p>
        </w:tc>
        <w:tc>
          <w:tcPr>
            <w:tcW w:w="1075" w:type="dxa"/>
          </w:tcPr>
          <w:p w14:paraId="52277BB1" w14:textId="77777777" w:rsidR="00664DFA" w:rsidRPr="009D4ACA" w:rsidRDefault="00664DFA" w:rsidP="003C32B3">
            <w:pPr>
              <w:pStyle w:val="TableText"/>
            </w:pPr>
          </w:p>
        </w:tc>
        <w:tc>
          <w:tcPr>
            <w:tcW w:w="1076" w:type="dxa"/>
          </w:tcPr>
          <w:p w14:paraId="4FC11EA6" w14:textId="77777777" w:rsidR="00664DFA" w:rsidRPr="009D4ACA" w:rsidRDefault="00664DFA" w:rsidP="003C32B3">
            <w:pPr>
              <w:pStyle w:val="TableText"/>
            </w:pPr>
          </w:p>
        </w:tc>
        <w:tc>
          <w:tcPr>
            <w:tcW w:w="1198" w:type="dxa"/>
          </w:tcPr>
          <w:p w14:paraId="3EC1AEFB" w14:textId="77777777" w:rsidR="00664DFA" w:rsidRPr="009D4ACA" w:rsidRDefault="00664DFA" w:rsidP="003C32B3">
            <w:pPr>
              <w:pStyle w:val="TableText"/>
            </w:pPr>
          </w:p>
        </w:tc>
      </w:tr>
      <w:tr w:rsidR="00664DFA" w:rsidRPr="009D4ACA" w14:paraId="41E7D766" w14:textId="77777777" w:rsidTr="00CA4E23">
        <w:tc>
          <w:tcPr>
            <w:tcW w:w="1800" w:type="dxa"/>
          </w:tcPr>
          <w:p w14:paraId="0E278147" w14:textId="460EEBFD" w:rsidR="00664DFA" w:rsidRPr="009D4ACA" w:rsidRDefault="00836BB8" w:rsidP="003C32B3">
            <w:pPr>
              <w:pStyle w:val="TableText"/>
            </w:pPr>
            <w:r>
              <w:t>Other…</w:t>
            </w:r>
          </w:p>
        </w:tc>
        <w:tc>
          <w:tcPr>
            <w:tcW w:w="1075" w:type="dxa"/>
          </w:tcPr>
          <w:p w14:paraId="1C974C79" w14:textId="77777777" w:rsidR="00664DFA" w:rsidRPr="009D4ACA" w:rsidRDefault="00664DFA" w:rsidP="003C32B3">
            <w:pPr>
              <w:pStyle w:val="TableText"/>
            </w:pPr>
          </w:p>
        </w:tc>
        <w:tc>
          <w:tcPr>
            <w:tcW w:w="1075" w:type="dxa"/>
          </w:tcPr>
          <w:p w14:paraId="735D82F7" w14:textId="77777777" w:rsidR="00664DFA" w:rsidRPr="009D4ACA" w:rsidRDefault="00664DFA" w:rsidP="003C32B3">
            <w:pPr>
              <w:pStyle w:val="TableText"/>
            </w:pPr>
          </w:p>
        </w:tc>
        <w:tc>
          <w:tcPr>
            <w:tcW w:w="1076" w:type="dxa"/>
          </w:tcPr>
          <w:p w14:paraId="657622BB" w14:textId="77777777" w:rsidR="00664DFA" w:rsidRPr="009D4ACA" w:rsidRDefault="00664DFA" w:rsidP="003C32B3">
            <w:pPr>
              <w:pStyle w:val="TableText"/>
            </w:pPr>
          </w:p>
        </w:tc>
        <w:tc>
          <w:tcPr>
            <w:tcW w:w="1075" w:type="dxa"/>
          </w:tcPr>
          <w:p w14:paraId="001F5A72" w14:textId="77777777" w:rsidR="00664DFA" w:rsidRPr="009D4ACA" w:rsidRDefault="00664DFA" w:rsidP="003C32B3">
            <w:pPr>
              <w:pStyle w:val="TableText"/>
            </w:pPr>
          </w:p>
        </w:tc>
        <w:tc>
          <w:tcPr>
            <w:tcW w:w="1075" w:type="dxa"/>
          </w:tcPr>
          <w:p w14:paraId="4DDD7A37" w14:textId="77777777" w:rsidR="00664DFA" w:rsidRPr="009D4ACA" w:rsidRDefault="00664DFA" w:rsidP="003C32B3">
            <w:pPr>
              <w:pStyle w:val="TableText"/>
            </w:pPr>
          </w:p>
        </w:tc>
        <w:tc>
          <w:tcPr>
            <w:tcW w:w="1076" w:type="dxa"/>
          </w:tcPr>
          <w:p w14:paraId="44A66FAA" w14:textId="77777777" w:rsidR="00664DFA" w:rsidRPr="009D4ACA" w:rsidRDefault="00664DFA" w:rsidP="003C32B3">
            <w:pPr>
              <w:pStyle w:val="TableText"/>
            </w:pPr>
          </w:p>
        </w:tc>
        <w:tc>
          <w:tcPr>
            <w:tcW w:w="1198" w:type="dxa"/>
          </w:tcPr>
          <w:p w14:paraId="4016B343" w14:textId="77777777" w:rsidR="00664DFA" w:rsidRPr="009D4ACA" w:rsidRDefault="00664DFA" w:rsidP="003C32B3">
            <w:pPr>
              <w:pStyle w:val="TableText"/>
            </w:pPr>
          </w:p>
        </w:tc>
      </w:tr>
    </w:tbl>
    <w:p w14:paraId="3D4CE955" w14:textId="798B3390" w:rsidR="00664DFA" w:rsidRPr="00316769" w:rsidRDefault="00316769" w:rsidP="005F1059">
      <w:pPr>
        <w:pStyle w:val="BodyText"/>
        <w:spacing w:before="240"/>
      </w:pPr>
      <w:r w:rsidRPr="00486407">
        <w:rPr>
          <w:b/>
          <w:bCs/>
          <w:kern w:val="28"/>
        </w:rPr>
        <w:t>Sample language:</w:t>
      </w:r>
      <w:r w:rsidRPr="00316769">
        <w:rPr>
          <w:kern w:val="28"/>
        </w:rPr>
        <w:t xml:space="preserve"> </w:t>
      </w:r>
      <w:r w:rsidR="00664DFA" w:rsidRPr="00316769">
        <w:t>The MPO’s transit safety targets reflect the targets established by [</w:t>
      </w:r>
      <w:r w:rsidR="00664DFA" w:rsidRPr="00316769">
        <w:rPr>
          <w:i/>
          <w:iCs/>
        </w:rPr>
        <w:t>name(s) of individual transit providers(s)</w:t>
      </w:r>
      <w:r w:rsidR="00664DFA" w:rsidRPr="00316769">
        <w:t>] through their Public Transportation Agency Safety Plan(s). In establishing the MPO’s targets, [</w:t>
      </w:r>
      <w:r w:rsidR="00664DFA" w:rsidRPr="00316769">
        <w:rPr>
          <w:i/>
          <w:iCs/>
          <w:kern w:val="28"/>
        </w:rPr>
        <w:t>MPO name</w:t>
      </w:r>
      <w:r w:rsidR="00664DFA" w:rsidRPr="00316769">
        <w:rPr>
          <w:kern w:val="28"/>
        </w:rPr>
        <w:t>]</w:t>
      </w:r>
      <w:r w:rsidR="00664DFA" w:rsidRPr="00316769">
        <w:t xml:space="preserve"> considered several factors. </w:t>
      </w:r>
      <w:r w:rsidR="00333133" w:rsidRPr="00316769">
        <w:t>[</w:t>
      </w:r>
      <w:r w:rsidR="00664DFA" w:rsidRPr="00316769">
        <w:rPr>
          <w:i/>
          <w:iCs/>
        </w:rPr>
        <w:t>Add discussion of how/why the MPO established regional targets based on the individual provider targets; for example, if there are multiple providers</w:t>
      </w:r>
      <w:r w:rsidR="00F27481" w:rsidRPr="00316769">
        <w:rPr>
          <w:i/>
          <w:iCs/>
        </w:rPr>
        <w:t>,</w:t>
      </w:r>
      <w:r w:rsidR="00664DFA" w:rsidRPr="00316769">
        <w:rPr>
          <w:i/>
          <w:iCs/>
        </w:rPr>
        <w:t xml:space="preserve"> did the MPO weight targets by the relative size of each transit provider’s ridership or other factors?</w:t>
      </w:r>
      <w:r w:rsidR="00333133" w:rsidRPr="00316769">
        <w:t>]</w:t>
      </w:r>
    </w:p>
    <w:sectPr w:rsidR="00664DFA" w:rsidRPr="00316769" w:rsidSect="002B54F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3ACF8" w14:textId="77777777" w:rsidR="00455155" w:rsidRDefault="00455155" w:rsidP="00F80D22">
      <w:pPr>
        <w:spacing w:after="0" w:line="240" w:lineRule="auto"/>
      </w:pPr>
      <w:r>
        <w:separator/>
      </w:r>
    </w:p>
  </w:endnote>
  <w:endnote w:type="continuationSeparator" w:id="0">
    <w:p w14:paraId="08BF6837" w14:textId="77777777" w:rsidR="00455155" w:rsidRDefault="00455155" w:rsidP="00F80D22">
      <w:pPr>
        <w:spacing w:after="0" w:line="240" w:lineRule="auto"/>
      </w:pPr>
      <w:r>
        <w:continuationSeparator/>
      </w:r>
    </w:p>
  </w:endnote>
  <w:endnote w:type="continuationNotice" w:id="1">
    <w:p w14:paraId="54F7DF02" w14:textId="77777777" w:rsidR="00455155" w:rsidRDefault="004551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Proxima Nova">
    <w:panose1 w:val="00000000000000000000"/>
    <w:charset w:val="00"/>
    <w:family w:val="moder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73D69" w14:textId="77777777" w:rsidR="00E97DD5" w:rsidRDefault="00E97DD5" w:rsidP="00E97DD5">
    <w:pPr>
      <w:pStyle w:val="Footer"/>
      <w:tabs>
        <w:tab w:val="left" w:pos="4680"/>
      </w:tabs>
    </w:pPr>
    <w:r>
      <w:rPr>
        <w:noProof/>
      </w:rPr>
      <w:drawing>
        <wp:anchor distT="0" distB="0" distL="114300" distR="114300" simplePos="0" relativeHeight="251658242" behindDoc="1" locked="0" layoutInCell="1" allowOverlap="1" wp14:anchorId="576BA2BC" wp14:editId="04F3A101">
          <wp:simplePos x="0" y="0"/>
          <wp:positionH relativeFrom="margin">
            <wp:posOffset>-722630</wp:posOffset>
          </wp:positionH>
          <wp:positionV relativeFrom="page">
            <wp:posOffset>9208580</wp:posOffset>
          </wp:positionV>
          <wp:extent cx="6455664" cy="685800"/>
          <wp:effectExtent l="0" t="0" r="2540" b="0"/>
          <wp:wrapNone/>
          <wp:docPr id="1065109617" name="Picture 1065109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5494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455664" cy="6858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F94691">
      <w:fldChar w:fldCharType="begin"/>
    </w:r>
    <w:r w:rsidRPr="00F94691">
      <w:instrText xml:space="preserve"> PAGE   \* MERGEFORMAT </w:instrText>
    </w:r>
    <w:r w:rsidRPr="00F94691">
      <w:fldChar w:fldCharType="separate"/>
    </w:r>
    <w:r>
      <w:t>1</w:t>
    </w:r>
    <w:r w:rsidRPr="00F9469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BE605" w14:textId="77777777" w:rsidR="00BB5F2C" w:rsidRDefault="007E55AA" w:rsidP="00F165D9">
    <w:pPr>
      <w:pStyle w:val="Footer"/>
      <w:tabs>
        <w:tab w:val="left" w:pos="4680"/>
      </w:tabs>
    </w:pPr>
    <w:r>
      <w:rPr>
        <w:noProof/>
      </w:rPr>
      <w:drawing>
        <wp:anchor distT="0" distB="0" distL="114300" distR="114300" simplePos="0" relativeHeight="251658241" behindDoc="1" locked="0" layoutInCell="1" allowOverlap="1" wp14:anchorId="3858789F" wp14:editId="351842D4">
          <wp:simplePos x="0" y="0"/>
          <wp:positionH relativeFrom="margin">
            <wp:posOffset>-723900</wp:posOffset>
          </wp:positionH>
          <wp:positionV relativeFrom="bottomMargin">
            <wp:posOffset>63500</wp:posOffset>
          </wp:positionV>
          <wp:extent cx="6455664" cy="685800"/>
          <wp:effectExtent l="0" t="0" r="2540" b="0"/>
          <wp:wrapNone/>
          <wp:docPr id="540798104" name="Picture 540798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8957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 t="23026" r="14412"/>
                  <a:stretch/>
                </pic:blipFill>
                <pic:spPr bwMode="auto">
                  <a:xfrm>
                    <a:off x="0" y="0"/>
                    <a:ext cx="6455664"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691">
      <w:ptab w:relativeTo="margin" w:alignment="right" w:leader="none"/>
    </w:r>
    <w:r w:rsidR="00F94691" w:rsidRPr="00F94691">
      <w:fldChar w:fldCharType="begin"/>
    </w:r>
    <w:r w:rsidR="00F94691" w:rsidRPr="00F94691">
      <w:instrText xml:space="preserve"> PAGE   \* MERGEFORMAT </w:instrText>
    </w:r>
    <w:r w:rsidR="00F94691" w:rsidRPr="00F94691">
      <w:fldChar w:fldCharType="separate"/>
    </w:r>
    <w:r w:rsidR="00F94691" w:rsidRPr="00F94691">
      <w:rPr>
        <w:noProof/>
      </w:rPr>
      <w:t>1</w:t>
    </w:r>
    <w:r w:rsidR="00F94691" w:rsidRPr="00F94691">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2AC99" w14:textId="77777777" w:rsidR="004E6DBC" w:rsidRDefault="004E6DBC" w:rsidP="004E6DBC">
    <w:pPr>
      <w:pStyle w:val="Footer"/>
      <w:tabs>
        <w:tab w:val="left" w:pos="4680"/>
      </w:tabs>
    </w:pPr>
    <w:r>
      <w:rPr>
        <w:noProof/>
      </w:rPr>
      <w:drawing>
        <wp:anchor distT="0" distB="0" distL="114300" distR="114300" simplePos="0" relativeHeight="251662352" behindDoc="1" locked="0" layoutInCell="1" allowOverlap="1" wp14:anchorId="63544D29" wp14:editId="3421072B">
          <wp:simplePos x="0" y="0"/>
          <wp:positionH relativeFrom="margin">
            <wp:posOffset>-723900</wp:posOffset>
          </wp:positionH>
          <wp:positionV relativeFrom="bottomMargin">
            <wp:posOffset>63500</wp:posOffset>
          </wp:positionV>
          <wp:extent cx="6455664" cy="685800"/>
          <wp:effectExtent l="0" t="0" r="2540" b="0"/>
          <wp:wrapNone/>
          <wp:docPr id="210875637" name="Picture 210875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8957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 t="23026" r="14412"/>
                  <a:stretch/>
                </pic:blipFill>
                <pic:spPr bwMode="auto">
                  <a:xfrm>
                    <a:off x="0" y="0"/>
                    <a:ext cx="6455664"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right" w:leader="none"/>
    </w:r>
    <w:r w:rsidRPr="00F94691">
      <w:fldChar w:fldCharType="begin"/>
    </w:r>
    <w:r w:rsidRPr="00F94691">
      <w:instrText xml:space="preserve"> PAGE   \* MERGEFORMAT </w:instrText>
    </w:r>
    <w:r w:rsidRPr="00F94691">
      <w:fldChar w:fldCharType="separate"/>
    </w:r>
    <w:r>
      <w:t>ii</w:t>
    </w:r>
    <w:r w:rsidRPr="00F9469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CDD1C" w14:textId="77777777" w:rsidR="00455155" w:rsidRDefault="00455155" w:rsidP="00F80D22">
      <w:pPr>
        <w:spacing w:after="0" w:line="240" w:lineRule="auto"/>
      </w:pPr>
      <w:r>
        <w:separator/>
      </w:r>
    </w:p>
  </w:footnote>
  <w:footnote w:type="continuationSeparator" w:id="0">
    <w:p w14:paraId="46172805" w14:textId="77777777" w:rsidR="00455155" w:rsidRDefault="00455155" w:rsidP="00F80D22">
      <w:pPr>
        <w:spacing w:after="0" w:line="240" w:lineRule="auto"/>
      </w:pPr>
      <w:r>
        <w:continuationSeparator/>
      </w:r>
    </w:p>
  </w:footnote>
  <w:footnote w:type="continuationNotice" w:id="1">
    <w:p w14:paraId="6B7D6778" w14:textId="77777777" w:rsidR="00455155" w:rsidRDefault="004551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37099" w14:textId="4F202D44" w:rsidR="009C4F0D" w:rsidRPr="009A1DB4" w:rsidRDefault="0011019A" w:rsidP="009A1DB4">
    <w:pPr>
      <w:pStyle w:val="Header"/>
    </w:pPr>
    <w:fldSimple w:instr="STYLEREF  &quot;TOC Head&quot;  \* MERGEFORMAT">
      <w:r>
        <w:rPr>
          <w:noProof/>
        </w:rPr>
        <w:t>Contents</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9A44E" w14:textId="41C729A4" w:rsidR="00AB5ADD" w:rsidRPr="00200F04" w:rsidRDefault="00486621" w:rsidP="00AB5ADD">
    <w:pPr>
      <w:pStyle w:val="Header"/>
    </w:pPr>
    <w:fldSimple w:instr="STYLEREF  &quot;Heading 1&quot;  \* MERGEFORMAT">
      <w:r w:rsidR="00A30BC2">
        <w:rPr>
          <w:noProof/>
        </w:rPr>
        <w:t>Transit Safety Performance Measures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5C07E" w14:textId="23261CA9" w:rsidR="00AB5ADD" w:rsidRPr="00200F04" w:rsidRDefault="00486621" w:rsidP="00AB5ADD">
    <w:pPr>
      <w:pStyle w:val="Header"/>
    </w:pPr>
    <w:fldSimple w:instr="STYLEREF  &quot;Heading 1&quot;  \* MERGEFORMAT">
      <w:r w:rsidR="00A30BC2">
        <w:rPr>
          <w:noProof/>
        </w:rPr>
        <w:t>Transit Safety Performance Measures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841CA" w14:textId="687548E0" w:rsidR="00F80D22" w:rsidRDefault="009911FF" w:rsidP="00AB5ADD">
    <w:pPr>
      <w:pStyle w:val="Header"/>
      <w:pBdr>
        <w:bottom w:val="none" w:sz="0" w:space="0" w:color="auto"/>
      </w:pBdr>
    </w:pPr>
    <w:r>
      <w:rPr>
        <w:noProof/>
        <w:color w:val="FFFFFF" w:themeColor="background1"/>
      </w:rPr>
      <w:drawing>
        <wp:anchor distT="0" distB="0" distL="114300" distR="114300" simplePos="0" relativeHeight="251658240" behindDoc="1" locked="0" layoutInCell="1" allowOverlap="1" wp14:anchorId="0E1EA7A5" wp14:editId="6A5CCD05">
          <wp:simplePos x="0" y="0"/>
          <wp:positionH relativeFrom="page">
            <wp:align>right</wp:align>
          </wp:positionH>
          <wp:positionV relativeFrom="paragraph">
            <wp:posOffset>-455094</wp:posOffset>
          </wp:positionV>
          <wp:extent cx="7815531" cy="10114217"/>
          <wp:effectExtent l="0" t="0" r="0" b="1905"/>
          <wp:wrapNone/>
          <wp:docPr id="130301899" name="Picture 130301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78513" name="Picture 12761785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5531" cy="1011421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02C5C" w14:textId="277FC82B" w:rsidR="005C1D75" w:rsidRDefault="005C1D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C7502" w14:textId="6C2EE3DF" w:rsidR="005C1D75" w:rsidRDefault="005C1D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C1F6" w14:textId="0420E618" w:rsidR="003544F9" w:rsidRPr="00200F04" w:rsidRDefault="00486621" w:rsidP="00200F04">
    <w:pPr>
      <w:pStyle w:val="Header"/>
    </w:pPr>
    <w:fldSimple w:instr="STYLEREF  &quot;TOC Head&quot;  \* MERGEFORMAT">
      <w:r w:rsidR="006D2557">
        <w:rPr>
          <w:noProof/>
        </w:rPr>
        <w:t>Contents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28E2" w14:textId="4A43C96A" w:rsidR="005C1D75" w:rsidRDefault="005C1D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FA0D" w14:textId="65E72A1A" w:rsidR="009A1DB4" w:rsidRPr="00200F04" w:rsidRDefault="00AB5ADD" w:rsidP="00200F04">
    <w:pPr>
      <w:pStyle w:val="Header"/>
    </w:pPr>
    <w:fldSimple w:instr="STYLEREF  &quot;Heading 1&quot;  \* MERGEFORMAT">
      <w:r>
        <w:rPr>
          <w:noProof/>
        </w:rPr>
        <w:t>Background</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E8E79" w14:textId="7E20F3DE" w:rsidR="0061144A" w:rsidRPr="00200F04" w:rsidRDefault="00486621" w:rsidP="0061144A">
    <w:pPr>
      <w:pStyle w:val="Header"/>
    </w:pPr>
    <w:fldSimple w:instr="STYLEREF  &quot;Heading 1&quot;  \* MERGEFORMAT">
      <w:r w:rsidR="006D2557">
        <w:rPr>
          <w:noProof/>
        </w:rPr>
        <w:t>Background</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5148B" w14:textId="2354451D" w:rsidR="005C1D75" w:rsidRDefault="005C1D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30E2FE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381048"/>
    <w:multiLevelType w:val="multilevel"/>
    <w:tmpl w:val="AEE2B6DA"/>
    <w:lvl w:ilvl="0">
      <w:start w:val="1"/>
      <w:numFmt w:val="upperLetter"/>
      <w:pStyle w:val="Heading6"/>
      <w:suff w:val="space"/>
      <w:lvlText w:val="Appendix %1."/>
      <w:lvlJc w:val="left"/>
      <w:pPr>
        <w:ind w:left="0" w:firstLine="0"/>
      </w:pPr>
      <w:rPr>
        <w:rFonts w:hint="default"/>
      </w:rPr>
    </w:lvl>
    <w:lvl w:ilvl="1">
      <w:start w:val="1"/>
      <w:numFmt w:val="decimal"/>
      <w:pStyle w:val="Heading7"/>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AC1860"/>
    <w:multiLevelType w:val="hybridMultilevel"/>
    <w:tmpl w:val="C016B172"/>
    <w:lvl w:ilvl="0" w:tplc="34924214">
      <w:start w:val="1"/>
      <w:numFmt w:val="bullet"/>
      <w:lvlText w:val=""/>
      <w:lvlJc w:val="left"/>
      <w:pPr>
        <w:ind w:left="720" w:hanging="360"/>
      </w:pPr>
      <w:rPr>
        <w:rFonts w:ascii="Wingdings" w:hAnsi="Wingdings" w:hint="default"/>
        <w:color w:val="81D1DE"/>
        <w:sz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FA19E2"/>
    <w:multiLevelType w:val="multilevel"/>
    <w:tmpl w:val="6AC2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A30C83"/>
    <w:multiLevelType w:val="multilevel"/>
    <w:tmpl w:val="38D4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EF0E8D"/>
    <w:multiLevelType w:val="hybridMultilevel"/>
    <w:tmpl w:val="F828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E7A6B"/>
    <w:multiLevelType w:val="multilevel"/>
    <w:tmpl w:val="7B66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446DCF"/>
    <w:multiLevelType w:val="multilevel"/>
    <w:tmpl w:val="E8F0C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D57D9E"/>
    <w:multiLevelType w:val="multilevel"/>
    <w:tmpl w:val="CA4A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536ADC"/>
    <w:multiLevelType w:val="hybridMultilevel"/>
    <w:tmpl w:val="E7AA1252"/>
    <w:lvl w:ilvl="0" w:tplc="4A40EC8E">
      <w:start w:val="1"/>
      <w:numFmt w:val="decimal"/>
      <w:pStyle w:val="Heading8"/>
      <w:lvlText w:val="A.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E24D2"/>
    <w:multiLevelType w:val="multilevel"/>
    <w:tmpl w:val="1A64F2AC"/>
    <w:lvl w:ilvl="0">
      <w:start w:val="1"/>
      <w:numFmt w:val="decimal"/>
      <w:lvlText w:val="%1."/>
      <w:lvlJc w:val="left"/>
      <w:pPr>
        <w:ind w:left="576" w:hanging="576"/>
      </w:pPr>
      <w:rPr>
        <w:rFonts w:hint="default"/>
      </w:rPr>
    </w:lvl>
    <w:lvl w:ilvl="1">
      <w:start w:val="1"/>
      <w:numFmt w:val="none"/>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C250615"/>
    <w:multiLevelType w:val="hybridMultilevel"/>
    <w:tmpl w:val="78305028"/>
    <w:lvl w:ilvl="0" w:tplc="8196F2EC">
      <w:start w:val="1"/>
      <w:numFmt w:val="decimal"/>
      <w:pStyle w:val="SectionDivider"/>
      <w:lvlText w:val="Section %1"/>
      <w:lvlJc w:val="left"/>
      <w:pPr>
        <w:ind w:left="720" w:hanging="360"/>
      </w:pPr>
      <w:rPr>
        <w:rFonts w:hint="default"/>
        <w:bCs w:val="0"/>
        <w:i w:val="0"/>
        <w:iCs w:val="0"/>
        <w: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C1773C"/>
    <w:multiLevelType w:val="multilevel"/>
    <w:tmpl w:val="F8B4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FB022F"/>
    <w:multiLevelType w:val="hybridMultilevel"/>
    <w:tmpl w:val="636E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C46F1F"/>
    <w:multiLevelType w:val="hybridMultilevel"/>
    <w:tmpl w:val="78C4993E"/>
    <w:lvl w:ilvl="0" w:tplc="7B4A29F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B13E7D"/>
    <w:multiLevelType w:val="hybridMultilevel"/>
    <w:tmpl w:val="F024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2136EB"/>
    <w:multiLevelType w:val="hybridMultilevel"/>
    <w:tmpl w:val="9E243C9A"/>
    <w:lvl w:ilvl="0" w:tplc="3DEA9060">
      <w:start w:val="1"/>
      <w:numFmt w:val="decimal"/>
      <w:pStyle w:val="ListNumb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997407"/>
    <w:multiLevelType w:val="multilevel"/>
    <w:tmpl w:val="9314FB06"/>
    <w:lvl w:ilvl="0">
      <w:start w:val="1"/>
      <w:numFmt w:val="decimal"/>
      <w:pStyle w:val="Heading1"/>
      <w:lvlText w:val="%1.0"/>
      <w:lvlJc w:val="left"/>
      <w:pPr>
        <w:ind w:left="864" w:hanging="864"/>
      </w:pPr>
      <w:rPr>
        <w:rFonts w:hint="default"/>
      </w:rPr>
    </w:lvl>
    <w:lvl w:ilvl="1">
      <w:start w:val="1"/>
      <w:numFmt w:val="none"/>
      <w:pStyle w:val="Heading2"/>
      <w:lvlText w:val=""/>
      <w:lvlJc w:val="left"/>
      <w:pPr>
        <w:ind w:left="0" w:firstLine="0"/>
      </w:pPr>
      <w:rPr>
        <w:rFonts w:hint="default"/>
      </w:rPr>
    </w:lvl>
    <w:lvl w:ilvl="2">
      <w:start w:val="1"/>
      <w:numFmt w:val="lowerRoman"/>
      <w:pStyle w:val="Head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9DC7A7D"/>
    <w:multiLevelType w:val="hybridMultilevel"/>
    <w:tmpl w:val="A6E65FCE"/>
    <w:lvl w:ilvl="0" w:tplc="34924214">
      <w:start w:val="1"/>
      <w:numFmt w:val="bullet"/>
      <w:lvlText w:val=""/>
      <w:lvlJc w:val="left"/>
      <w:pPr>
        <w:ind w:left="1080" w:hanging="360"/>
      </w:pPr>
      <w:rPr>
        <w:rFonts w:ascii="Wingdings" w:hAnsi="Wingdings" w:hint="default"/>
        <w:color w:val="81D1DE"/>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C2478EE"/>
    <w:multiLevelType w:val="hybridMultilevel"/>
    <w:tmpl w:val="0AE8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6E008A"/>
    <w:multiLevelType w:val="multilevel"/>
    <w:tmpl w:val="C68A1098"/>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lvl>
    <w:lvl w:ilvl="2">
      <w:start w:val="1"/>
      <w:numFmt w:val="decimal"/>
      <w:suff w:val="space"/>
      <w:lvlText w:val="%1.%2.%3"/>
      <w:lvlJc w:val="left"/>
      <w:pPr>
        <w:ind w:left="756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6DCF6158"/>
    <w:multiLevelType w:val="hybridMultilevel"/>
    <w:tmpl w:val="75D2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3E5AA3"/>
    <w:multiLevelType w:val="hybridMultilevel"/>
    <w:tmpl w:val="D2A6EB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FEF7D9D"/>
    <w:multiLevelType w:val="hybridMultilevel"/>
    <w:tmpl w:val="0A7E085E"/>
    <w:lvl w:ilvl="0" w:tplc="34924214">
      <w:start w:val="1"/>
      <w:numFmt w:val="bullet"/>
      <w:lvlText w:val=""/>
      <w:lvlJc w:val="left"/>
      <w:pPr>
        <w:ind w:left="720" w:hanging="360"/>
      </w:pPr>
      <w:rPr>
        <w:rFonts w:ascii="Wingdings" w:hAnsi="Wingdings" w:hint="default"/>
        <w:color w:val="81D1DE"/>
        <w:sz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95B57D5"/>
    <w:multiLevelType w:val="hybridMultilevel"/>
    <w:tmpl w:val="D0E8E65C"/>
    <w:lvl w:ilvl="0" w:tplc="34924214">
      <w:start w:val="1"/>
      <w:numFmt w:val="bullet"/>
      <w:lvlText w:val=""/>
      <w:lvlJc w:val="left"/>
      <w:pPr>
        <w:ind w:left="720" w:hanging="360"/>
      </w:pPr>
      <w:rPr>
        <w:rFonts w:ascii="Wingdings" w:hAnsi="Wingdings" w:hint="default"/>
        <w:color w:val="81D1DE"/>
        <w:sz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83870634">
    <w:abstractNumId w:val="20"/>
  </w:num>
  <w:num w:numId="2" w16cid:durableId="1297029195">
    <w:abstractNumId w:val="11"/>
  </w:num>
  <w:num w:numId="3" w16cid:durableId="997802758">
    <w:abstractNumId w:val="23"/>
  </w:num>
  <w:num w:numId="4" w16cid:durableId="247422941">
    <w:abstractNumId w:val="18"/>
  </w:num>
  <w:num w:numId="5" w16cid:durableId="711736604">
    <w:abstractNumId w:val="0"/>
  </w:num>
  <w:num w:numId="6" w16cid:durableId="1263803182">
    <w:abstractNumId w:val="24"/>
  </w:num>
  <w:num w:numId="7" w16cid:durableId="1447652808">
    <w:abstractNumId w:val="2"/>
  </w:num>
  <w:num w:numId="8" w16cid:durableId="1317608598">
    <w:abstractNumId w:val="14"/>
  </w:num>
  <w:num w:numId="9" w16cid:durableId="1785612595">
    <w:abstractNumId w:val="16"/>
  </w:num>
  <w:num w:numId="10" w16cid:durableId="2072196124">
    <w:abstractNumId w:val="16"/>
    <w:lvlOverride w:ilvl="0">
      <w:startOverride w:val="1"/>
    </w:lvlOverride>
  </w:num>
  <w:num w:numId="11" w16cid:durableId="218444805">
    <w:abstractNumId w:val="16"/>
    <w:lvlOverride w:ilvl="0">
      <w:startOverride w:val="1"/>
    </w:lvlOverride>
  </w:num>
  <w:num w:numId="12" w16cid:durableId="1701777785">
    <w:abstractNumId w:val="19"/>
  </w:num>
  <w:num w:numId="13" w16cid:durableId="1236430959">
    <w:abstractNumId w:val="5"/>
  </w:num>
  <w:num w:numId="14" w16cid:durableId="541016551">
    <w:abstractNumId w:val="1"/>
  </w:num>
  <w:num w:numId="15" w16cid:durableId="1925067694">
    <w:abstractNumId w:val="13"/>
  </w:num>
  <w:num w:numId="16" w16cid:durableId="948320022">
    <w:abstractNumId w:val="6"/>
  </w:num>
  <w:num w:numId="17" w16cid:durableId="366493347">
    <w:abstractNumId w:val="3"/>
  </w:num>
  <w:num w:numId="18" w16cid:durableId="2044669641">
    <w:abstractNumId w:val="12"/>
  </w:num>
  <w:num w:numId="19" w16cid:durableId="1280067496">
    <w:abstractNumId w:val="4"/>
  </w:num>
  <w:num w:numId="20" w16cid:durableId="885065525">
    <w:abstractNumId w:val="8"/>
  </w:num>
  <w:num w:numId="21" w16cid:durableId="1858424771">
    <w:abstractNumId w:val="7"/>
  </w:num>
  <w:num w:numId="22" w16cid:durableId="1526871891">
    <w:abstractNumId w:val="9"/>
  </w:num>
  <w:num w:numId="23" w16cid:durableId="2071996597">
    <w:abstractNumId w:val="15"/>
  </w:num>
  <w:num w:numId="24" w16cid:durableId="754934306">
    <w:abstractNumId w:val="21"/>
  </w:num>
  <w:num w:numId="25" w16cid:durableId="1889561601">
    <w:abstractNumId w:val="20"/>
  </w:num>
  <w:num w:numId="26" w16cid:durableId="1066302294">
    <w:abstractNumId w:val="22"/>
  </w:num>
  <w:num w:numId="27" w16cid:durableId="1309897519">
    <w:abstractNumId w:val="10"/>
  </w:num>
  <w:num w:numId="28" w16cid:durableId="13174961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721"/>
    <w:rsid w:val="00000DFF"/>
    <w:rsid w:val="000013FE"/>
    <w:rsid w:val="00003404"/>
    <w:rsid w:val="00003591"/>
    <w:rsid w:val="000076C8"/>
    <w:rsid w:val="00011370"/>
    <w:rsid w:val="00012742"/>
    <w:rsid w:val="00015318"/>
    <w:rsid w:val="00015697"/>
    <w:rsid w:val="00016057"/>
    <w:rsid w:val="0001669B"/>
    <w:rsid w:val="00017E6B"/>
    <w:rsid w:val="0002032A"/>
    <w:rsid w:val="00020854"/>
    <w:rsid w:val="00020BF6"/>
    <w:rsid w:val="00021460"/>
    <w:rsid w:val="00022A1F"/>
    <w:rsid w:val="00023D9C"/>
    <w:rsid w:val="00024C36"/>
    <w:rsid w:val="00025372"/>
    <w:rsid w:val="00025ED9"/>
    <w:rsid w:val="000266AD"/>
    <w:rsid w:val="0002685F"/>
    <w:rsid w:val="00026DC9"/>
    <w:rsid w:val="000271A7"/>
    <w:rsid w:val="000305E7"/>
    <w:rsid w:val="00030E1B"/>
    <w:rsid w:val="000310A2"/>
    <w:rsid w:val="000323CA"/>
    <w:rsid w:val="00034174"/>
    <w:rsid w:val="00034415"/>
    <w:rsid w:val="00036FDD"/>
    <w:rsid w:val="0003755B"/>
    <w:rsid w:val="00037741"/>
    <w:rsid w:val="00041A8E"/>
    <w:rsid w:val="00042121"/>
    <w:rsid w:val="00042852"/>
    <w:rsid w:val="0004592B"/>
    <w:rsid w:val="00051768"/>
    <w:rsid w:val="00053BD0"/>
    <w:rsid w:val="0005496A"/>
    <w:rsid w:val="00056C71"/>
    <w:rsid w:val="000612B3"/>
    <w:rsid w:val="0006346F"/>
    <w:rsid w:val="0006393E"/>
    <w:rsid w:val="000639DB"/>
    <w:rsid w:val="00064F51"/>
    <w:rsid w:val="00065B63"/>
    <w:rsid w:val="000671F4"/>
    <w:rsid w:val="00067867"/>
    <w:rsid w:val="0007274E"/>
    <w:rsid w:val="000737D6"/>
    <w:rsid w:val="000738BB"/>
    <w:rsid w:val="000741EF"/>
    <w:rsid w:val="000800B2"/>
    <w:rsid w:val="000812F0"/>
    <w:rsid w:val="00082143"/>
    <w:rsid w:val="00083306"/>
    <w:rsid w:val="00083D64"/>
    <w:rsid w:val="000859F6"/>
    <w:rsid w:val="0008655B"/>
    <w:rsid w:val="00091B4B"/>
    <w:rsid w:val="00091C44"/>
    <w:rsid w:val="00092D84"/>
    <w:rsid w:val="000943E4"/>
    <w:rsid w:val="0009582B"/>
    <w:rsid w:val="000A04D0"/>
    <w:rsid w:val="000A18BE"/>
    <w:rsid w:val="000A64BB"/>
    <w:rsid w:val="000B02F7"/>
    <w:rsid w:val="000B279A"/>
    <w:rsid w:val="000B330A"/>
    <w:rsid w:val="000B3E52"/>
    <w:rsid w:val="000B4472"/>
    <w:rsid w:val="000B676A"/>
    <w:rsid w:val="000B6B80"/>
    <w:rsid w:val="000B73EB"/>
    <w:rsid w:val="000B7E9C"/>
    <w:rsid w:val="000C2866"/>
    <w:rsid w:val="000C2F17"/>
    <w:rsid w:val="000C2F5E"/>
    <w:rsid w:val="000C3CDC"/>
    <w:rsid w:val="000C43BB"/>
    <w:rsid w:val="000C4AF8"/>
    <w:rsid w:val="000C6896"/>
    <w:rsid w:val="000D0721"/>
    <w:rsid w:val="000D08CC"/>
    <w:rsid w:val="000D0A97"/>
    <w:rsid w:val="000D0FF5"/>
    <w:rsid w:val="000D20EA"/>
    <w:rsid w:val="000D4475"/>
    <w:rsid w:val="000D6B48"/>
    <w:rsid w:val="000D7BA1"/>
    <w:rsid w:val="000E0AF9"/>
    <w:rsid w:val="000E3579"/>
    <w:rsid w:val="000E35D4"/>
    <w:rsid w:val="000E3D51"/>
    <w:rsid w:val="000E445A"/>
    <w:rsid w:val="000E6056"/>
    <w:rsid w:val="000E6280"/>
    <w:rsid w:val="000E7DD0"/>
    <w:rsid w:val="000F09AC"/>
    <w:rsid w:val="000F28FA"/>
    <w:rsid w:val="000F2F4E"/>
    <w:rsid w:val="000F3CC0"/>
    <w:rsid w:val="000F4F60"/>
    <w:rsid w:val="000F5859"/>
    <w:rsid w:val="0010065C"/>
    <w:rsid w:val="00101A7C"/>
    <w:rsid w:val="00101E77"/>
    <w:rsid w:val="001029D2"/>
    <w:rsid w:val="0010324E"/>
    <w:rsid w:val="00104705"/>
    <w:rsid w:val="0010692B"/>
    <w:rsid w:val="001074E5"/>
    <w:rsid w:val="0011019A"/>
    <w:rsid w:val="00111E7A"/>
    <w:rsid w:val="001126BC"/>
    <w:rsid w:val="00112883"/>
    <w:rsid w:val="00114111"/>
    <w:rsid w:val="00114B2D"/>
    <w:rsid w:val="00115770"/>
    <w:rsid w:val="00116CA9"/>
    <w:rsid w:val="00117DAA"/>
    <w:rsid w:val="00120599"/>
    <w:rsid w:val="00121280"/>
    <w:rsid w:val="001227EA"/>
    <w:rsid w:val="00122C67"/>
    <w:rsid w:val="00122EF1"/>
    <w:rsid w:val="0012582E"/>
    <w:rsid w:val="00126F87"/>
    <w:rsid w:val="00127A50"/>
    <w:rsid w:val="00127F8D"/>
    <w:rsid w:val="00130F10"/>
    <w:rsid w:val="00131598"/>
    <w:rsid w:val="00132DE8"/>
    <w:rsid w:val="001337D2"/>
    <w:rsid w:val="00133E78"/>
    <w:rsid w:val="00134517"/>
    <w:rsid w:val="0013621E"/>
    <w:rsid w:val="00141367"/>
    <w:rsid w:val="00141387"/>
    <w:rsid w:val="001427A2"/>
    <w:rsid w:val="0014344E"/>
    <w:rsid w:val="00143B4A"/>
    <w:rsid w:val="00144076"/>
    <w:rsid w:val="001453BB"/>
    <w:rsid w:val="001459D7"/>
    <w:rsid w:val="001461E3"/>
    <w:rsid w:val="001462BE"/>
    <w:rsid w:val="0014711F"/>
    <w:rsid w:val="00150271"/>
    <w:rsid w:val="00154943"/>
    <w:rsid w:val="00155743"/>
    <w:rsid w:val="00156354"/>
    <w:rsid w:val="00156CE2"/>
    <w:rsid w:val="001604A6"/>
    <w:rsid w:val="00162DD0"/>
    <w:rsid w:val="001660E3"/>
    <w:rsid w:val="001665DB"/>
    <w:rsid w:val="00166994"/>
    <w:rsid w:val="00166BA4"/>
    <w:rsid w:val="0016747E"/>
    <w:rsid w:val="00170AFC"/>
    <w:rsid w:val="00170D84"/>
    <w:rsid w:val="00173D5F"/>
    <w:rsid w:val="00174064"/>
    <w:rsid w:val="00176E05"/>
    <w:rsid w:val="0018190A"/>
    <w:rsid w:val="00184DFB"/>
    <w:rsid w:val="001872FB"/>
    <w:rsid w:val="00187D9D"/>
    <w:rsid w:val="0019224C"/>
    <w:rsid w:val="00192C9E"/>
    <w:rsid w:val="00192E4E"/>
    <w:rsid w:val="0019373A"/>
    <w:rsid w:val="00194814"/>
    <w:rsid w:val="00194FC1"/>
    <w:rsid w:val="001965BC"/>
    <w:rsid w:val="00197846"/>
    <w:rsid w:val="00197A05"/>
    <w:rsid w:val="001A16B0"/>
    <w:rsid w:val="001A2884"/>
    <w:rsid w:val="001A2D1E"/>
    <w:rsid w:val="001A4FA4"/>
    <w:rsid w:val="001A6115"/>
    <w:rsid w:val="001B069E"/>
    <w:rsid w:val="001B4DF4"/>
    <w:rsid w:val="001B5A6A"/>
    <w:rsid w:val="001B717C"/>
    <w:rsid w:val="001B773A"/>
    <w:rsid w:val="001B7FA1"/>
    <w:rsid w:val="001C2CA7"/>
    <w:rsid w:val="001C2D87"/>
    <w:rsid w:val="001C363E"/>
    <w:rsid w:val="001C478B"/>
    <w:rsid w:val="001D00F2"/>
    <w:rsid w:val="001D162F"/>
    <w:rsid w:val="001D1A10"/>
    <w:rsid w:val="001D23F3"/>
    <w:rsid w:val="001D777F"/>
    <w:rsid w:val="001E0303"/>
    <w:rsid w:val="001E123D"/>
    <w:rsid w:val="001E130E"/>
    <w:rsid w:val="001E247F"/>
    <w:rsid w:val="001E2534"/>
    <w:rsid w:val="001E3A92"/>
    <w:rsid w:val="001E3ECD"/>
    <w:rsid w:val="001E4CF1"/>
    <w:rsid w:val="001E4E6A"/>
    <w:rsid w:val="001E7544"/>
    <w:rsid w:val="001F13D5"/>
    <w:rsid w:val="001F27AF"/>
    <w:rsid w:val="001F4D09"/>
    <w:rsid w:val="00200F04"/>
    <w:rsid w:val="002016E0"/>
    <w:rsid w:val="002017D5"/>
    <w:rsid w:val="00203268"/>
    <w:rsid w:val="0020343F"/>
    <w:rsid w:val="00203641"/>
    <w:rsid w:val="00203AE4"/>
    <w:rsid w:val="0020602D"/>
    <w:rsid w:val="00206662"/>
    <w:rsid w:val="00207534"/>
    <w:rsid w:val="002103E9"/>
    <w:rsid w:val="00211448"/>
    <w:rsid w:val="00213430"/>
    <w:rsid w:val="002135BB"/>
    <w:rsid w:val="002148E4"/>
    <w:rsid w:val="002149BB"/>
    <w:rsid w:val="002161DB"/>
    <w:rsid w:val="00216EBC"/>
    <w:rsid w:val="002210A3"/>
    <w:rsid w:val="00221808"/>
    <w:rsid w:val="00222069"/>
    <w:rsid w:val="0022335E"/>
    <w:rsid w:val="00223500"/>
    <w:rsid w:val="00223CFA"/>
    <w:rsid w:val="002245DF"/>
    <w:rsid w:val="0022545B"/>
    <w:rsid w:val="00225A67"/>
    <w:rsid w:val="0023210E"/>
    <w:rsid w:val="00232642"/>
    <w:rsid w:val="002329CA"/>
    <w:rsid w:val="00234AC9"/>
    <w:rsid w:val="00235CAA"/>
    <w:rsid w:val="0023697D"/>
    <w:rsid w:val="00236FF2"/>
    <w:rsid w:val="0023749B"/>
    <w:rsid w:val="00237523"/>
    <w:rsid w:val="00237B21"/>
    <w:rsid w:val="00240416"/>
    <w:rsid w:val="00242478"/>
    <w:rsid w:val="00243213"/>
    <w:rsid w:val="00244C29"/>
    <w:rsid w:val="002464EF"/>
    <w:rsid w:val="00250EEB"/>
    <w:rsid w:val="002518D8"/>
    <w:rsid w:val="00252DA8"/>
    <w:rsid w:val="0025352E"/>
    <w:rsid w:val="00254947"/>
    <w:rsid w:val="002555CB"/>
    <w:rsid w:val="00256ADB"/>
    <w:rsid w:val="00257DD7"/>
    <w:rsid w:val="00260824"/>
    <w:rsid w:val="0026212F"/>
    <w:rsid w:val="00267BF8"/>
    <w:rsid w:val="002714C6"/>
    <w:rsid w:val="00272643"/>
    <w:rsid w:val="002739BB"/>
    <w:rsid w:val="00275ECF"/>
    <w:rsid w:val="002766D5"/>
    <w:rsid w:val="00277E45"/>
    <w:rsid w:val="00282A1A"/>
    <w:rsid w:val="00283C62"/>
    <w:rsid w:val="00285C9D"/>
    <w:rsid w:val="0028641B"/>
    <w:rsid w:val="00287329"/>
    <w:rsid w:val="00290936"/>
    <w:rsid w:val="0029226E"/>
    <w:rsid w:val="00294388"/>
    <w:rsid w:val="002A0D33"/>
    <w:rsid w:val="002A1828"/>
    <w:rsid w:val="002A20F7"/>
    <w:rsid w:val="002A320A"/>
    <w:rsid w:val="002A3EF4"/>
    <w:rsid w:val="002A454E"/>
    <w:rsid w:val="002A53F4"/>
    <w:rsid w:val="002A6000"/>
    <w:rsid w:val="002B1187"/>
    <w:rsid w:val="002B168B"/>
    <w:rsid w:val="002B339B"/>
    <w:rsid w:val="002B4538"/>
    <w:rsid w:val="002B4A5A"/>
    <w:rsid w:val="002B54F2"/>
    <w:rsid w:val="002B5701"/>
    <w:rsid w:val="002B644F"/>
    <w:rsid w:val="002B64D8"/>
    <w:rsid w:val="002B7A98"/>
    <w:rsid w:val="002C1391"/>
    <w:rsid w:val="002C1837"/>
    <w:rsid w:val="002C359A"/>
    <w:rsid w:val="002C4B41"/>
    <w:rsid w:val="002C5904"/>
    <w:rsid w:val="002C5AC6"/>
    <w:rsid w:val="002C7BF4"/>
    <w:rsid w:val="002D08DA"/>
    <w:rsid w:val="002D4804"/>
    <w:rsid w:val="002D5F68"/>
    <w:rsid w:val="002D69A3"/>
    <w:rsid w:val="002D7B3F"/>
    <w:rsid w:val="002E16CF"/>
    <w:rsid w:val="002E18B0"/>
    <w:rsid w:val="002E30BE"/>
    <w:rsid w:val="002E35A4"/>
    <w:rsid w:val="002E3740"/>
    <w:rsid w:val="002E4616"/>
    <w:rsid w:val="002E47E5"/>
    <w:rsid w:val="002E4BEF"/>
    <w:rsid w:val="002E5FA7"/>
    <w:rsid w:val="002E6DF1"/>
    <w:rsid w:val="002E7ED9"/>
    <w:rsid w:val="002F133D"/>
    <w:rsid w:val="002F1C66"/>
    <w:rsid w:val="002F1E9C"/>
    <w:rsid w:val="002F2582"/>
    <w:rsid w:val="002F2948"/>
    <w:rsid w:val="002F2AEB"/>
    <w:rsid w:val="002F3000"/>
    <w:rsid w:val="002F596D"/>
    <w:rsid w:val="00303BA1"/>
    <w:rsid w:val="00306286"/>
    <w:rsid w:val="00306C5F"/>
    <w:rsid w:val="00306C98"/>
    <w:rsid w:val="0030707A"/>
    <w:rsid w:val="00307233"/>
    <w:rsid w:val="00310197"/>
    <w:rsid w:val="00312765"/>
    <w:rsid w:val="00314BBA"/>
    <w:rsid w:val="00316769"/>
    <w:rsid w:val="0031714F"/>
    <w:rsid w:val="00317AD7"/>
    <w:rsid w:val="0032437D"/>
    <w:rsid w:val="0032539D"/>
    <w:rsid w:val="00327C0D"/>
    <w:rsid w:val="003319F7"/>
    <w:rsid w:val="0033253D"/>
    <w:rsid w:val="00333133"/>
    <w:rsid w:val="003335ED"/>
    <w:rsid w:val="00333794"/>
    <w:rsid w:val="003352A0"/>
    <w:rsid w:val="003361A8"/>
    <w:rsid w:val="003373AF"/>
    <w:rsid w:val="00340746"/>
    <w:rsid w:val="00342563"/>
    <w:rsid w:val="00343C8B"/>
    <w:rsid w:val="00344CAA"/>
    <w:rsid w:val="00344ED7"/>
    <w:rsid w:val="00351062"/>
    <w:rsid w:val="003530B9"/>
    <w:rsid w:val="003542A7"/>
    <w:rsid w:val="003544F9"/>
    <w:rsid w:val="00355C8C"/>
    <w:rsid w:val="0035617A"/>
    <w:rsid w:val="00357446"/>
    <w:rsid w:val="003604B5"/>
    <w:rsid w:val="00361484"/>
    <w:rsid w:val="00361D37"/>
    <w:rsid w:val="00363375"/>
    <w:rsid w:val="00363977"/>
    <w:rsid w:val="0036459B"/>
    <w:rsid w:val="00365124"/>
    <w:rsid w:val="00365FF9"/>
    <w:rsid w:val="00366A93"/>
    <w:rsid w:val="00367DEC"/>
    <w:rsid w:val="00371513"/>
    <w:rsid w:val="0037164B"/>
    <w:rsid w:val="00373EFD"/>
    <w:rsid w:val="00376388"/>
    <w:rsid w:val="003773E1"/>
    <w:rsid w:val="00377AF4"/>
    <w:rsid w:val="00377FED"/>
    <w:rsid w:val="00381E83"/>
    <w:rsid w:val="00383231"/>
    <w:rsid w:val="0038347D"/>
    <w:rsid w:val="003834A7"/>
    <w:rsid w:val="0038734B"/>
    <w:rsid w:val="00387ABB"/>
    <w:rsid w:val="0039008D"/>
    <w:rsid w:val="00390713"/>
    <w:rsid w:val="00391D17"/>
    <w:rsid w:val="00391D23"/>
    <w:rsid w:val="00392E2B"/>
    <w:rsid w:val="00394405"/>
    <w:rsid w:val="00396A29"/>
    <w:rsid w:val="00396C05"/>
    <w:rsid w:val="003A0B48"/>
    <w:rsid w:val="003A2EFB"/>
    <w:rsid w:val="003A4F74"/>
    <w:rsid w:val="003A6E24"/>
    <w:rsid w:val="003B3F25"/>
    <w:rsid w:val="003B44A4"/>
    <w:rsid w:val="003B62E9"/>
    <w:rsid w:val="003B6D66"/>
    <w:rsid w:val="003C08CF"/>
    <w:rsid w:val="003C0B65"/>
    <w:rsid w:val="003C142D"/>
    <w:rsid w:val="003C2F53"/>
    <w:rsid w:val="003C32B3"/>
    <w:rsid w:val="003C3683"/>
    <w:rsid w:val="003C53C9"/>
    <w:rsid w:val="003C5E2F"/>
    <w:rsid w:val="003C5FA7"/>
    <w:rsid w:val="003C6906"/>
    <w:rsid w:val="003C7DA0"/>
    <w:rsid w:val="003D09F6"/>
    <w:rsid w:val="003D26EB"/>
    <w:rsid w:val="003D37F5"/>
    <w:rsid w:val="003D6E30"/>
    <w:rsid w:val="003D77B4"/>
    <w:rsid w:val="003D7F61"/>
    <w:rsid w:val="003E4618"/>
    <w:rsid w:val="003E5417"/>
    <w:rsid w:val="003E5AF9"/>
    <w:rsid w:val="003E5F93"/>
    <w:rsid w:val="003E6F94"/>
    <w:rsid w:val="003E7F92"/>
    <w:rsid w:val="003F181A"/>
    <w:rsid w:val="003F2C56"/>
    <w:rsid w:val="003F2D9B"/>
    <w:rsid w:val="003F3A56"/>
    <w:rsid w:val="003F458F"/>
    <w:rsid w:val="003F48B3"/>
    <w:rsid w:val="003F4D73"/>
    <w:rsid w:val="003F54EA"/>
    <w:rsid w:val="003F5D55"/>
    <w:rsid w:val="00402905"/>
    <w:rsid w:val="00406087"/>
    <w:rsid w:val="004061C9"/>
    <w:rsid w:val="00406E42"/>
    <w:rsid w:val="00407638"/>
    <w:rsid w:val="00410F26"/>
    <w:rsid w:val="00411D89"/>
    <w:rsid w:val="004124E3"/>
    <w:rsid w:val="004138C1"/>
    <w:rsid w:val="00415AE2"/>
    <w:rsid w:val="004163E1"/>
    <w:rsid w:val="004167AF"/>
    <w:rsid w:val="00420192"/>
    <w:rsid w:val="00421E79"/>
    <w:rsid w:val="0042268B"/>
    <w:rsid w:val="00422A21"/>
    <w:rsid w:val="00422E57"/>
    <w:rsid w:val="004230EF"/>
    <w:rsid w:val="004236E4"/>
    <w:rsid w:val="00423764"/>
    <w:rsid w:val="00423E03"/>
    <w:rsid w:val="00424B0E"/>
    <w:rsid w:val="00425B7B"/>
    <w:rsid w:val="00425CF9"/>
    <w:rsid w:val="00427317"/>
    <w:rsid w:val="0043086A"/>
    <w:rsid w:val="00430A48"/>
    <w:rsid w:val="004320F8"/>
    <w:rsid w:val="004338AE"/>
    <w:rsid w:val="004338F2"/>
    <w:rsid w:val="00434818"/>
    <w:rsid w:val="00437905"/>
    <w:rsid w:val="004410C6"/>
    <w:rsid w:val="00441638"/>
    <w:rsid w:val="00442046"/>
    <w:rsid w:val="00446D41"/>
    <w:rsid w:val="004470B8"/>
    <w:rsid w:val="0044759A"/>
    <w:rsid w:val="004479F9"/>
    <w:rsid w:val="004506E7"/>
    <w:rsid w:val="00451390"/>
    <w:rsid w:val="00452D50"/>
    <w:rsid w:val="004535F3"/>
    <w:rsid w:val="00453A7C"/>
    <w:rsid w:val="00453C0B"/>
    <w:rsid w:val="004542A3"/>
    <w:rsid w:val="0045485B"/>
    <w:rsid w:val="00455155"/>
    <w:rsid w:val="00457D2F"/>
    <w:rsid w:val="00457EB2"/>
    <w:rsid w:val="004615D9"/>
    <w:rsid w:val="00462CB6"/>
    <w:rsid w:val="00465047"/>
    <w:rsid w:val="00466234"/>
    <w:rsid w:val="0047022B"/>
    <w:rsid w:val="004719F3"/>
    <w:rsid w:val="00471B84"/>
    <w:rsid w:val="004728AA"/>
    <w:rsid w:val="004729FC"/>
    <w:rsid w:val="00472CAA"/>
    <w:rsid w:val="00473A15"/>
    <w:rsid w:val="00475D34"/>
    <w:rsid w:val="00476C36"/>
    <w:rsid w:val="00477770"/>
    <w:rsid w:val="004827AB"/>
    <w:rsid w:val="00484830"/>
    <w:rsid w:val="00486407"/>
    <w:rsid w:val="004865AC"/>
    <w:rsid w:val="00486621"/>
    <w:rsid w:val="004867F4"/>
    <w:rsid w:val="004871E3"/>
    <w:rsid w:val="00487243"/>
    <w:rsid w:val="00487CA2"/>
    <w:rsid w:val="0049003C"/>
    <w:rsid w:val="0049052B"/>
    <w:rsid w:val="0049193E"/>
    <w:rsid w:val="004941A3"/>
    <w:rsid w:val="00494525"/>
    <w:rsid w:val="0049490A"/>
    <w:rsid w:val="0049726B"/>
    <w:rsid w:val="004A270C"/>
    <w:rsid w:val="004A2F96"/>
    <w:rsid w:val="004A5C1F"/>
    <w:rsid w:val="004A6893"/>
    <w:rsid w:val="004A6CDF"/>
    <w:rsid w:val="004B19DA"/>
    <w:rsid w:val="004B2A95"/>
    <w:rsid w:val="004B2CB5"/>
    <w:rsid w:val="004B32AF"/>
    <w:rsid w:val="004B3AA4"/>
    <w:rsid w:val="004B3BDA"/>
    <w:rsid w:val="004B70BD"/>
    <w:rsid w:val="004C0AF8"/>
    <w:rsid w:val="004C0BA5"/>
    <w:rsid w:val="004C14AE"/>
    <w:rsid w:val="004C1B93"/>
    <w:rsid w:val="004C2B88"/>
    <w:rsid w:val="004C3CB5"/>
    <w:rsid w:val="004C5913"/>
    <w:rsid w:val="004C73EF"/>
    <w:rsid w:val="004D0725"/>
    <w:rsid w:val="004D3558"/>
    <w:rsid w:val="004D3BEE"/>
    <w:rsid w:val="004D42FC"/>
    <w:rsid w:val="004D499F"/>
    <w:rsid w:val="004D76EC"/>
    <w:rsid w:val="004D7B0C"/>
    <w:rsid w:val="004E0EB5"/>
    <w:rsid w:val="004E142A"/>
    <w:rsid w:val="004E2575"/>
    <w:rsid w:val="004E359E"/>
    <w:rsid w:val="004E430B"/>
    <w:rsid w:val="004E4AE4"/>
    <w:rsid w:val="004E63BF"/>
    <w:rsid w:val="004E6C3F"/>
    <w:rsid w:val="004E6DBC"/>
    <w:rsid w:val="004E6E72"/>
    <w:rsid w:val="004E7C40"/>
    <w:rsid w:val="004E7F96"/>
    <w:rsid w:val="004E7FC2"/>
    <w:rsid w:val="004F0834"/>
    <w:rsid w:val="004F0D4D"/>
    <w:rsid w:val="004F2F2F"/>
    <w:rsid w:val="004F3702"/>
    <w:rsid w:val="004F40BA"/>
    <w:rsid w:val="004F4DCB"/>
    <w:rsid w:val="004F4E44"/>
    <w:rsid w:val="004F4E9C"/>
    <w:rsid w:val="004F5257"/>
    <w:rsid w:val="004F6288"/>
    <w:rsid w:val="00501E2E"/>
    <w:rsid w:val="0050323B"/>
    <w:rsid w:val="005040E6"/>
    <w:rsid w:val="00504FE3"/>
    <w:rsid w:val="00505BC1"/>
    <w:rsid w:val="00505CA3"/>
    <w:rsid w:val="0050638A"/>
    <w:rsid w:val="00507FC4"/>
    <w:rsid w:val="005104E2"/>
    <w:rsid w:val="005105A9"/>
    <w:rsid w:val="00510702"/>
    <w:rsid w:val="00513B91"/>
    <w:rsid w:val="005162EB"/>
    <w:rsid w:val="0051732D"/>
    <w:rsid w:val="00520E0F"/>
    <w:rsid w:val="005225F3"/>
    <w:rsid w:val="00522A07"/>
    <w:rsid w:val="00523776"/>
    <w:rsid w:val="00523DDD"/>
    <w:rsid w:val="005247E6"/>
    <w:rsid w:val="00525BB4"/>
    <w:rsid w:val="00526053"/>
    <w:rsid w:val="005308FB"/>
    <w:rsid w:val="00531101"/>
    <w:rsid w:val="00531CE8"/>
    <w:rsid w:val="00531FD2"/>
    <w:rsid w:val="00532B8F"/>
    <w:rsid w:val="00535228"/>
    <w:rsid w:val="005357EB"/>
    <w:rsid w:val="00535EC6"/>
    <w:rsid w:val="00536342"/>
    <w:rsid w:val="005404D3"/>
    <w:rsid w:val="00541B22"/>
    <w:rsid w:val="00541F9A"/>
    <w:rsid w:val="0054247F"/>
    <w:rsid w:val="005438D5"/>
    <w:rsid w:val="00547813"/>
    <w:rsid w:val="00547F36"/>
    <w:rsid w:val="00551D95"/>
    <w:rsid w:val="00551FAC"/>
    <w:rsid w:val="00552B45"/>
    <w:rsid w:val="005536DB"/>
    <w:rsid w:val="00553C4D"/>
    <w:rsid w:val="0056238E"/>
    <w:rsid w:val="005627AB"/>
    <w:rsid w:val="00562C51"/>
    <w:rsid w:val="00564D8E"/>
    <w:rsid w:val="00567F45"/>
    <w:rsid w:val="00570990"/>
    <w:rsid w:val="00571854"/>
    <w:rsid w:val="005720F3"/>
    <w:rsid w:val="005725B9"/>
    <w:rsid w:val="005728D9"/>
    <w:rsid w:val="0057331B"/>
    <w:rsid w:val="00574B72"/>
    <w:rsid w:val="00575E8D"/>
    <w:rsid w:val="00580FB7"/>
    <w:rsid w:val="0058271D"/>
    <w:rsid w:val="00583850"/>
    <w:rsid w:val="00583A91"/>
    <w:rsid w:val="00584BF1"/>
    <w:rsid w:val="00584FB8"/>
    <w:rsid w:val="0058559B"/>
    <w:rsid w:val="00590E1E"/>
    <w:rsid w:val="00592425"/>
    <w:rsid w:val="0059279E"/>
    <w:rsid w:val="00592CE7"/>
    <w:rsid w:val="005937AC"/>
    <w:rsid w:val="00593EC8"/>
    <w:rsid w:val="005954B1"/>
    <w:rsid w:val="005A1242"/>
    <w:rsid w:val="005A208C"/>
    <w:rsid w:val="005A3C17"/>
    <w:rsid w:val="005A41F1"/>
    <w:rsid w:val="005A5898"/>
    <w:rsid w:val="005A5FCC"/>
    <w:rsid w:val="005A6F3C"/>
    <w:rsid w:val="005A7521"/>
    <w:rsid w:val="005A7B33"/>
    <w:rsid w:val="005B35C3"/>
    <w:rsid w:val="005B50A3"/>
    <w:rsid w:val="005B51CB"/>
    <w:rsid w:val="005B7261"/>
    <w:rsid w:val="005C0B06"/>
    <w:rsid w:val="005C1A16"/>
    <w:rsid w:val="005C1D75"/>
    <w:rsid w:val="005C2441"/>
    <w:rsid w:val="005C3C6E"/>
    <w:rsid w:val="005C60B4"/>
    <w:rsid w:val="005C6FA1"/>
    <w:rsid w:val="005C7BD1"/>
    <w:rsid w:val="005D1788"/>
    <w:rsid w:val="005D2895"/>
    <w:rsid w:val="005D2916"/>
    <w:rsid w:val="005D2A8F"/>
    <w:rsid w:val="005E0201"/>
    <w:rsid w:val="005E27FD"/>
    <w:rsid w:val="005E4525"/>
    <w:rsid w:val="005E5674"/>
    <w:rsid w:val="005E64BB"/>
    <w:rsid w:val="005E6961"/>
    <w:rsid w:val="005F0011"/>
    <w:rsid w:val="005F1059"/>
    <w:rsid w:val="005F1B56"/>
    <w:rsid w:val="005F4FBD"/>
    <w:rsid w:val="005F5ACD"/>
    <w:rsid w:val="00600339"/>
    <w:rsid w:val="00600E2A"/>
    <w:rsid w:val="00602BAD"/>
    <w:rsid w:val="00602BF5"/>
    <w:rsid w:val="00603508"/>
    <w:rsid w:val="006039A4"/>
    <w:rsid w:val="006047EF"/>
    <w:rsid w:val="00605B3B"/>
    <w:rsid w:val="006109C6"/>
    <w:rsid w:val="0061144A"/>
    <w:rsid w:val="006124BE"/>
    <w:rsid w:val="00613497"/>
    <w:rsid w:val="00613DAE"/>
    <w:rsid w:val="006201F4"/>
    <w:rsid w:val="006213FB"/>
    <w:rsid w:val="00621EF3"/>
    <w:rsid w:val="00623ADC"/>
    <w:rsid w:val="00630BEA"/>
    <w:rsid w:val="00633367"/>
    <w:rsid w:val="006334CD"/>
    <w:rsid w:val="00634868"/>
    <w:rsid w:val="00634AAF"/>
    <w:rsid w:val="00634CBA"/>
    <w:rsid w:val="006362BD"/>
    <w:rsid w:val="00636EC9"/>
    <w:rsid w:val="00637DB5"/>
    <w:rsid w:val="006410EB"/>
    <w:rsid w:val="0064144B"/>
    <w:rsid w:val="00641FA4"/>
    <w:rsid w:val="00642448"/>
    <w:rsid w:val="006439BD"/>
    <w:rsid w:val="00644F3B"/>
    <w:rsid w:val="00645B77"/>
    <w:rsid w:val="00650847"/>
    <w:rsid w:val="00650EC6"/>
    <w:rsid w:val="006551D6"/>
    <w:rsid w:val="006567F6"/>
    <w:rsid w:val="00661411"/>
    <w:rsid w:val="006624BA"/>
    <w:rsid w:val="00662DC1"/>
    <w:rsid w:val="00663E20"/>
    <w:rsid w:val="00663ECA"/>
    <w:rsid w:val="00664DFA"/>
    <w:rsid w:val="00670695"/>
    <w:rsid w:val="00670812"/>
    <w:rsid w:val="00670AD5"/>
    <w:rsid w:val="00671388"/>
    <w:rsid w:val="006726F0"/>
    <w:rsid w:val="00672EAC"/>
    <w:rsid w:val="00673EF2"/>
    <w:rsid w:val="00674172"/>
    <w:rsid w:val="006747AA"/>
    <w:rsid w:val="006753BA"/>
    <w:rsid w:val="00675726"/>
    <w:rsid w:val="00677942"/>
    <w:rsid w:val="00680490"/>
    <w:rsid w:val="006809AF"/>
    <w:rsid w:val="00682D40"/>
    <w:rsid w:val="00682E08"/>
    <w:rsid w:val="00682F6E"/>
    <w:rsid w:val="00684080"/>
    <w:rsid w:val="00684C1B"/>
    <w:rsid w:val="006856E4"/>
    <w:rsid w:val="006861D5"/>
    <w:rsid w:val="00687AF8"/>
    <w:rsid w:val="00687D4B"/>
    <w:rsid w:val="00690113"/>
    <w:rsid w:val="006903FD"/>
    <w:rsid w:val="006904EC"/>
    <w:rsid w:val="00692AD4"/>
    <w:rsid w:val="00692FA4"/>
    <w:rsid w:val="00693C17"/>
    <w:rsid w:val="006948D6"/>
    <w:rsid w:val="00697586"/>
    <w:rsid w:val="00697E30"/>
    <w:rsid w:val="006A03A3"/>
    <w:rsid w:val="006A16AA"/>
    <w:rsid w:val="006A2EF8"/>
    <w:rsid w:val="006A3CB6"/>
    <w:rsid w:val="006A49FA"/>
    <w:rsid w:val="006A663D"/>
    <w:rsid w:val="006B0A84"/>
    <w:rsid w:val="006B0EC9"/>
    <w:rsid w:val="006B20BD"/>
    <w:rsid w:val="006B23C3"/>
    <w:rsid w:val="006B382E"/>
    <w:rsid w:val="006B610E"/>
    <w:rsid w:val="006B6543"/>
    <w:rsid w:val="006B6DFC"/>
    <w:rsid w:val="006C0D39"/>
    <w:rsid w:val="006C1CFA"/>
    <w:rsid w:val="006C1E93"/>
    <w:rsid w:val="006C2ACD"/>
    <w:rsid w:val="006C3A97"/>
    <w:rsid w:val="006C3CDA"/>
    <w:rsid w:val="006C4A5F"/>
    <w:rsid w:val="006C6152"/>
    <w:rsid w:val="006C6D12"/>
    <w:rsid w:val="006D2557"/>
    <w:rsid w:val="006D32CC"/>
    <w:rsid w:val="006D38E4"/>
    <w:rsid w:val="006D417E"/>
    <w:rsid w:val="006D73B4"/>
    <w:rsid w:val="006E2250"/>
    <w:rsid w:val="006E2948"/>
    <w:rsid w:val="006E2F9A"/>
    <w:rsid w:val="006E5FBE"/>
    <w:rsid w:val="006E768A"/>
    <w:rsid w:val="006F1A4C"/>
    <w:rsid w:val="006F357C"/>
    <w:rsid w:val="006F435A"/>
    <w:rsid w:val="006F460F"/>
    <w:rsid w:val="006F6358"/>
    <w:rsid w:val="006F63F8"/>
    <w:rsid w:val="006F65A2"/>
    <w:rsid w:val="006F6E14"/>
    <w:rsid w:val="00700C80"/>
    <w:rsid w:val="00702A79"/>
    <w:rsid w:val="007033E8"/>
    <w:rsid w:val="00703791"/>
    <w:rsid w:val="00703BE5"/>
    <w:rsid w:val="00705406"/>
    <w:rsid w:val="00706195"/>
    <w:rsid w:val="007072F4"/>
    <w:rsid w:val="00707533"/>
    <w:rsid w:val="00707F5D"/>
    <w:rsid w:val="00710018"/>
    <w:rsid w:val="007115F3"/>
    <w:rsid w:val="00711927"/>
    <w:rsid w:val="00713493"/>
    <w:rsid w:val="00714B16"/>
    <w:rsid w:val="0071537A"/>
    <w:rsid w:val="00716043"/>
    <w:rsid w:val="00716247"/>
    <w:rsid w:val="007204FF"/>
    <w:rsid w:val="00721438"/>
    <w:rsid w:val="00722977"/>
    <w:rsid w:val="00730ED5"/>
    <w:rsid w:val="0073141D"/>
    <w:rsid w:val="0073266F"/>
    <w:rsid w:val="00733D73"/>
    <w:rsid w:val="00734F78"/>
    <w:rsid w:val="007368AF"/>
    <w:rsid w:val="0073735D"/>
    <w:rsid w:val="0074195A"/>
    <w:rsid w:val="00741AA5"/>
    <w:rsid w:val="0074370E"/>
    <w:rsid w:val="00744C5A"/>
    <w:rsid w:val="00745E67"/>
    <w:rsid w:val="007468D0"/>
    <w:rsid w:val="00747209"/>
    <w:rsid w:val="00751D33"/>
    <w:rsid w:val="00753CB9"/>
    <w:rsid w:val="0075417B"/>
    <w:rsid w:val="00754B97"/>
    <w:rsid w:val="00754C0A"/>
    <w:rsid w:val="00754D3F"/>
    <w:rsid w:val="00755000"/>
    <w:rsid w:val="00760875"/>
    <w:rsid w:val="007615EA"/>
    <w:rsid w:val="00761C39"/>
    <w:rsid w:val="0076288F"/>
    <w:rsid w:val="00764F3A"/>
    <w:rsid w:val="00765F35"/>
    <w:rsid w:val="0077123C"/>
    <w:rsid w:val="00774BC9"/>
    <w:rsid w:val="00775EE9"/>
    <w:rsid w:val="00775EF9"/>
    <w:rsid w:val="00776207"/>
    <w:rsid w:val="00777242"/>
    <w:rsid w:val="00777267"/>
    <w:rsid w:val="007804C3"/>
    <w:rsid w:val="007831F0"/>
    <w:rsid w:val="007835C0"/>
    <w:rsid w:val="00784AF2"/>
    <w:rsid w:val="007861D9"/>
    <w:rsid w:val="0079064F"/>
    <w:rsid w:val="007920D7"/>
    <w:rsid w:val="007955DD"/>
    <w:rsid w:val="007A11D2"/>
    <w:rsid w:val="007A1589"/>
    <w:rsid w:val="007A1AB8"/>
    <w:rsid w:val="007A373D"/>
    <w:rsid w:val="007A4D34"/>
    <w:rsid w:val="007A52C5"/>
    <w:rsid w:val="007A5774"/>
    <w:rsid w:val="007A7244"/>
    <w:rsid w:val="007B0098"/>
    <w:rsid w:val="007B0F9A"/>
    <w:rsid w:val="007B12CB"/>
    <w:rsid w:val="007B3700"/>
    <w:rsid w:val="007B3EB5"/>
    <w:rsid w:val="007B4C7B"/>
    <w:rsid w:val="007B6E63"/>
    <w:rsid w:val="007B7437"/>
    <w:rsid w:val="007C1D4A"/>
    <w:rsid w:val="007C2F0F"/>
    <w:rsid w:val="007C3F9D"/>
    <w:rsid w:val="007C448D"/>
    <w:rsid w:val="007C4A1C"/>
    <w:rsid w:val="007C5289"/>
    <w:rsid w:val="007C680B"/>
    <w:rsid w:val="007C6CAC"/>
    <w:rsid w:val="007C7A8E"/>
    <w:rsid w:val="007D0627"/>
    <w:rsid w:val="007D2A46"/>
    <w:rsid w:val="007D3358"/>
    <w:rsid w:val="007D4354"/>
    <w:rsid w:val="007D538D"/>
    <w:rsid w:val="007D61EE"/>
    <w:rsid w:val="007D6BC3"/>
    <w:rsid w:val="007D776F"/>
    <w:rsid w:val="007D7B29"/>
    <w:rsid w:val="007E32E5"/>
    <w:rsid w:val="007E450D"/>
    <w:rsid w:val="007E554C"/>
    <w:rsid w:val="007E55AA"/>
    <w:rsid w:val="007E5E1E"/>
    <w:rsid w:val="007E6115"/>
    <w:rsid w:val="007E69A9"/>
    <w:rsid w:val="007E6EC2"/>
    <w:rsid w:val="007E72F2"/>
    <w:rsid w:val="007E7A64"/>
    <w:rsid w:val="007F12A4"/>
    <w:rsid w:val="007F20B8"/>
    <w:rsid w:val="007F53A0"/>
    <w:rsid w:val="007F5F68"/>
    <w:rsid w:val="007F7A2A"/>
    <w:rsid w:val="008018AC"/>
    <w:rsid w:val="00801B7F"/>
    <w:rsid w:val="00801D9F"/>
    <w:rsid w:val="00801DD3"/>
    <w:rsid w:val="00805B31"/>
    <w:rsid w:val="00805EA1"/>
    <w:rsid w:val="00806EBB"/>
    <w:rsid w:val="00812A6E"/>
    <w:rsid w:val="008137AE"/>
    <w:rsid w:val="00814F42"/>
    <w:rsid w:val="00815C35"/>
    <w:rsid w:val="00816972"/>
    <w:rsid w:val="00817036"/>
    <w:rsid w:val="00817CF2"/>
    <w:rsid w:val="00820A05"/>
    <w:rsid w:val="00820E84"/>
    <w:rsid w:val="00822546"/>
    <w:rsid w:val="00822726"/>
    <w:rsid w:val="00823EE5"/>
    <w:rsid w:val="00825830"/>
    <w:rsid w:val="00825897"/>
    <w:rsid w:val="00826AE6"/>
    <w:rsid w:val="0082711B"/>
    <w:rsid w:val="008279F7"/>
    <w:rsid w:val="0083035A"/>
    <w:rsid w:val="0083254F"/>
    <w:rsid w:val="00833B0D"/>
    <w:rsid w:val="0083508E"/>
    <w:rsid w:val="008356D6"/>
    <w:rsid w:val="00836BB8"/>
    <w:rsid w:val="00836E84"/>
    <w:rsid w:val="008372FF"/>
    <w:rsid w:val="0083755F"/>
    <w:rsid w:val="008376D6"/>
    <w:rsid w:val="00841909"/>
    <w:rsid w:val="00841A72"/>
    <w:rsid w:val="00842C1F"/>
    <w:rsid w:val="008431ED"/>
    <w:rsid w:val="008440CE"/>
    <w:rsid w:val="00845627"/>
    <w:rsid w:val="00845797"/>
    <w:rsid w:val="00845DC8"/>
    <w:rsid w:val="00846420"/>
    <w:rsid w:val="00847AC6"/>
    <w:rsid w:val="00851D6E"/>
    <w:rsid w:val="00851E9F"/>
    <w:rsid w:val="0085265F"/>
    <w:rsid w:val="008529F9"/>
    <w:rsid w:val="00852A50"/>
    <w:rsid w:val="0085303C"/>
    <w:rsid w:val="00857149"/>
    <w:rsid w:val="00857281"/>
    <w:rsid w:val="00860092"/>
    <w:rsid w:val="00861230"/>
    <w:rsid w:val="0086182F"/>
    <w:rsid w:val="00861D78"/>
    <w:rsid w:val="008626E2"/>
    <w:rsid w:val="008627A6"/>
    <w:rsid w:val="00862FC0"/>
    <w:rsid w:val="008639E5"/>
    <w:rsid w:val="00864C0E"/>
    <w:rsid w:val="00865BDE"/>
    <w:rsid w:val="0086654B"/>
    <w:rsid w:val="00866654"/>
    <w:rsid w:val="008667E4"/>
    <w:rsid w:val="00866B88"/>
    <w:rsid w:val="00866D52"/>
    <w:rsid w:val="00867F02"/>
    <w:rsid w:val="0087093D"/>
    <w:rsid w:val="008726B4"/>
    <w:rsid w:val="0087396E"/>
    <w:rsid w:val="00876587"/>
    <w:rsid w:val="0087666B"/>
    <w:rsid w:val="00876CF9"/>
    <w:rsid w:val="00877ACA"/>
    <w:rsid w:val="00880A44"/>
    <w:rsid w:val="008845D9"/>
    <w:rsid w:val="00884BBB"/>
    <w:rsid w:val="00884F1B"/>
    <w:rsid w:val="0088699F"/>
    <w:rsid w:val="008870E0"/>
    <w:rsid w:val="008878F1"/>
    <w:rsid w:val="00887DE5"/>
    <w:rsid w:val="00890AE2"/>
    <w:rsid w:val="00891296"/>
    <w:rsid w:val="00893AAD"/>
    <w:rsid w:val="00894C19"/>
    <w:rsid w:val="00896295"/>
    <w:rsid w:val="008962FC"/>
    <w:rsid w:val="00896773"/>
    <w:rsid w:val="00896989"/>
    <w:rsid w:val="00896F2B"/>
    <w:rsid w:val="008A0C73"/>
    <w:rsid w:val="008A1C96"/>
    <w:rsid w:val="008A1D44"/>
    <w:rsid w:val="008A29B8"/>
    <w:rsid w:val="008A31BE"/>
    <w:rsid w:val="008A31C6"/>
    <w:rsid w:val="008A33E8"/>
    <w:rsid w:val="008A4807"/>
    <w:rsid w:val="008A61A3"/>
    <w:rsid w:val="008B0A4D"/>
    <w:rsid w:val="008B0CF3"/>
    <w:rsid w:val="008B15A8"/>
    <w:rsid w:val="008B1798"/>
    <w:rsid w:val="008B568E"/>
    <w:rsid w:val="008B660E"/>
    <w:rsid w:val="008B68DC"/>
    <w:rsid w:val="008B7566"/>
    <w:rsid w:val="008B7BEA"/>
    <w:rsid w:val="008C13EC"/>
    <w:rsid w:val="008C1C3C"/>
    <w:rsid w:val="008C3CCF"/>
    <w:rsid w:val="008D0395"/>
    <w:rsid w:val="008D0CC7"/>
    <w:rsid w:val="008D16CF"/>
    <w:rsid w:val="008D3DF7"/>
    <w:rsid w:val="008D61E5"/>
    <w:rsid w:val="008D64FB"/>
    <w:rsid w:val="008D7CBC"/>
    <w:rsid w:val="008D7FEC"/>
    <w:rsid w:val="008E0261"/>
    <w:rsid w:val="008E2FC7"/>
    <w:rsid w:val="008E399F"/>
    <w:rsid w:val="008E405B"/>
    <w:rsid w:val="008E55B9"/>
    <w:rsid w:val="008E7145"/>
    <w:rsid w:val="008E7E5C"/>
    <w:rsid w:val="008F0434"/>
    <w:rsid w:val="008F095A"/>
    <w:rsid w:val="008F1050"/>
    <w:rsid w:val="008F1183"/>
    <w:rsid w:val="008F2199"/>
    <w:rsid w:val="008F2270"/>
    <w:rsid w:val="008F38A3"/>
    <w:rsid w:val="008F4255"/>
    <w:rsid w:val="008F51E8"/>
    <w:rsid w:val="008F52F5"/>
    <w:rsid w:val="009063D4"/>
    <w:rsid w:val="00907E84"/>
    <w:rsid w:val="0091241F"/>
    <w:rsid w:val="009127B6"/>
    <w:rsid w:val="009149D2"/>
    <w:rsid w:val="009159B2"/>
    <w:rsid w:val="00915F68"/>
    <w:rsid w:val="00916019"/>
    <w:rsid w:val="00916ADF"/>
    <w:rsid w:val="00917C67"/>
    <w:rsid w:val="009216F3"/>
    <w:rsid w:val="009228EE"/>
    <w:rsid w:val="0092353F"/>
    <w:rsid w:val="009237AE"/>
    <w:rsid w:val="0092497D"/>
    <w:rsid w:val="009255E8"/>
    <w:rsid w:val="009260A1"/>
    <w:rsid w:val="00926548"/>
    <w:rsid w:val="00930386"/>
    <w:rsid w:val="009336E9"/>
    <w:rsid w:val="00933F60"/>
    <w:rsid w:val="009349C4"/>
    <w:rsid w:val="00935409"/>
    <w:rsid w:val="00935F6E"/>
    <w:rsid w:val="00936EC5"/>
    <w:rsid w:val="009400C8"/>
    <w:rsid w:val="009402E7"/>
    <w:rsid w:val="009450F2"/>
    <w:rsid w:val="00946E89"/>
    <w:rsid w:val="0094D89A"/>
    <w:rsid w:val="00950AC4"/>
    <w:rsid w:val="009514BA"/>
    <w:rsid w:val="009524B9"/>
    <w:rsid w:val="009538D9"/>
    <w:rsid w:val="00954864"/>
    <w:rsid w:val="0096035F"/>
    <w:rsid w:val="009609E4"/>
    <w:rsid w:val="00962803"/>
    <w:rsid w:val="00962A7B"/>
    <w:rsid w:val="00963C14"/>
    <w:rsid w:val="00964F3F"/>
    <w:rsid w:val="00965DE3"/>
    <w:rsid w:val="00965FFB"/>
    <w:rsid w:val="00967FC1"/>
    <w:rsid w:val="00971E9E"/>
    <w:rsid w:val="0097223A"/>
    <w:rsid w:val="009731AA"/>
    <w:rsid w:val="0097430D"/>
    <w:rsid w:val="0097542C"/>
    <w:rsid w:val="009761AB"/>
    <w:rsid w:val="009765DB"/>
    <w:rsid w:val="009778F2"/>
    <w:rsid w:val="00977CF2"/>
    <w:rsid w:val="00980146"/>
    <w:rsid w:val="009814D6"/>
    <w:rsid w:val="00981F7E"/>
    <w:rsid w:val="009825EB"/>
    <w:rsid w:val="009861FB"/>
    <w:rsid w:val="00990191"/>
    <w:rsid w:val="0099080D"/>
    <w:rsid w:val="009911FF"/>
    <w:rsid w:val="00992226"/>
    <w:rsid w:val="009922A4"/>
    <w:rsid w:val="00992300"/>
    <w:rsid w:val="009926D7"/>
    <w:rsid w:val="00993EFD"/>
    <w:rsid w:val="00994A8C"/>
    <w:rsid w:val="00995354"/>
    <w:rsid w:val="00996926"/>
    <w:rsid w:val="009A0ADF"/>
    <w:rsid w:val="009A1DB4"/>
    <w:rsid w:val="009A4582"/>
    <w:rsid w:val="009A54DD"/>
    <w:rsid w:val="009B16C8"/>
    <w:rsid w:val="009B2579"/>
    <w:rsid w:val="009B2B03"/>
    <w:rsid w:val="009B3F13"/>
    <w:rsid w:val="009B43CC"/>
    <w:rsid w:val="009B4A65"/>
    <w:rsid w:val="009B6F1D"/>
    <w:rsid w:val="009B7CA9"/>
    <w:rsid w:val="009C1A25"/>
    <w:rsid w:val="009C2987"/>
    <w:rsid w:val="009C2B5B"/>
    <w:rsid w:val="009C4F0D"/>
    <w:rsid w:val="009C721F"/>
    <w:rsid w:val="009D0230"/>
    <w:rsid w:val="009D21A4"/>
    <w:rsid w:val="009D2730"/>
    <w:rsid w:val="009D35C1"/>
    <w:rsid w:val="009D3700"/>
    <w:rsid w:val="009D3C3B"/>
    <w:rsid w:val="009D3FAA"/>
    <w:rsid w:val="009D41DB"/>
    <w:rsid w:val="009D4ACA"/>
    <w:rsid w:val="009D55D5"/>
    <w:rsid w:val="009E2087"/>
    <w:rsid w:val="009E26E0"/>
    <w:rsid w:val="009E29DB"/>
    <w:rsid w:val="009E5067"/>
    <w:rsid w:val="009E5B1B"/>
    <w:rsid w:val="009E7CB5"/>
    <w:rsid w:val="009F2703"/>
    <w:rsid w:val="009F3AC9"/>
    <w:rsid w:val="009F6431"/>
    <w:rsid w:val="009F6757"/>
    <w:rsid w:val="009F679B"/>
    <w:rsid w:val="00A00EB4"/>
    <w:rsid w:val="00A01B78"/>
    <w:rsid w:val="00A030C3"/>
    <w:rsid w:val="00A05340"/>
    <w:rsid w:val="00A05AE0"/>
    <w:rsid w:val="00A07079"/>
    <w:rsid w:val="00A07159"/>
    <w:rsid w:val="00A07D2B"/>
    <w:rsid w:val="00A11E67"/>
    <w:rsid w:val="00A1337B"/>
    <w:rsid w:val="00A139BD"/>
    <w:rsid w:val="00A1463E"/>
    <w:rsid w:val="00A14BAD"/>
    <w:rsid w:val="00A14F40"/>
    <w:rsid w:val="00A157BD"/>
    <w:rsid w:val="00A1631C"/>
    <w:rsid w:val="00A17935"/>
    <w:rsid w:val="00A17E81"/>
    <w:rsid w:val="00A21527"/>
    <w:rsid w:val="00A2210C"/>
    <w:rsid w:val="00A26A13"/>
    <w:rsid w:val="00A30BC2"/>
    <w:rsid w:val="00A30ECE"/>
    <w:rsid w:val="00A317CE"/>
    <w:rsid w:val="00A32854"/>
    <w:rsid w:val="00A33ABB"/>
    <w:rsid w:val="00A36FFC"/>
    <w:rsid w:val="00A37BAA"/>
    <w:rsid w:val="00A422FD"/>
    <w:rsid w:val="00A4287E"/>
    <w:rsid w:val="00A42884"/>
    <w:rsid w:val="00A42A5D"/>
    <w:rsid w:val="00A43061"/>
    <w:rsid w:val="00A44D9A"/>
    <w:rsid w:val="00A457CA"/>
    <w:rsid w:val="00A45E42"/>
    <w:rsid w:val="00A46DA7"/>
    <w:rsid w:val="00A477C5"/>
    <w:rsid w:val="00A47B08"/>
    <w:rsid w:val="00A507F0"/>
    <w:rsid w:val="00A515E5"/>
    <w:rsid w:val="00A52500"/>
    <w:rsid w:val="00A5372A"/>
    <w:rsid w:val="00A54942"/>
    <w:rsid w:val="00A55BE4"/>
    <w:rsid w:val="00A55F6E"/>
    <w:rsid w:val="00A5632E"/>
    <w:rsid w:val="00A56723"/>
    <w:rsid w:val="00A6001B"/>
    <w:rsid w:val="00A61517"/>
    <w:rsid w:val="00A622BA"/>
    <w:rsid w:val="00A648D7"/>
    <w:rsid w:val="00A65563"/>
    <w:rsid w:val="00A66A26"/>
    <w:rsid w:val="00A700E1"/>
    <w:rsid w:val="00A7089E"/>
    <w:rsid w:val="00A718D4"/>
    <w:rsid w:val="00A71E0A"/>
    <w:rsid w:val="00A732CF"/>
    <w:rsid w:val="00A740B7"/>
    <w:rsid w:val="00A75DD8"/>
    <w:rsid w:val="00A76FC3"/>
    <w:rsid w:val="00A8041D"/>
    <w:rsid w:val="00A8254B"/>
    <w:rsid w:val="00A832D3"/>
    <w:rsid w:val="00A854F7"/>
    <w:rsid w:val="00A85FFC"/>
    <w:rsid w:val="00A94524"/>
    <w:rsid w:val="00A95F69"/>
    <w:rsid w:val="00A96AB1"/>
    <w:rsid w:val="00A9738C"/>
    <w:rsid w:val="00AA0904"/>
    <w:rsid w:val="00AA11E9"/>
    <w:rsid w:val="00AA14FF"/>
    <w:rsid w:val="00AA30B5"/>
    <w:rsid w:val="00AA3122"/>
    <w:rsid w:val="00AA31AB"/>
    <w:rsid w:val="00AA4901"/>
    <w:rsid w:val="00AA6847"/>
    <w:rsid w:val="00AA7394"/>
    <w:rsid w:val="00AA7EA7"/>
    <w:rsid w:val="00AB2E7E"/>
    <w:rsid w:val="00AB4B20"/>
    <w:rsid w:val="00AB4D7C"/>
    <w:rsid w:val="00AB5323"/>
    <w:rsid w:val="00AB5ADD"/>
    <w:rsid w:val="00AB659A"/>
    <w:rsid w:val="00AC06EB"/>
    <w:rsid w:val="00AC2826"/>
    <w:rsid w:val="00AC3D15"/>
    <w:rsid w:val="00AC455A"/>
    <w:rsid w:val="00AC4E6F"/>
    <w:rsid w:val="00AC7962"/>
    <w:rsid w:val="00AD0354"/>
    <w:rsid w:val="00AD1124"/>
    <w:rsid w:val="00AD2E75"/>
    <w:rsid w:val="00AD3367"/>
    <w:rsid w:val="00AD514F"/>
    <w:rsid w:val="00AD5BE6"/>
    <w:rsid w:val="00AD75B5"/>
    <w:rsid w:val="00AE0D78"/>
    <w:rsid w:val="00AE25DD"/>
    <w:rsid w:val="00AE29AC"/>
    <w:rsid w:val="00AE2E67"/>
    <w:rsid w:val="00AE30B1"/>
    <w:rsid w:val="00AE31D0"/>
    <w:rsid w:val="00AE3583"/>
    <w:rsid w:val="00AE3977"/>
    <w:rsid w:val="00AE4B47"/>
    <w:rsid w:val="00AE558A"/>
    <w:rsid w:val="00AE6FF9"/>
    <w:rsid w:val="00AE7522"/>
    <w:rsid w:val="00AF2333"/>
    <w:rsid w:val="00AF274C"/>
    <w:rsid w:val="00AF2EF1"/>
    <w:rsid w:val="00AF74C6"/>
    <w:rsid w:val="00AF7F7E"/>
    <w:rsid w:val="00B009EA"/>
    <w:rsid w:val="00B00AEC"/>
    <w:rsid w:val="00B00AF1"/>
    <w:rsid w:val="00B00EB9"/>
    <w:rsid w:val="00B0114F"/>
    <w:rsid w:val="00B024A2"/>
    <w:rsid w:val="00B02665"/>
    <w:rsid w:val="00B029C8"/>
    <w:rsid w:val="00B0329A"/>
    <w:rsid w:val="00B038A2"/>
    <w:rsid w:val="00B040EC"/>
    <w:rsid w:val="00B0449D"/>
    <w:rsid w:val="00B04A43"/>
    <w:rsid w:val="00B04B7D"/>
    <w:rsid w:val="00B06C98"/>
    <w:rsid w:val="00B07E75"/>
    <w:rsid w:val="00B1010C"/>
    <w:rsid w:val="00B10C66"/>
    <w:rsid w:val="00B1151A"/>
    <w:rsid w:val="00B11792"/>
    <w:rsid w:val="00B13A76"/>
    <w:rsid w:val="00B13B4B"/>
    <w:rsid w:val="00B13E6E"/>
    <w:rsid w:val="00B158E2"/>
    <w:rsid w:val="00B15B29"/>
    <w:rsid w:val="00B17940"/>
    <w:rsid w:val="00B17D68"/>
    <w:rsid w:val="00B2291A"/>
    <w:rsid w:val="00B23CF2"/>
    <w:rsid w:val="00B24474"/>
    <w:rsid w:val="00B24EEE"/>
    <w:rsid w:val="00B2562D"/>
    <w:rsid w:val="00B26CF0"/>
    <w:rsid w:val="00B306FF"/>
    <w:rsid w:val="00B30932"/>
    <w:rsid w:val="00B31F98"/>
    <w:rsid w:val="00B32A91"/>
    <w:rsid w:val="00B354C8"/>
    <w:rsid w:val="00B35781"/>
    <w:rsid w:val="00B3708D"/>
    <w:rsid w:val="00B469E6"/>
    <w:rsid w:val="00B47673"/>
    <w:rsid w:val="00B506AA"/>
    <w:rsid w:val="00B509B9"/>
    <w:rsid w:val="00B529E6"/>
    <w:rsid w:val="00B52EE3"/>
    <w:rsid w:val="00B5345F"/>
    <w:rsid w:val="00B53EA2"/>
    <w:rsid w:val="00B55729"/>
    <w:rsid w:val="00B564C5"/>
    <w:rsid w:val="00B56F9A"/>
    <w:rsid w:val="00B61819"/>
    <w:rsid w:val="00B61FA9"/>
    <w:rsid w:val="00B61FD0"/>
    <w:rsid w:val="00B62FD8"/>
    <w:rsid w:val="00B66C71"/>
    <w:rsid w:val="00B6730F"/>
    <w:rsid w:val="00B702DA"/>
    <w:rsid w:val="00B716FD"/>
    <w:rsid w:val="00B73B57"/>
    <w:rsid w:val="00B752F9"/>
    <w:rsid w:val="00B75E11"/>
    <w:rsid w:val="00B7791E"/>
    <w:rsid w:val="00B77C80"/>
    <w:rsid w:val="00B81883"/>
    <w:rsid w:val="00B8256F"/>
    <w:rsid w:val="00B82872"/>
    <w:rsid w:val="00B84007"/>
    <w:rsid w:val="00B8519B"/>
    <w:rsid w:val="00B860AE"/>
    <w:rsid w:val="00B8664F"/>
    <w:rsid w:val="00B86DFC"/>
    <w:rsid w:val="00B874B0"/>
    <w:rsid w:val="00B90E12"/>
    <w:rsid w:val="00B91C22"/>
    <w:rsid w:val="00B9299D"/>
    <w:rsid w:val="00B9343B"/>
    <w:rsid w:val="00B937B5"/>
    <w:rsid w:val="00B93C4C"/>
    <w:rsid w:val="00B95937"/>
    <w:rsid w:val="00B97E2B"/>
    <w:rsid w:val="00BA0C6B"/>
    <w:rsid w:val="00BA117B"/>
    <w:rsid w:val="00BA1A92"/>
    <w:rsid w:val="00BA2440"/>
    <w:rsid w:val="00BA27C9"/>
    <w:rsid w:val="00BA3635"/>
    <w:rsid w:val="00BA438D"/>
    <w:rsid w:val="00BA48C5"/>
    <w:rsid w:val="00BA4B6C"/>
    <w:rsid w:val="00BA5357"/>
    <w:rsid w:val="00BA5D7B"/>
    <w:rsid w:val="00BA67D1"/>
    <w:rsid w:val="00BA6B61"/>
    <w:rsid w:val="00BB12A8"/>
    <w:rsid w:val="00BB233A"/>
    <w:rsid w:val="00BB5F2C"/>
    <w:rsid w:val="00BB75F0"/>
    <w:rsid w:val="00BC3A78"/>
    <w:rsid w:val="00BC4009"/>
    <w:rsid w:val="00BC4896"/>
    <w:rsid w:val="00BC4CC2"/>
    <w:rsid w:val="00BC59D8"/>
    <w:rsid w:val="00BC609B"/>
    <w:rsid w:val="00BC63AE"/>
    <w:rsid w:val="00BC74E8"/>
    <w:rsid w:val="00BC7A7F"/>
    <w:rsid w:val="00BD1DDB"/>
    <w:rsid w:val="00BD2761"/>
    <w:rsid w:val="00BD32A7"/>
    <w:rsid w:val="00BD3724"/>
    <w:rsid w:val="00BD524C"/>
    <w:rsid w:val="00BD52AE"/>
    <w:rsid w:val="00BD618C"/>
    <w:rsid w:val="00BD71B5"/>
    <w:rsid w:val="00BD7F44"/>
    <w:rsid w:val="00BE1F84"/>
    <w:rsid w:val="00BE2417"/>
    <w:rsid w:val="00BE41AA"/>
    <w:rsid w:val="00BE6C6F"/>
    <w:rsid w:val="00BF14CD"/>
    <w:rsid w:val="00BF1D0A"/>
    <w:rsid w:val="00BF1F41"/>
    <w:rsid w:val="00BF5065"/>
    <w:rsid w:val="00C0162D"/>
    <w:rsid w:val="00C03844"/>
    <w:rsid w:val="00C03F23"/>
    <w:rsid w:val="00C04436"/>
    <w:rsid w:val="00C05C53"/>
    <w:rsid w:val="00C076F0"/>
    <w:rsid w:val="00C12985"/>
    <w:rsid w:val="00C12D05"/>
    <w:rsid w:val="00C12D1A"/>
    <w:rsid w:val="00C13A77"/>
    <w:rsid w:val="00C13D9D"/>
    <w:rsid w:val="00C155FC"/>
    <w:rsid w:val="00C217DB"/>
    <w:rsid w:val="00C22D5A"/>
    <w:rsid w:val="00C23405"/>
    <w:rsid w:val="00C24711"/>
    <w:rsid w:val="00C25071"/>
    <w:rsid w:val="00C2585A"/>
    <w:rsid w:val="00C265CA"/>
    <w:rsid w:val="00C27ACB"/>
    <w:rsid w:val="00C30130"/>
    <w:rsid w:val="00C30FF0"/>
    <w:rsid w:val="00C31DF1"/>
    <w:rsid w:val="00C32022"/>
    <w:rsid w:val="00C320D4"/>
    <w:rsid w:val="00C330E3"/>
    <w:rsid w:val="00C350C6"/>
    <w:rsid w:val="00C36B16"/>
    <w:rsid w:val="00C40E7B"/>
    <w:rsid w:val="00C41462"/>
    <w:rsid w:val="00C41B1A"/>
    <w:rsid w:val="00C42404"/>
    <w:rsid w:val="00C42EBA"/>
    <w:rsid w:val="00C434A1"/>
    <w:rsid w:val="00C43A61"/>
    <w:rsid w:val="00C4695B"/>
    <w:rsid w:val="00C472EF"/>
    <w:rsid w:val="00C503F7"/>
    <w:rsid w:val="00C509DC"/>
    <w:rsid w:val="00C517F2"/>
    <w:rsid w:val="00C528C5"/>
    <w:rsid w:val="00C5363F"/>
    <w:rsid w:val="00C53E2E"/>
    <w:rsid w:val="00C53E85"/>
    <w:rsid w:val="00C561BC"/>
    <w:rsid w:val="00C60462"/>
    <w:rsid w:val="00C6083B"/>
    <w:rsid w:val="00C6193D"/>
    <w:rsid w:val="00C63112"/>
    <w:rsid w:val="00C63CCE"/>
    <w:rsid w:val="00C64237"/>
    <w:rsid w:val="00C64961"/>
    <w:rsid w:val="00C65B60"/>
    <w:rsid w:val="00C65C74"/>
    <w:rsid w:val="00C669F0"/>
    <w:rsid w:val="00C67AD4"/>
    <w:rsid w:val="00C702F3"/>
    <w:rsid w:val="00C71BCD"/>
    <w:rsid w:val="00C730A5"/>
    <w:rsid w:val="00C83643"/>
    <w:rsid w:val="00C84F29"/>
    <w:rsid w:val="00C85401"/>
    <w:rsid w:val="00C90B00"/>
    <w:rsid w:val="00C91A94"/>
    <w:rsid w:val="00C9211B"/>
    <w:rsid w:val="00C93EC5"/>
    <w:rsid w:val="00C96DB4"/>
    <w:rsid w:val="00C976A0"/>
    <w:rsid w:val="00C97E11"/>
    <w:rsid w:val="00CA13D6"/>
    <w:rsid w:val="00CA2533"/>
    <w:rsid w:val="00CA3D19"/>
    <w:rsid w:val="00CA4379"/>
    <w:rsid w:val="00CA4E23"/>
    <w:rsid w:val="00CA54BC"/>
    <w:rsid w:val="00CA688C"/>
    <w:rsid w:val="00CB32BD"/>
    <w:rsid w:val="00CB425F"/>
    <w:rsid w:val="00CB626C"/>
    <w:rsid w:val="00CB643C"/>
    <w:rsid w:val="00CB6487"/>
    <w:rsid w:val="00CC0DEC"/>
    <w:rsid w:val="00CC0EC8"/>
    <w:rsid w:val="00CC47B9"/>
    <w:rsid w:val="00CC4E18"/>
    <w:rsid w:val="00CC7DDA"/>
    <w:rsid w:val="00CD1884"/>
    <w:rsid w:val="00CD28EA"/>
    <w:rsid w:val="00CD38C9"/>
    <w:rsid w:val="00CD4ADC"/>
    <w:rsid w:val="00CD4C5B"/>
    <w:rsid w:val="00CD4E4F"/>
    <w:rsid w:val="00CD5042"/>
    <w:rsid w:val="00CD79A8"/>
    <w:rsid w:val="00CE0109"/>
    <w:rsid w:val="00CE4795"/>
    <w:rsid w:val="00CE49D6"/>
    <w:rsid w:val="00CE49E8"/>
    <w:rsid w:val="00CE4A67"/>
    <w:rsid w:val="00CF4862"/>
    <w:rsid w:val="00D0281D"/>
    <w:rsid w:val="00D034E8"/>
    <w:rsid w:val="00D04B93"/>
    <w:rsid w:val="00D0561D"/>
    <w:rsid w:val="00D102FC"/>
    <w:rsid w:val="00D10C20"/>
    <w:rsid w:val="00D114DF"/>
    <w:rsid w:val="00D12120"/>
    <w:rsid w:val="00D12A4F"/>
    <w:rsid w:val="00D13EB9"/>
    <w:rsid w:val="00D1484E"/>
    <w:rsid w:val="00D1669E"/>
    <w:rsid w:val="00D16C69"/>
    <w:rsid w:val="00D17B0D"/>
    <w:rsid w:val="00D2056B"/>
    <w:rsid w:val="00D215A1"/>
    <w:rsid w:val="00D24630"/>
    <w:rsid w:val="00D2527E"/>
    <w:rsid w:val="00D27D6F"/>
    <w:rsid w:val="00D317C3"/>
    <w:rsid w:val="00D3182C"/>
    <w:rsid w:val="00D33494"/>
    <w:rsid w:val="00D36525"/>
    <w:rsid w:val="00D36846"/>
    <w:rsid w:val="00D36A78"/>
    <w:rsid w:val="00D40DEB"/>
    <w:rsid w:val="00D410DA"/>
    <w:rsid w:val="00D427F6"/>
    <w:rsid w:val="00D43B6D"/>
    <w:rsid w:val="00D43B99"/>
    <w:rsid w:val="00D51F3A"/>
    <w:rsid w:val="00D52D30"/>
    <w:rsid w:val="00D52DF6"/>
    <w:rsid w:val="00D54507"/>
    <w:rsid w:val="00D54BEB"/>
    <w:rsid w:val="00D564B0"/>
    <w:rsid w:val="00D57FC5"/>
    <w:rsid w:val="00D62976"/>
    <w:rsid w:val="00D63ABB"/>
    <w:rsid w:val="00D654FE"/>
    <w:rsid w:val="00D66D0A"/>
    <w:rsid w:val="00D6714B"/>
    <w:rsid w:val="00D6724E"/>
    <w:rsid w:val="00D7004F"/>
    <w:rsid w:val="00D728CC"/>
    <w:rsid w:val="00D735D5"/>
    <w:rsid w:val="00D752E5"/>
    <w:rsid w:val="00D769D6"/>
    <w:rsid w:val="00D76E58"/>
    <w:rsid w:val="00D77506"/>
    <w:rsid w:val="00D80460"/>
    <w:rsid w:val="00D813D8"/>
    <w:rsid w:val="00D8159D"/>
    <w:rsid w:val="00D82490"/>
    <w:rsid w:val="00D82F8F"/>
    <w:rsid w:val="00D8301A"/>
    <w:rsid w:val="00D84440"/>
    <w:rsid w:val="00D84A9C"/>
    <w:rsid w:val="00D85A4A"/>
    <w:rsid w:val="00D86A1E"/>
    <w:rsid w:val="00D92C5B"/>
    <w:rsid w:val="00D943A5"/>
    <w:rsid w:val="00D94D3F"/>
    <w:rsid w:val="00D95521"/>
    <w:rsid w:val="00D96E36"/>
    <w:rsid w:val="00DA030C"/>
    <w:rsid w:val="00DA0B62"/>
    <w:rsid w:val="00DA244F"/>
    <w:rsid w:val="00DA271B"/>
    <w:rsid w:val="00DA35C5"/>
    <w:rsid w:val="00DA3810"/>
    <w:rsid w:val="00DA3F60"/>
    <w:rsid w:val="00DA40B2"/>
    <w:rsid w:val="00DA4406"/>
    <w:rsid w:val="00DA4BA8"/>
    <w:rsid w:val="00DA74EA"/>
    <w:rsid w:val="00DB0290"/>
    <w:rsid w:val="00DB0D62"/>
    <w:rsid w:val="00DB1797"/>
    <w:rsid w:val="00DB36A1"/>
    <w:rsid w:val="00DB3BAD"/>
    <w:rsid w:val="00DB436C"/>
    <w:rsid w:val="00DC0E95"/>
    <w:rsid w:val="00DC20B1"/>
    <w:rsid w:val="00DC28FF"/>
    <w:rsid w:val="00DC3D69"/>
    <w:rsid w:val="00DC5700"/>
    <w:rsid w:val="00DC57B9"/>
    <w:rsid w:val="00DC6936"/>
    <w:rsid w:val="00DC6E4D"/>
    <w:rsid w:val="00DC71B5"/>
    <w:rsid w:val="00DD01AB"/>
    <w:rsid w:val="00DD0515"/>
    <w:rsid w:val="00DD0B7D"/>
    <w:rsid w:val="00DD1587"/>
    <w:rsid w:val="00DD1B5C"/>
    <w:rsid w:val="00DD24B7"/>
    <w:rsid w:val="00DD313A"/>
    <w:rsid w:val="00DE19F6"/>
    <w:rsid w:val="00DE4093"/>
    <w:rsid w:val="00DE6677"/>
    <w:rsid w:val="00DF21C6"/>
    <w:rsid w:val="00DF3196"/>
    <w:rsid w:val="00DF4710"/>
    <w:rsid w:val="00DF4B1E"/>
    <w:rsid w:val="00DF5A4A"/>
    <w:rsid w:val="00DF736A"/>
    <w:rsid w:val="00DF739E"/>
    <w:rsid w:val="00E00344"/>
    <w:rsid w:val="00E00581"/>
    <w:rsid w:val="00E015DB"/>
    <w:rsid w:val="00E01913"/>
    <w:rsid w:val="00E0375E"/>
    <w:rsid w:val="00E05597"/>
    <w:rsid w:val="00E059F1"/>
    <w:rsid w:val="00E105B9"/>
    <w:rsid w:val="00E112FE"/>
    <w:rsid w:val="00E123B9"/>
    <w:rsid w:val="00E124FB"/>
    <w:rsid w:val="00E1354A"/>
    <w:rsid w:val="00E1362E"/>
    <w:rsid w:val="00E15CC9"/>
    <w:rsid w:val="00E20C2C"/>
    <w:rsid w:val="00E21168"/>
    <w:rsid w:val="00E22817"/>
    <w:rsid w:val="00E23625"/>
    <w:rsid w:val="00E24B51"/>
    <w:rsid w:val="00E252D3"/>
    <w:rsid w:val="00E2726B"/>
    <w:rsid w:val="00E314D1"/>
    <w:rsid w:val="00E328B6"/>
    <w:rsid w:val="00E32FD8"/>
    <w:rsid w:val="00E3302F"/>
    <w:rsid w:val="00E346DF"/>
    <w:rsid w:val="00E36D94"/>
    <w:rsid w:val="00E402D3"/>
    <w:rsid w:val="00E40A3D"/>
    <w:rsid w:val="00E42AFA"/>
    <w:rsid w:val="00E4458A"/>
    <w:rsid w:val="00E46424"/>
    <w:rsid w:val="00E471EF"/>
    <w:rsid w:val="00E47D2A"/>
    <w:rsid w:val="00E50081"/>
    <w:rsid w:val="00E50D15"/>
    <w:rsid w:val="00E51345"/>
    <w:rsid w:val="00E51902"/>
    <w:rsid w:val="00E52310"/>
    <w:rsid w:val="00E53166"/>
    <w:rsid w:val="00E53BD0"/>
    <w:rsid w:val="00E5444C"/>
    <w:rsid w:val="00E55847"/>
    <w:rsid w:val="00E55B56"/>
    <w:rsid w:val="00E6128F"/>
    <w:rsid w:val="00E63D16"/>
    <w:rsid w:val="00E663E5"/>
    <w:rsid w:val="00E67905"/>
    <w:rsid w:val="00E70617"/>
    <w:rsid w:val="00E7425F"/>
    <w:rsid w:val="00E743CC"/>
    <w:rsid w:val="00E75894"/>
    <w:rsid w:val="00E768C5"/>
    <w:rsid w:val="00E81E1F"/>
    <w:rsid w:val="00E8356C"/>
    <w:rsid w:val="00E83C5F"/>
    <w:rsid w:val="00E84DDD"/>
    <w:rsid w:val="00E8599F"/>
    <w:rsid w:val="00E862D3"/>
    <w:rsid w:val="00E867F0"/>
    <w:rsid w:val="00E86B8F"/>
    <w:rsid w:val="00E87E9B"/>
    <w:rsid w:val="00E91805"/>
    <w:rsid w:val="00E95746"/>
    <w:rsid w:val="00E96403"/>
    <w:rsid w:val="00E965F4"/>
    <w:rsid w:val="00E97DD5"/>
    <w:rsid w:val="00EA0D6D"/>
    <w:rsid w:val="00EA12BA"/>
    <w:rsid w:val="00EA1D90"/>
    <w:rsid w:val="00EA2CFB"/>
    <w:rsid w:val="00EA522A"/>
    <w:rsid w:val="00EA55F4"/>
    <w:rsid w:val="00EA5610"/>
    <w:rsid w:val="00EA723F"/>
    <w:rsid w:val="00EA77C1"/>
    <w:rsid w:val="00EB393B"/>
    <w:rsid w:val="00EB41D0"/>
    <w:rsid w:val="00EB4F07"/>
    <w:rsid w:val="00EB645B"/>
    <w:rsid w:val="00EC05D5"/>
    <w:rsid w:val="00EC0937"/>
    <w:rsid w:val="00EC0DD1"/>
    <w:rsid w:val="00EC158F"/>
    <w:rsid w:val="00EC1A5C"/>
    <w:rsid w:val="00EC1BFB"/>
    <w:rsid w:val="00EC2A3E"/>
    <w:rsid w:val="00EC2C5C"/>
    <w:rsid w:val="00EC5303"/>
    <w:rsid w:val="00ED0716"/>
    <w:rsid w:val="00ED0C6A"/>
    <w:rsid w:val="00ED1643"/>
    <w:rsid w:val="00ED1B62"/>
    <w:rsid w:val="00ED1C09"/>
    <w:rsid w:val="00ED5047"/>
    <w:rsid w:val="00ED5D00"/>
    <w:rsid w:val="00ED782B"/>
    <w:rsid w:val="00ED7910"/>
    <w:rsid w:val="00EE0227"/>
    <w:rsid w:val="00EE0B43"/>
    <w:rsid w:val="00EE0FC9"/>
    <w:rsid w:val="00EE29A9"/>
    <w:rsid w:val="00EE2A04"/>
    <w:rsid w:val="00EE4F71"/>
    <w:rsid w:val="00EE7F1F"/>
    <w:rsid w:val="00EF1274"/>
    <w:rsid w:val="00EF1C49"/>
    <w:rsid w:val="00EF3126"/>
    <w:rsid w:val="00EF37D0"/>
    <w:rsid w:val="00EF4D3C"/>
    <w:rsid w:val="00EF554F"/>
    <w:rsid w:val="00EF642D"/>
    <w:rsid w:val="00EF6B31"/>
    <w:rsid w:val="00EF7914"/>
    <w:rsid w:val="00EF7A48"/>
    <w:rsid w:val="00F0108D"/>
    <w:rsid w:val="00F0144B"/>
    <w:rsid w:val="00F01B94"/>
    <w:rsid w:val="00F01F63"/>
    <w:rsid w:val="00F025E9"/>
    <w:rsid w:val="00F0288B"/>
    <w:rsid w:val="00F0542C"/>
    <w:rsid w:val="00F07D47"/>
    <w:rsid w:val="00F07E89"/>
    <w:rsid w:val="00F10F7B"/>
    <w:rsid w:val="00F11010"/>
    <w:rsid w:val="00F11F4B"/>
    <w:rsid w:val="00F126FF"/>
    <w:rsid w:val="00F127FC"/>
    <w:rsid w:val="00F12CE1"/>
    <w:rsid w:val="00F1514D"/>
    <w:rsid w:val="00F1612A"/>
    <w:rsid w:val="00F165D9"/>
    <w:rsid w:val="00F16C37"/>
    <w:rsid w:val="00F16E29"/>
    <w:rsid w:val="00F2014A"/>
    <w:rsid w:val="00F22912"/>
    <w:rsid w:val="00F244FA"/>
    <w:rsid w:val="00F2694C"/>
    <w:rsid w:val="00F27481"/>
    <w:rsid w:val="00F27551"/>
    <w:rsid w:val="00F27F54"/>
    <w:rsid w:val="00F3011E"/>
    <w:rsid w:val="00F308BE"/>
    <w:rsid w:val="00F30FAD"/>
    <w:rsid w:val="00F327D4"/>
    <w:rsid w:val="00F333A8"/>
    <w:rsid w:val="00F3392F"/>
    <w:rsid w:val="00F33D18"/>
    <w:rsid w:val="00F34490"/>
    <w:rsid w:val="00F34936"/>
    <w:rsid w:val="00F34DDD"/>
    <w:rsid w:val="00F34F12"/>
    <w:rsid w:val="00F35CDD"/>
    <w:rsid w:val="00F3655D"/>
    <w:rsid w:val="00F3710F"/>
    <w:rsid w:val="00F371CB"/>
    <w:rsid w:val="00F404B5"/>
    <w:rsid w:val="00F412F8"/>
    <w:rsid w:val="00F4359A"/>
    <w:rsid w:val="00F4643B"/>
    <w:rsid w:val="00F472BB"/>
    <w:rsid w:val="00F50787"/>
    <w:rsid w:val="00F51038"/>
    <w:rsid w:val="00F5177C"/>
    <w:rsid w:val="00F51E23"/>
    <w:rsid w:val="00F53681"/>
    <w:rsid w:val="00F54787"/>
    <w:rsid w:val="00F55652"/>
    <w:rsid w:val="00F56A30"/>
    <w:rsid w:val="00F579CF"/>
    <w:rsid w:val="00F601C3"/>
    <w:rsid w:val="00F61375"/>
    <w:rsid w:val="00F62671"/>
    <w:rsid w:val="00F63C57"/>
    <w:rsid w:val="00F6594E"/>
    <w:rsid w:val="00F6713E"/>
    <w:rsid w:val="00F7017B"/>
    <w:rsid w:val="00F72BFD"/>
    <w:rsid w:val="00F72F10"/>
    <w:rsid w:val="00F74293"/>
    <w:rsid w:val="00F74476"/>
    <w:rsid w:val="00F7486F"/>
    <w:rsid w:val="00F7512A"/>
    <w:rsid w:val="00F75A2D"/>
    <w:rsid w:val="00F75A67"/>
    <w:rsid w:val="00F75D45"/>
    <w:rsid w:val="00F76ECB"/>
    <w:rsid w:val="00F775B8"/>
    <w:rsid w:val="00F80D22"/>
    <w:rsid w:val="00F814D9"/>
    <w:rsid w:val="00F8548F"/>
    <w:rsid w:val="00F8602C"/>
    <w:rsid w:val="00F86A07"/>
    <w:rsid w:val="00F86A2E"/>
    <w:rsid w:val="00F87994"/>
    <w:rsid w:val="00F90A4E"/>
    <w:rsid w:val="00F90A94"/>
    <w:rsid w:val="00F92059"/>
    <w:rsid w:val="00F92C46"/>
    <w:rsid w:val="00F93280"/>
    <w:rsid w:val="00F94691"/>
    <w:rsid w:val="00F95FFA"/>
    <w:rsid w:val="00F96512"/>
    <w:rsid w:val="00F97004"/>
    <w:rsid w:val="00F976AA"/>
    <w:rsid w:val="00FA03D1"/>
    <w:rsid w:val="00FA1198"/>
    <w:rsid w:val="00FA2F3A"/>
    <w:rsid w:val="00FA345E"/>
    <w:rsid w:val="00FA3A94"/>
    <w:rsid w:val="00FA46E2"/>
    <w:rsid w:val="00FA4716"/>
    <w:rsid w:val="00FA583F"/>
    <w:rsid w:val="00FB10EA"/>
    <w:rsid w:val="00FB1A8D"/>
    <w:rsid w:val="00FB3422"/>
    <w:rsid w:val="00FB4184"/>
    <w:rsid w:val="00FB4364"/>
    <w:rsid w:val="00FB6571"/>
    <w:rsid w:val="00FB784A"/>
    <w:rsid w:val="00FC0C9F"/>
    <w:rsid w:val="00FC28EA"/>
    <w:rsid w:val="00FC3564"/>
    <w:rsid w:val="00FC3631"/>
    <w:rsid w:val="00FC3983"/>
    <w:rsid w:val="00FC4B28"/>
    <w:rsid w:val="00FC6815"/>
    <w:rsid w:val="00FC77CA"/>
    <w:rsid w:val="00FD0844"/>
    <w:rsid w:val="00FD0D63"/>
    <w:rsid w:val="00FD1C35"/>
    <w:rsid w:val="00FD1F0E"/>
    <w:rsid w:val="00FD277E"/>
    <w:rsid w:val="00FD33D1"/>
    <w:rsid w:val="00FD4957"/>
    <w:rsid w:val="00FD49CA"/>
    <w:rsid w:val="00FE1F02"/>
    <w:rsid w:val="00FE30C1"/>
    <w:rsid w:val="00FE566D"/>
    <w:rsid w:val="00FE5E9B"/>
    <w:rsid w:val="00FE6C7E"/>
    <w:rsid w:val="00FE7616"/>
    <w:rsid w:val="00FE7692"/>
    <w:rsid w:val="00FF00EE"/>
    <w:rsid w:val="00FF11B1"/>
    <w:rsid w:val="00FF29CA"/>
    <w:rsid w:val="00FF7182"/>
    <w:rsid w:val="00FF72C4"/>
    <w:rsid w:val="0F44384F"/>
    <w:rsid w:val="13200DBE"/>
    <w:rsid w:val="323339A9"/>
    <w:rsid w:val="33563133"/>
    <w:rsid w:val="37AB6442"/>
    <w:rsid w:val="3A99AC4E"/>
    <w:rsid w:val="46BAD323"/>
    <w:rsid w:val="492B4B8A"/>
    <w:rsid w:val="4BEE80FC"/>
    <w:rsid w:val="58FAD450"/>
    <w:rsid w:val="5F9A39F4"/>
    <w:rsid w:val="694474B8"/>
    <w:rsid w:val="69EC3D39"/>
    <w:rsid w:val="797C28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6F6D9"/>
  <w15:chartTrackingRefBased/>
  <w15:docId w15:val="{D4D40B12-1A36-4574-8F03-D16B41140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7CA"/>
    <w:rPr>
      <w:rFonts w:ascii="Century Gothic" w:hAnsi="Century Gothic"/>
      <w:sz w:val="20"/>
    </w:rPr>
  </w:style>
  <w:style w:type="paragraph" w:styleId="Heading1">
    <w:name w:val="heading 1"/>
    <w:basedOn w:val="Normal"/>
    <w:next w:val="Normal"/>
    <w:link w:val="Heading1Char"/>
    <w:qFormat/>
    <w:rsid w:val="009911FF"/>
    <w:pPr>
      <w:keepNext/>
      <w:keepLines/>
      <w:numPr>
        <w:numId w:val="28"/>
      </w:numPr>
      <w:spacing w:after="240" w:line="240" w:lineRule="auto"/>
      <w:outlineLvl w:val="0"/>
    </w:pPr>
    <w:rPr>
      <w:rFonts w:asciiTheme="majorHAnsi" w:eastAsiaTheme="majorEastAsia" w:hAnsiTheme="majorHAnsi" w:cstheme="majorBidi"/>
      <w:b/>
      <w:bCs/>
      <w:color w:val="044677" w:themeColor="accent1" w:themeShade="BF"/>
      <w:sz w:val="40"/>
      <w:szCs w:val="40"/>
    </w:rPr>
  </w:style>
  <w:style w:type="paragraph" w:styleId="Heading2">
    <w:name w:val="heading 2"/>
    <w:basedOn w:val="Heading1"/>
    <w:next w:val="Normal"/>
    <w:link w:val="Heading2Char"/>
    <w:unhideWhenUsed/>
    <w:qFormat/>
    <w:rsid w:val="009911FF"/>
    <w:pPr>
      <w:numPr>
        <w:ilvl w:val="1"/>
      </w:numPr>
      <w:outlineLvl w:val="1"/>
    </w:pPr>
    <w:rPr>
      <w:b w:val="0"/>
      <w:bCs w:val="0"/>
      <w:sz w:val="32"/>
      <w:szCs w:val="32"/>
    </w:rPr>
  </w:style>
  <w:style w:type="paragraph" w:styleId="Heading3">
    <w:name w:val="heading 3"/>
    <w:basedOn w:val="Heading2"/>
    <w:next w:val="Normal"/>
    <w:link w:val="Heading3Char"/>
    <w:unhideWhenUsed/>
    <w:qFormat/>
    <w:rsid w:val="007955DD"/>
    <w:pPr>
      <w:numPr>
        <w:ilvl w:val="2"/>
      </w:numPr>
      <w:ind w:left="0"/>
      <w:outlineLvl w:val="2"/>
    </w:pPr>
    <w:rPr>
      <w:sz w:val="28"/>
      <w:szCs w:val="28"/>
    </w:rPr>
  </w:style>
  <w:style w:type="paragraph" w:styleId="Heading4">
    <w:name w:val="heading 4"/>
    <w:basedOn w:val="Normal"/>
    <w:next w:val="Normal"/>
    <w:link w:val="Heading4Char"/>
    <w:uiPriority w:val="9"/>
    <w:unhideWhenUsed/>
    <w:qFormat/>
    <w:rsid w:val="00FE566D"/>
    <w:pPr>
      <w:keepNext/>
      <w:keepLines/>
      <w:spacing w:before="80" w:after="40"/>
      <w:outlineLvl w:val="3"/>
    </w:pPr>
    <w:rPr>
      <w:rFonts w:eastAsiaTheme="majorEastAsia" w:cstheme="majorBidi"/>
      <w:b/>
      <w:iCs/>
      <w:color w:val="044677" w:themeColor="accent1" w:themeShade="BF"/>
      <w:sz w:val="24"/>
    </w:rPr>
  </w:style>
  <w:style w:type="paragraph" w:styleId="Heading5">
    <w:name w:val="heading 5"/>
    <w:basedOn w:val="Normal"/>
    <w:next w:val="Normal"/>
    <w:link w:val="Heading5Char"/>
    <w:uiPriority w:val="9"/>
    <w:unhideWhenUsed/>
    <w:qFormat/>
    <w:rsid w:val="007C680B"/>
    <w:pPr>
      <w:keepNext/>
      <w:keepLines/>
      <w:spacing w:before="240" w:after="120"/>
      <w:outlineLvl w:val="4"/>
    </w:pPr>
    <w:rPr>
      <w:rFonts w:eastAsiaTheme="majorEastAsia" w:cstheme="majorBidi"/>
      <w:b/>
      <w:i/>
      <w:color w:val="044677" w:themeColor="accent1" w:themeShade="BF"/>
      <w:sz w:val="22"/>
    </w:rPr>
  </w:style>
  <w:style w:type="paragraph" w:styleId="Heading6">
    <w:name w:val="heading 6"/>
    <w:basedOn w:val="Heading1"/>
    <w:next w:val="Normal"/>
    <w:link w:val="Heading6Char"/>
    <w:uiPriority w:val="9"/>
    <w:unhideWhenUsed/>
    <w:qFormat/>
    <w:rsid w:val="00FD4957"/>
    <w:pPr>
      <w:numPr>
        <w:numId w:val="14"/>
      </w:numPr>
      <w:outlineLvl w:val="5"/>
    </w:pPr>
  </w:style>
  <w:style w:type="paragraph" w:styleId="Heading7">
    <w:name w:val="heading 7"/>
    <w:basedOn w:val="Heading2"/>
    <w:next w:val="Normal"/>
    <w:link w:val="Heading7Char"/>
    <w:uiPriority w:val="9"/>
    <w:unhideWhenUsed/>
    <w:qFormat/>
    <w:rsid w:val="00377AF4"/>
    <w:pPr>
      <w:numPr>
        <w:numId w:val="14"/>
      </w:numPr>
      <w:outlineLvl w:val="6"/>
    </w:pPr>
  </w:style>
  <w:style w:type="paragraph" w:styleId="Heading8">
    <w:name w:val="heading 8"/>
    <w:basedOn w:val="Normal"/>
    <w:next w:val="Normal"/>
    <w:link w:val="Heading8Char"/>
    <w:uiPriority w:val="9"/>
    <w:unhideWhenUsed/>
    <w:qFormat/>
    <w:rsid w:val="008A4807"/>
    <w:pPr>
      <w:keepNext/>
      <w:keepLines/>
      <w:numPr>
        <w:numId w:val="22"/>
      </w:numPr>
      <w:spacing w:after="0"/>
      <w:ind w:hanging="720"/>
      <w:outlineLvl w:val="7"/>
    </w:pPr>
    <w:rPr>
      <w:rFonts w:eastAsiaTheme="majorEastAsia" w:cstheme="majorBidi"/>
      <w:i/>
      <w:iCs/>
      <w:color w:val="044677" w:themeColor="accent1" w:themeShade="BF"/>
      <w:sz w:val="28"/>
    </w:rPr>
  </w:style>
  <w:style w:type="paragraph" w:styleId="Heading9">
    <w:name w:val="heading 9"/>
    <w:basedOn w:val="Normal"/>
    <w:next w:val="Normal"/>
    <w:link w:val="Heading9Char"/>
    <w:uiPriority w:val="9"/>
    <w:semiHidden/>
    <w:unhideWhenUsed/>
    <w:qFormat/>
    <w:rsid w:val="00F80D22"/>
    <w:pPr>
      <w:keepNext/>
      <w:keepLines/>
      <w:spacing w:after="0"/>
      <w:outlineLvl w:val="8"/>
    </w:pPr>
    <w:rPr>
      <w:rFonts w:eastAsiaTheme="majorEastAsia" w:cstheme="majorBidi"/>
      <w:color w:val="173B6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11FF"/>
    <w:rPr>
      <w:rFonts w:asciiTheme="majorHAnsi" w:eastAsiaTheme="majorEastAsia" w:hAnsiTheme="majorHAnsi" w:cstheme="majorBidi"/>
      <w:b/>
      <w:bCs/>
      <w:color w:val="044677" w:themeColor="accent1" w:themeShade="BF"/>
      <w:sz w:val="40"/>
      <w:szCs w:val="40"/>
    </w:rPr>
  </w:style>
  <w:style w:type="character" w:customStyle="1" w:styleId="Heading2Char">
    <w:name w:val="Heading 2 Char"/>
    <w:basedOn w:val="DefaultParagraphFont"/>
    <w:link w:val="Heading2"/>
    <w:rsid w:val="009911FF"/>
    <w:rPr>
      <w:rFonts w:asciiTheme="majorHAnsi" w:eastAsiaTheme="majorEastAsia" w:hAnsiTheme="majorHAnsi" w:cstheme="majorBidi"/>
      <w:color w:val="044677" w:themeColor="accent1" w:themeShade="BF"/>
      <w:sz w:val="32"/>
      <w:szCs w:val="32"/>
    </w:rPr>
  </w:style>
  <w:style w:type="character" w:customStyle="1" w:styleId="Heading3Char">
    <w:name w:val="Heading 3 Char"/>
    <w:basedOn w:val="DefaultParagraphFont"/>
    <w:link w:val="Heading3"/>
    <w:rsid w:val="007955DD"/>
    <w:rPr>
      <w:rFonts w:asciiTheme="majorHAnsi" w:eastAsiaTheme="majorEastAsia" w:hAnsiTheme="majorHAnsi" w:cstheme="majorBidi"/>
      <w:color w:val="044677" w:themeColor="accent1" w:themeShade="BF"/>
      <w:sz w:val="28"/>
      <w:szCs w:val="28"/>
    </w:rPr>
  </w:style>
  <w:style w:type="character" w:customStyle="1" w:styleId="Heading4Char">
    <w:name w:val="Heading 4 Char"/>
    <w:basedOn w:val="DefaultParagraphFont"/>
    <w:link w:val="Heading4"/>
    <w:uiPriority w:val="9"/>
    <w:rsid w:val="00FE566D"/>
    <w:rPr>
      <w:rFonts w:ascii="Century Gothic" w:eastAsiaTheme="majorEastAsia" w:hAnsi="Century Gothic" w:cstheme="majorBidi"/>
      <w:b/>
      <w:iCs/>
      <w:color w:val="044677" w:themeColor="accent1" w:themeShade="BF"/>
      <w:sz w:val="24"/>
    </w:rPr>
  </w:style>
  <w:style w:type="character" w:customStyle="1" w:styleId="Heading5Char">
    <w:name w:val="Heading 5 Char"/>
    <w:basedOn w:val="DefaultParagraphFont"/>
    <w:link w:val="Heading5"/>
    <w:uiPriority w:val="9"/>
    <w:rsid w:val="007C680B"/>
    <w:rPr>
      <w:rFonts w:ascii="Century Gothic" w:eastAsiaTheme="majorEastAsia" w:hAnsi="Century Gothic" w:cstheme="majorBidi"/>
      <w:b/>
      <w:i/>
      <w:color w:val="044677" w:themeColor="accent1" w:themeShade="BF"/>
    </w:rPr>
  </w:style>
  <w:style w:type="character" w:customStyle="1" w:styleId="Heading6Char">
    <w:name w:val="Heading 6 Char"/>
    <w:basedOn w:val="DefaultParagraphFont"/>
    <w:link w:val="Heading6"/>
    <w:uiPriority w:val="9"/>
    <w:rsid w:val="00FD4957"/>
    <w:rPr>
      <w:rFonts w:asciiTheme="majorHAnsi" w:eastAsiaTheme="majorEastAsia" w:hAnsiTheme="majorHAnsi" w:cstheme="majorBidi"/>
      <w:color w:val="044677" w:themeColor="accent1" w:themeShade="BF"/>
      <w:sz w:val="40"/>
      <w:szCs w:val="40"/>
    </w:rPr>
  </w:style>
  <w:style w:type="character" w:customStyle="1" w:styleId="Heading7Char">
    <w:name w:val="Heading 7 Char"/>
    <w:basedOn w:val="DefaultParagraphFont"/>
    <w:link w:val="Heading7"/>
    <w:uiPriority w:val="9"/>
    <w:rsid w:val="00377AF4"/>
    <w:rPr>
      <w:rFonts w:asciiTheme="majorHAnsi" w:eastAsiaTheme="majorEastAsia" w:hAnsiTheme="majorHAnsi" w:cstheme="majorBidi"/>
      <w:color w:val="044677" w:themeColor="accent1" w:themeShade="BF"/>
      <w:sz w:val="32"/>
      <w:szCs w:val="32"/>
    </w:rPr>
  </w:style>
  <w:style w:type="character" w:customStyle="1" w:styleId="Heading8Char">
    <w:name w:val="Heading 8 Char"/>
    <w:basedOn w:val="DefaultParagraphFont"/>
    <w:link w:val="Heading8"/>
    <w:uiPriority w:val="9"/>
    <w:rsid w:val="008A4807"/>
    <w:rPr>
      <w:rFonts w:ascii="Century Gothic" w:eastAsiaTheme="majorEastAsia" w:hAnsi="Century Gothic" w:cstheme="majorBidi"/>
      <w:i/>
      <w:iCs/>
      <w:color w:val="044677" w:themeColor="accent1" w:themeShade="BF"/>
      <w:sz w:val="28"/>
    </w:rPr>
  </w:style>
  <w:style w:type="character" w:customStyle="1" w:styleId="Heading9Char">
    <w:name w:val="Heading 9 Char"/>
    <w:basedOn w:val="DefaultParagraphFont"/>
    <w:link w:val="Heading9"/>
    <w:uiPriority w:val="9"/>
    <w:semiHidden/>
    <w:rsid w:val="00F80D22"/>
    <w:rPr>
      <w:rFonts w:eastAsiaTheme="majorEastAsia" w:cstheme="majorBidi"/>
      <w:color w:val="173B63" w:themeColor="text1" w:themeTint="D8"/>
    </w:rPr>
  </w:style>
  <w:style w:type="paragraph" w:styleId="Title">
    <w:name w:val="Title"/>
    <w:basedOn w:val="Normal"/>
    <w:next w:val="Normal"/>
    <w:link w:val="TitleChar"/>
    <w:uiPriority w:val="10"/>
    <w:qFormat/>
    <w:rsid w:val="00F80D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D22"/>
    <w:rPr>
      <w:rFonts w:asciiTheme="majorHAnsi" w:eastAsiaTheme="majorEastAsia" w:hAnsiTheme="majorHAnsi" w:cstheme="majorBidi"/>
      <w:spacing w:val="-10"/>
      <w:kern w:val="28"/>
      <w:sz w:val="56"/>
      <w:szCs w:val="56"/>
    </w:rPr>
  </w:style>
  <w:style w:type="paragraph" w:customStyle="1" w:styleId="SectionDivider">
    <w:name w:val="Section Divider"/>
    <w:basedOn w:val="Normal"/>
    <w:qFormat/>
    <w:rsid w:val="00703BE5"/>
    <w:pPr>
      <w:framePr w:w="7704" w:h="3456" w:hRule="exact" w:hSpace="576" w:wrap="around" w:vAnchor="text" w:hAnchor="page" w:x="3558" w:y="4883"/>
      <w:numPr>
        <w:numId w:val="2"/>
      </w:numPr>
      <w:ind w:left="-144" w:right="-144" w:firstLine="0"/>
      <w:jc w:val="right"/>
    </w:pPr>
    <w:rPr>
      <w:color w:val="07314E"/>
      <w:sz w:val="52"/>
    </w:rPr>
  </w:style>
  <w:style w:type="paragraph" w:customStyle="1" w:styleId="TableText">
    <w:name w:val="Table Text"/>
    <w:qFormat/>
    <w:rsid w:val="00887DE5"/>
    <w:pPr>
      <w:spacing w:after="0" w:line="240" w:lineRule="auto"/>
    </w:pPr>
    <w:rPr>
      <w:rFonts w:ascii="Century Gothic" w:eastAsia="SimSun" w:hAnsi="Century Gothic" w:cs="Segoe UI"/>
      <w:kern w:val="0"/>
      <w:sz w:val="20"/>
      <w:szCs w:val="20"/>
      <w14:ligatures w14:val="none"/>
    </w:rPr>
  </w:style>
  <w:style w:type="paragraph" w:styleId="Quote">
    <w:name w:val="Quote"/>
    <w:basedOn w:val="Normal"/>
    <w:next w:val="Normal"/>
    <w:link w:val="QuoteChar"/>
    <w:uiPriority w:val="29"/>
    <w:qFormat/>
    <w:rsid w:val="00F80D22"/>
    <w:pPr>
      <w:spacing w:before="160"/>
      <w:jc w:val="center"/>
    </w:pPr>
    <w:rPr>
      <w:i/>
      <w:iCs/>
      <w:color w:val="1F5187" w:themeColor="text1" w:themeTint="BF"/>
    </w:rPr>
  </w:style>
  <w:style w:type="character" w:customStyle="1" w:styleId="QuoteChar">
    <w:name w:val="Quote Char"/>
    <w:basedOn w:val="DefaultParagraphFont"/>
    <w:link w:val="Quote"/>
    <w:uiPriority w:val="29"/>
    <w:rsid w:val="00F80D22"/>
    <w:rPr>
      <w:i/>
      <w:iCs/>
      <w:color w:val="1F5187" w:themeColor="text1" w:themeTint="BF"/>
    </w:rPr>
  </w:style>
  <w:style w:type="paragraph" w:styleId="ListParagraph">
    <w:name w:val="List Paragraph"/>
    <w:basedOn w:val="Normal"/>
    <w:uiPriority w:val="34"/>
    <w:qFormat/>
    <w:rsid w:val="00F80D22"/>
    <w:pPr>
      <w:ind w:left="720"/>
      <w:contextualSpacing/>
    </w:pPr>
  </w:style>
  <w:style w:type="character" w:styleId="IntenseEmphasis">
    <w:name w:val="Intense Emphasis"/>
    <w:basedOn w:val="DefaultParagraphFont"/>
    <w:uiPriority w:val="21"/>
    <w:qFormat/>
    <w:rsid w:val="00F80D22"/>
    <w:rPr>
      <w:i/>
      <w:iCs/>
      <w:color w:val="044677" w:themeColor="accent1" w:themeShade="BF"/>
    </w:rPr>
  </w:style>
  <w:style w:type="paragraph" w:styleId="IntenseQuote">
    <w:name w:val="Intense Quote"/>
    <w:basedOn w:val="Normal"/>
    <w:next w:val="Normal"/>
    <w:link w:val="IntenseQuoteChar"/>
    <w:uiPriority w:val="30"/>
    <w:qFormat/>
    <w:rsid w:val="00F80D22"/>
    <w:pPr>
      <w:pBdr>
        <w:top w:val="single" w:sz="4" w:space="10" w:color="044677" w:themeColor="accent1" w:themeShade="BF"/>
        <w:bottom w:val="single" w:sz="4" w:space="10" w:color="044677" w:themeColor="accent1" w:themeShade="BF"/>
      </w:pBdr>
      <w:spacing w:before="360" w:after="360"/>
      <w:ind w:left="864" w:right="864"/>
      <w:jc w:val="center"/>
    </w:pPr>
    <w:rPr>
      <w:i/>
      <w:iCs/>
      <w:color w:val="044677" w:themeColor="accent1" w:themeShade="BF"/>
    </w:rPr>
  </w:style>
  <w:style w:type="character" w:customStyle="1" w:styleId="IntenseQuoteChar">
    <w:name w:val="Intense Quote Char"/>
    <w:basedOn w:val="DefaultParagraphFont"/>
    <w:link w:val="IntenseQuote"/>
    <w:uiPriority w:val="30"/>
    <w:rsid w:val="00F80D22"/>
    <w:rPr>
      <w:i/>
      <w:iCs/>
      <w:color w:val="044677" w:themeColor="accent1" w:themeShade="BF"/>
    </w:rPr>
  </w:style>
  <w:style w:type="character" w:styleId="IntenseReference">
    <w:name w:val="Intense Reference"/>
    <w:basedOn w:val="DefaultParagraphFont"/>
    <w:uiPriority w:val="32"/>
    <w:qFormat/>
    <w:rsid w:val="00F80D22"/>
    <w:rPr>
      <w:b/>
      <w:bCs/>
      <w:smallCaps/>
      <w:color w:val="044677" w:themeColor="accent1" w:themeShade="BF"/>
      <w:spacing w:val="5"/>
    </w:rPr>
  </w:style>
  <w:style w:type="paragraph" w:styleId="Header">
    <w:name w:val="header"/>
    <w:basedOn w:val="Normal"/>
    <w:link w:val="HeaderChar"/>
    <w:uiPriority w:val="99"/>
    <w:unhideWhenUsed/>
    <w:rsid w:val="007E55AA"/>
    <w:pPr>
      <w:pBdr>
        <w:bottom w:val="single" w:sz="18" w:space="6" w:color="auto"/>
      </w:pBdr>
      <w:tabs>
        <w:tab w:val="center" w:pos="4680"/>
        <w:tab w:val="right" w:pos="9360"/>
      </w:tabs>
      <w:spacing w:after="0" w:line="240" w:lineRule="auto"/>
    </w:pPr>
    <w:rPr>
      <w:rFonts w:asciiTheme="majorHAnsi" w:hAnsiTheme="majorHAnsi"/>
      <w:color w:val="07314E"/>
      <w:sz w:val="22"/>
    </w:rPr>
  </w:style>
  <w:style w:type="character" w:customStyle="1" w:styleId="HeaderChar">
    <w:name w:val="Header Char"/>
    <w:basedOn w:val="DefaultParagraphFont"/>
    <w:link w:val="Header"/>
    <w:uiPriority w:val="99"/>
    <w:rsid w:val="007E55AA"/>
    <w:rPr>
      <w:rFonts w:asciiTheme="majorHAnsi" w:hAnsiTheme="majorHAnsi"/>
      <w:color w:val="07314E"/>
    </w:rPr>
  </w:style>
  <w:style w:type="paragraph" w:styleId="Footer">
    <w:name w:val="footer"/>
    <w:basedOn w:val="Normal"/>
    <w:link w:val="FooterChar"/>
    <w:uiPriority w:val="99"/>
    <w:unhideWhenUsed/>
    <w:rsid w:val="00F80D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D22"/>
  </w:style>
  <w:style w:type="paragraph" w:customStyle="1" w:styleId="CoverTitle">
    <w:name w:val="Cover Title"/>
    <w:basedOn w:val="Normal"/>
    <w:qFormat/>
    <w:rsid w:val="0057331B"/>
    <w:rPr>
      <w:b/>
      <w:caps/>
      <w:color w:val="FFFFFF" w:themeColor="background1"/>
      <w:sz w:val="72"/>
    </w:rPr>
  </w:style>
  <w:style w:type="paragraph" w:customStyle="1" w:styleId="CoverTitle2">
    <w:name w:val="Cover Title 2"/>
    <w:basedOn w:val="Normal"/>
    <w:next w:val="Covertext"/>
    <w:qFormat/>
    <w:rsid w:val="00F80D22"/>
    <w:pPr>
      <w:spacing w:after="720"/>
    </w:pPr>
    <w:rPr>
      <w:i/>
      <w:color w:val="FFFFFF" w:themeColor="background1"/>
      <w:sz w:val="40"/>
    </w:rPr>
  </w:style>
  <w:style w:type="paragraph" w:customStyle="1" w:styleId="Covertext">
    <w:name w:val="Cover text"/>
    <w:next w:val="Normal"/>
    <w:qFormat/>
    <w:rsid w:val="00F80D22"/>
    <w:rPr>
      <w:rFonts w:ascii="Century Gothic" w:hAnsi="Century Gothic"/>
      <w:b/>
      <w:color w:val="FFFFFF" w:themeColor="background1"/>
      <w:sz w:val="24"/>
    </w:rPr>
  </w:style>
  <w:style w:type="character" w:styleId="Emphasis">
    <w:name w:val="Emphasis"/>
    <w:basedOn w:val="DefaultParagraphFont"/>
    <w:uiPriority w:val="20"/>
    <w:qFormat/>
    <w:rsid w:val="00F80D22"/>
    <w:rPr>
      <w:i/>
      <w:iCs/>
    </w:rPr>
  </w:style>
  <w:style w:type="paragraph" w:customStyle="1" w:styleId="TitlePage1">
    <w:name w:val="Title Page 1"/>
    <w:basedOn w:val="Normal"/>
    <w:qFormat/>
    <w:rsid w:val="003544F9"/>
    <w:pPr>
      <w:spacing w:before="240" w:after="240"/>
      <w:ind w:left="2592"/>
    </w:pPr>
    <w:rPr>
      <w:sz w:val="72"/>
    </w:rPr>
  </w:style>
  <w:style w:type="paragraph" w:customStyle="1" w:styleId="TitlePage2">
    <w:name w:val="Title Page 2"/>
    <w:basedOn w:val="Normal"/>
    <w:qFormat/>
    <w:rsid w:val="003544F9"/>
    <w:pPr>
      <w:spacing w:after="600"/>
      <w:ind w:left="2592"/>
    </w:pPr>
    <w:rPr>
      <w:sz w:val="48"/>
    </w:rPr>
  </w:style>
  <w:style w:type="paragraph" w:customStyle="1" w:styleId="TitlePageText">
    <w:name w:val="Title Page Text"/>
    <w:basedOn w:val="Normal"/>
    <w:qFormat/>
    <w:rsid w:val="006E2250"/>
    <w:pPr>
      <w:spacing w:after="480"/>
      <w:ind w:left="2592"/>
    </w:pPr>
    <w:rPr>
      <w:sz w:val="24"/>
    </w:rPr>
  </w:style>
  <w:style w:type="paragraph" w:customStyle="1" w:styleId="TitlePagetext2">
    <w:name w:val="Title Page text 2"/>
    <w:qFormat/>
    <w:rsid w:val="006E2250"/>
    <w:pPr>
      <w:spacing w:after="0"/>
      <w:ind w:left="2592"/>
    </w:pPr>
    <w:rPr>
      <w:rFonts w:ascii="Century Gothic" w:hAnsi="Century Gothic"/>
      <w:i/>
      <w:sz w:val="20"/>
    </w:rPr>
  </w:style>
  <w:style w:type="paragraph" w:customStyle="1" w:styleId="TOCHead">
    <w:name w:val="TOC Head"/>
    <w:basedOn w:val="Normal"/>
    <w:next w:val="TOC1"/>
    <w:qFormat/>
    <w:rsid w:val="0014711F"/>
    <w:rPr>
      <w:b/>
      <w:color w:val="07314E"/>
      <w:sz w:val="36"/>
    </w:rPr>
  </w:style>
  <w:style w:type="paragraph" w:styleId="TOC1">
    <w:name w:val="toc 1"/>
    <w:next w:val="TOC2"/>
    <w:uiPriority w:val="39"/>
    <w:rsid w:val="003E5417"/>
    <w:pPr>
      <w:tabs>
        <w:tab w:val="right" w:leader="dot" w:pos="9638"/>
      </w:tabs>
      <w:spacing w:before="120" w:after="120" w:line="240" w:lineRule="auto"/>
      <w:ind w:left="576" w:hanging="576"/>
    </w:pPr>
    <w:rPr>
      <w:rFonts w:ascii="Century Gothic" w:eastAsia="SimSun" w:hAnsi="Century Gothic" w:cs="Times New Roman"/>
      <w:b/>
      <w:noProof/>
      <w:kern w:val="0"/>
      <w:sz w:val="20"/>
      <w:szCs w:val="20"/>
      <w14:ligatures w14:val="none"/>
    </w:rPr>
  </w:style>
  <w:style w:type="paragraph" w:styleId="TOC3">
    <w:name w:val="toc 3"/>
    <w:uiPriority w:val="39"/>
    <w:rsid w:val="009C4F0D"/>
    <w:pPr>
      <w:tabs>
        <w:tab w:val="right" w:leader="dot" w:pos="9638"/>
      </w:tabs>
      <w:spacing w:after="120" w:line="240" w:lineRule="auto"/>
      <w:ind w:left="1872" w:right="576" w:hanging="720"/>
    </w:pPr>
    <w:rPr>
      <w:rFonts w:ascii="Arial" w:eastAsia="SimSun" w:hAnsi="Arial" w:cs="Times New Roman"/>
      <w:noProof/>
      <w:kern w:val="0"/>
      <w:sz w:val="20"/>
      <w:szCs w:val="20"/>
      <w14:ligatures w14:val="none"/>
    </w:rPr>
  </w:style>
  <w:style w:type="character" w:styleId="Hyperlink">
    <w:name w:val="Hyperlink"/>
    <w:basedOn w:val="DefaultParagraphFont"/>
    <w:uiPriority w:val="99"/>
    <w:rsid w:val="009C4F0D"/>
    <w:rPr>
      <w:color w:val="065EA0" w:themeColor="hyperlink"/>
      <w:u w:val="single"/>
    </w:rPr>
  </w:style>
  <w:style w:type="table" w:styleId="TableGrid">
    <w:name w:val="Table Grid"/>
    <w:basedOn w:val="TableNormal"/>
    <w:uiPriority w:val="39"/>
    <w:rsid w:val="00887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506AA"/>
    <w:pPr>
      <w:tabs>
        <w:tab w:val="right" w:leader="dot" w:pos="9350"/>
      </w:tabs>
      <w:spacing w:after="100"/>
      <w:ind w:left="220"/>
    </w:pPr>
  </w:style>
  <w:style w:type="paragraph" w:customStyle="1" w:styleId="TableHead">
    <w:name w:val="Table Head"/>
    <w:basedOn w:val="Normal"/>
    <w:qFormat/>
    <w:rsid w:val="00DF739E"/>
    <w:pPr>
      <w:spacing w:before="120" w:after="0" w:line="240" w:lineRule="auto"/>
    </w:pPr>
    <w:rPr>
      <w:rFonts w:eastAsia="SimSun" w:cs="Segoe UI"/>
      <w:b/>
      <w:bCs/>
      <w:color w:val="FFFFFF" w:themeColor="background1"/>
      <w:kern w:val="0"/>
      <w:szCs w:val="20"/>
      <w14:ligatures w14:val="none"/>
    </w:rPr>
  </w:style>
  <w:style w:type="paragraph" w:styleId="ListBullet">
    <w:name w:val="List Bullet"/>
    <w:qFormat/>
    <w:rsid w:val="00DA35C5"/>
    <w:pPr>
      <w:numPr>
        <w:numId w:val="8"/>
      </w:numPr>
      <w:ind w:left="360"/>
    </w:pPr>
    <w:rPr>
      <w:rFonts w:ascii="Century Gothic" w:eastAsia="SimSun" w:hAnsi="Century Gothic" w:cs="Arial"/>
      <w:kern w:val="0"/>
      <w:sz w:val="20"/>
      <w:szCs w:val="20"/>
      <w14:ligatures w14:val="none"/>
    </w:rPr>
  </w:style>
  <w:style w:type="character" w:styleId="FootnoteReference">
    <w:name w:val="footnote reference"/>
    <w:aliases w:val="fr"/>
    <w:basedOn w:val="DefaultParagraphFont"/>
    <w:uiPriority w:val="99"/>
    <w:qFormat/>
    <w:rsid w:val="00CA4E23"/>
    <w:rPr>
      <w:position w:val="2"/>
      <w:vertAlign w:val="superscript"/>
    </w:rPr>
  </w:style>
  <w:style w:type="paragraph" w:styleId="FootnoteText">
    <w:name w:val="footnote text"/>
    <w:aliases w:val="ft"/>
    <w:link w:val="FootnoteTextChar"/>
    <w:uiPriority w:val="99"/>
    <w:qFormat/>
    <w:rsid w:val="004F4E44"/>
    <w:pPr>
      <w:framePr w:hSpace="187" w:wrap="around" w:vAnchor="text" w:hAnchor="text" w:y="1"/>
      <w:spacing w:after="0" w:line="240" w:lineRule="auto"/>
      <w:ind w:left="173" w:hanging="173"/>
    </w:pPr>
    <w:rPr>
      <w:rFonts w:asciiTheme="majorHAnsi" w:eastAsia="SimSun" w:hAnsiTheme="majorHAnsi" w:cs="Times New Roman"/>
      <w:kern w:val="0"/>
      <w:sz w:val="18"/>
      <w:szCs w:val="20"/>
      <w14:ligatures w14:val="none"/>
    </w:rPr>
  </w:style>
  <w:style w:type="character" w:customStyle="1" w:styleId="FootnoteTextChar">
    <w:name w:val="Footnote Text Char"/>
    <w:aliases w:val="ft Char"/>
    <w:basedOn w:val="DefaultParagraphFont"/>
    <w:link w:val="FootnoteText"/>
    <w:uiPriority w:val="99"/>
    <w:rsid w:val="004F4E44"/>
    <w:rPr>
      <w:rFonts w:asciiTheme="majorHAnsi" w:eastAsia="SimSun" w:hAnsiTheme="majorHAnsi" w:cs="Times New Roman"/>
      <w:kern w:val="0"/>
      <w:sz w:val="18"/>
      <w:szCs w:val="20"/>
      <w14:ligatures w14:val="none"/>
    </w:rPr>
  </w:style>
  <w:style w:type="paragraph" w:styleId="ListBullet2">
    <w:name w:val="List Bullet 2"/>
    <w:basedOn w:val="Normal"/>
    <w:uiPriority w:val="99"/>
    <w:semiHidden/>
    <w:unhideWhenUsed/>
    <w:rsid w:val="00D12A4F"/>
    <w:pPr>
      <w:numPr>
        <w:numId w:val="5"/>
      </w:numPr>
      <w:contextualSpacing/>
    </w:pPr>
  </w:style>
  <w:style w:type="paragraph" w:styleId="Caption">
    <w:name w:val="caption"/>
    <w:basedOn w:val="Normal"/>
    <w:next w:val="Normal"/>
    <w:link w:val="CaptionChar"/>
    <w:qFormat/>
    <w:rsid w:val="00DB0290"/>
    <w:pPr>
      <w:keepNext/>
      <w:spacing w:after="120" w:line="288" w:lineRule="auto"/>
      <w:ind w:left="1440" w:hanging="1440"/>
    </w:pPr>
    <w:rPr>
      <w:rFonts w:eastAsia="SimSun" w:cs="Times New Roman"/>
      <w:b/>
      <w:color w:val="035DA0"/>
      <w:kern w:val="0"/>
      <w:sz w:val="24"/>
      <w:szCs w:val="26"/>
      <w14:ligatures w14:val="none"/>
    </w:rPr>
  </w:style>
  <w:style w:type="character" w:customStyle="1" w:styleId="CaptionChar">
    <w:name w:val="Caption Char"/>
    <w:basedOn w:val="DefaultParagraphFont"/>
    <w:link w:val="Caption"/>
    <w:rsid w:val="00DB0290"/>
    <w:rPr>
      <w:rFonts w:ascii="Century Gothic" w:eastAsia="SimSun" w:hAnsi="Century Gothic" w:cs="Times New Roman"/>
      <w:b/>
      <w:color w:val="035DA0"/>
      <w:kern w:val="0"/>
      <w:sz w:val="24"/>
      <w:szCs w:val="26"/>
      <w14:ligatures w14:val="none"/>
    </w:rPr>
  </w:style>
  <w:style w:type="table" w:styleId="GridTable4-Accent1">
    <w:name w:val="Grid Table 4 Accent 1"/>
    <w:basedOn w:val="TableNormal"/>
    <w:uiPriority w:val="49"/>
    <w:rsid w:val="005B35C3"/>
    <w:pPr>
      <w:spacing w:after="0" w:line="240" w:lineRule="auto"/>
    </w:pPr>
    <w:rPr>
      <w:rFonts w:ascii="Segoe UI" w:eastAsia="SimSun" w:hAnsi="Segoe UI" w:cs="Times New Roman"/>
      <w:kern w:val="0"/>
      <w:sz w:val="20"/>
      <w:szCs w:val="20"/>
      <w14:ligatures w14:val="none"/>
    </w:rPr>
    <w:tblPr>
      <w:tblStyleRowBandSize w:val="1"/>
      <w:tblStyleColBandSize w:val="1"/>
      <w:tblBorders>
        <w:top w:val="single" w:sz="4" w:space="0" w:color="000000" w:themeColor="accent6"/>
        <w:left w:val="single" w:sz="4" w:space="0" w:color="000000" w:themeColor="accent6"/>
        <w:bottom w:val="single" w:sz="4" w:space="0" w:color="000000" w:themeColor="accent6"/>
        <w:right w:val="single" w:sz="4" w:space="0" w:color="000000" w:themeColor="accent6"/>
        <w:insideH w:val="single" w:sz="4" w:space="0" w:color="000000" w:themeColor="accent6"/>
        <w:insideV w:val="single" w:sz="4" w:space="0" w:color="000000" w:themeColor="accent6"/>
      </w:tblBorders>
    </w:tblPr>
    <w:tcPr>
      <w:shd w:val="clear" w:color="auto" w:fill="FFFFFF" w:themeFill="background1"/>
      <w:tcMar>
        <w:top w:w="43" w:type="dxa"/>
        <w:left w:w="115" w:type="dxa"/>
        <w:bottom w:w="43" w:type="dxa"/>
        <w:right w:w="115" w:type="dxa"/>
      </w:tcMar>
      <w:vAlign w:val="center"/>
    </w:tcPr>
    <w:tblStylePr w:type="firstRow">
      <w:rPr>
        <w:b/>
        <w:bCs/>
        <w:color w:val="FFFFFF" w:themeColor="background1"/>
      </w:rPr>
      <w:tblPr/>
      <w:tcPr>
        <w:tcBorders>
          <w:top w:val="single" w:sz="4" w:space="0" w:color="065EA0" w:themeColor="accent1"/>
          <w:left w:val="single" w:sz="4" w:space="0" w:color="065EA0" w:themeColor="accent1"/>
          <w:bottom w:val="single" w:sz="4" w:space="0" w:color="065EA0" w:themeColor="accent1"/>
          <w:right w:val="single" w:sz="4" w:space="0" w:color="065EA0" w:themeColor="accent1"/>
          <w:insideH w:val="nil"/>
          <w:insideV w:val="nil"/>
        </w:tcBorders>
        <w:shd w:val="clear" w:color="auto" w:fill="065EA0" w:themeFill="accent1"/>
      </w:tcPr>
    </w:tblStylePr>
    <w:tblStylePr w:type="lastRow">
      <w:rPr>
        <w:b/>
        <w:bCs/>
      </w:rPr>
      <w:tblPr/>
      <w:tcPr>
        <w:tcBorders>
          <w:top w:val="double" w:sz="4" w:space="0" w:color="065EA0" w:themeColor="accent1"/>
        </w:tcBorders>
      </w:tcPr>
    </w:tblStylePr>
    <w:tblStylePr w:type="firstCol">
      <w:rPr>
        <w:b/>
        <w:bCs/>
      </w:rPr>
    </w:tblStylePr>
    <w:tblStylePr w:type="lastCol">
      <w:rPr>
        <w:b/>
        <w:bCs/>
      </w:rPr>
    </w:tblStylePr>
    <w:tblStylePr w:type="band1Horz">
      <w:tblPr/>
      <w:trPr>
        <w:cantSplit/>
      </w:trPr>
      <w:tcPr>
        <w:shd w:val="clear" w:color="auto" w:fill="F3CDDF" w:themeFill="accent4" w:themeFillTint="33"/>
      </w:tcPr>
    </w:tblStylePr>
  </w:style>
  <w:style w:type="character" w:styleId="CommentReference">
    <w:name w:val="annotation reference"/>
    <w:basedOn w:val="DefaultParagraphFont"/>
    <w:uiPriority w:val="99"/>
    <w:semiHidden/>
    <w:unhideWhenUsed/>
    <w:rsid w:val="000D0721"/>
    <w:rPr>
      <w:sz w:val="16"/>
      <w:szCs w:val="16"/>
    </w:rPr>
  </w:style>
  <w:style w:type="paragraph" w:styleId="CommentText">
    <w:name w:val="annotation text"/>
    <w:basedOn w:val="Normal"/>
    <w:link w:val="CommentTextChar"/>
    <w:uiPriority w:val="99"/>
    <w:unhideWhenUsed/>
    <w:rsid w:val="000D0721"/>
    <w:pPr>
      <w:spacing w:line="240" w:lineRule="auto"/>
    </w:pPr>
    <w:rPr>
      <w:szCs w:val="20"/>
    </w:rPr>
  </w:style>
  <w:style w:type="character" w:customStyle="1" w:styleId="CommentTextChar">
    <w:name w:val="Comment Text Char"/>
    <w:basedOn w:val="DefaultParagraphFont"/>
    <w:link w:val="CommentText"/>
    <w:uiPriority w:val="99"/>
    <w:rsid w:val="000D0721"/>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0D0721"/>
    <w:rPr>
      <w:b/>
      <w:bCs/>
    </w:rPr>
  </w:style>
  <w:style w:type="character" w:customStyle="1" w:styleId="CommentSubjectChar">
    <w:name w:val="Comment Subject Char"/>
    <w:basedOn w:val="CommentTextChar"/>
    <w:link w:val="CommentSubject"/>
    <w:uiPriority w:val="99"/>
    <w:semiHidden/>
    <w:rsid w:val="000D0721"/>
    <w:rPr>
      <w:rFonts w:ascii="Century Gothic" w:hAnsi="Century Gothic"/>
      <w:b/>
      <w:bCs/>
      <w:sz w:val="20"/>
      <w:szCs w:val="20"/>
    </w:rPr>
  </w:style>
  <w:style w:type="paragraph" w:styleId="BodyText">
    <w:name w:val="Body Text"/>
    <w:basedOn w:val="Normal"/>
    <w:link w:val="BodyTextChar"/>
    <w:qFormat/>
    <w:rsid w:val="009911FF"/>
    <w:pPr>
      <w:spacing w:after="240" w:line="240" w:lineRule="auto"/>
    </w:pPr>
    <w:rPr>
      <w:rFonts w:asciiTheme="majorHAnsi" w:eastAsia="Times New Roman" w:hAnsiTheme="majorHAnsi" w:cs="Times New Roman"/>
      <w:kern w:val="0"/>
      <w:sz w:val="22"/>
      <w14:ligatures w14:val="none"/>
    </w:rPr>
  </w:style>
  <w:style w:type="character" w:customStyle="1" w:styleId="BodyTextChar">
    <w:name w:val="Body Text Char"/>
    <w:basedOn w:val="DefaultParagraphFont"/>
    <w:link w:val="BodyText"/>
    <w:rsid w:val="009911FF"/>
    <w:rPr>
      <w:rFonts w:asciiTheme="majorHAnsi" w:eastAsia="Times New Roman" w:hAnsiTheme="majorHAnsi" w:cs="Times New Roman"/>
      <w:kern w:val="0"/>
      <w14:ligatures w14:val="none"/>
    </w:rPr>
  </w:style>
  <w:style w:type="character" w:styleId="FollowedHyperlink">
    <w:name w:val="FollowedHyperlink"/>
    <w:basedOn w:val="DefaultParagraphFont"/>
    <w:uiPriority w:val="99"/>
    <w:semiHidden/>
    <w:unhideWhenUsed/>
    <w:rsid w:val="00DA030C"/>
    <w:rPr>
      <w:color w:val="A62662" w:themeColor="followedHyperlink"/>
      <w:u w:val="single"/>
    </w:rPr>
  </w:style>
  <w:style w:type="paragraph" w:customStyle="1" w:styleId="TableBodyText">
    <w:name w:val="TableBodyText"/>
    <w:basedOn w:val="Normal"/>
    <w:qFormat/>
    <w:rsid w:val="00DA030C"/>
    <w:pPr>
      <w:spacing w:before="60" w:after="60" w:line="240" w:lineRule="auto"/>
    </w:pPr>
    <w:rPr>
      <w:rFonts w:ascii="Garamond" w:eastAsia="Times New Roman" w:hAnsi="Garamond" w:cs="Times New Roman"/>
      <w:kern w:val="0"/>
      <w:sz w:val="24"/>
      <w:szCs w:val="24"/>
      <w14:ligatures w14:val="none"/>
    </w:rPr>
  </w:style>
  <w:style w:type="paragraph" w:customStyle="1" w:styleId="TableHeadText">
    <w:name w:val="TableHeadText"/>
    <w:basedOn w:val="BodyText"/>
    <w:qFormat/>
    <w:rsid w:val="00DA030C"/>
    <w:pPr>
      <w:spacing w:before="120" w:after="0"/>
    </w:pPr>
    <w:rPr>
      <w:b/>
      <w:szCs w:val="24"/>
    </w:rPr>
  </w:style>
  <w:style w:type="table" w:styleId="GridTable4">
    <w:name w:val="Grid Table 4"/>
    <w:basedOn w:val="TableNormal"/>
    <w:uiPriority w:val="49"/>
    <w:rsid w:val="00DA030C"/>
    <w:pPr>
      <w:spacing w:after="0" w:line="240" w:lineRule="auto"/>
    </w:pPr>
    <w:rPr>
      <w:rFonts w:ascii="Times New Roman" w:eastAsia="Times New Roman" w:hAnsi="Times New Roman" w:cs="Times New Roman"/>
      <w:kern w:val="0"/>
      <w14:ligatures w14:val="none"/>
    </w:rPr>
    <w:tblPr>
      <w:tblStyleRowBandSize w:val="1"/>
      <w:tblStyleColBandSize w:val="1"/>
      <w:tblBorders>
        <w:top w:val="single" w:sz="4" w:space="0" w:color="2C73BF" w:themeColor="text1" w:themeTint="99"/>
        <w:left w:val="single" w:sz="4" w:space="0" w:color="2C73BF" w:themeColor="text1" w:themeTint="99"/>
        <w:bottom w:val="single" w:sz="4" w:space="0" w:color="2C73BF" w:themeColor="text1" w:themeTint="99"/>
        <w:right w:val="single" w:sz="4" w:space="0" w:color="2C73BF" w:themeColor="text1" w:themeTint="99"/>
        <w:insideH w:val="single" w:sz="4" w:space="0" w:color="2C73BF" w:themeColor="text1" w:themeTint="99"/>
        <w:insideV w:val="single" w:sz="4" w:space="0" w:color="2C73BF" w:themeColor="text1" w:themeTint="99"/>
      </w:tblBorders>
    </w:tblPr>
    <w:tblStylePr w:type="firstRow">
      <w:rPr>
        <w:b w:val="0"/>
        <w:bCs/>
        <w:color w:val="FFFFFF" w:themeColor="background1"/>
      </w:rPr>
      <w:tblPr/>
      <w:tcPr>
        <w:tcBorders>
          <w:top w:val="single" w:sz="4" w:space="0" w:color="0A1A2B" w:themeColor="text1"/>
          <w:left w:val="single" w:sz="4" w:space="0" w:color="0A1A2B" w:themeColor="text1"/>
          <w:bottom w:val="single" w:sz="4" w:space="0" w:color="0A1A2B" w:themeColor="text1"/>
          <w:right w:val="single" w:sz="4" w:space="0" w:color="0A1A2B" w:themeColor="text1"/>
          <w:insideH w:val="nil"/>
          <w:insideV w:val="nil"/>
        </w:tcBorders>
        <w:shd w:val="clear" w:color="auto" w:fill="0A1A2B" w:themeFill="text1"/>
      </w:tcPr>
    </w:tblStylePr>
    <w:tblStylePr w:type="lastRow">
      <w:rPr>
        <w:b/>
        <w:bCs/>
      </w:rPr>
      <w:tblPr/>
      <w:tcPr>
        <w:tcBorders>
          <w:top w:val="double" w:sz="4" w:space="0" w:color="0A1A2B" w:themeColor="text1"/>
        </w:tcBorders>
      </w:tcPr>
    </w:tblStylePr>
    <w:tblStylePr w:type="firstCol">
      <w:rPr>
        <w:b w:val="0"/>
        <w:bCs/>
      </w:rPr>
    </w:tblStylePr>
    <w:tblStylePr w:type="lastCol">
      <w:rPr>
        <w:b/>
        <w:bCs/>
      </w:rPr>
    </w:tblStylePr>
    <w:tblStylePr w:type="band1Vert">
      <w:tblPr/>
      <w:tcPr>
        <w:shd w:val="clear" w:color="auto" w:fill="B4D0ED" w:themeFill="text1" w:themeFillTint="33"/>
      </w:tcPr>
    </w:tblStylePr>
    <w:tblStylePr w:type="band1Horz">
      <w:tblPr/>
      <w:tcPr>
        <w:shd w:val="clear" w:color="auto" w:fill="B4D0ED" w:themeFill="text1" w:themeFillTint="33"/>
      </w:tcPr>
    </w:tblStylePr>
  </w:style>
  <w:style w:type="paragraph" w:styleId="ListNumber">
    <w:name w:val="List Number"/>
    <w:basedOn w:val="Normal"/>
    <w:rsid w:val="00DA35C5"/>
    <w:pPr>
      <w:numPr>
        <w:numId w:val="9"/>
      </w:numPr>
      <w:tabs>
        <w:tab w:val="left" w:pos="2250"/>
      </w:tabs>
      <w:ind w:left="360"/>
      <w:jc w:val="both"/>
    </w:pPr>
    <w:rPr>
      <w:rFonts w:asciiTheme="majorHAnsi" w:eastAsia="Times New Roman" w:hAnsiTheme="majorHAnsi" w:cs="Calibri"/>
      <w:kern w:val="0"/>
      <w:szCs w:val="20"/>
      <w14:ligatures w14:val="none"/>
    </w:rPr>
  </w:style>
  <w:style w:type="table" w:customStyle="1" w:styleId="Style1">
    <w:name w:val="Style1"/>
    <w:basedOn w:val="TableNormal"/>
    <w:uiPriority w:val="99"/>
    <w:rsid w:val="007955DD"/>
    <w:pPr>
      <w:spacing w:after="0" w:line="240" w:lineRule="auto"/>
    </w:pPr>
    <w:tblPr>
      <w:tblBorders>
        <w:top w:val="single" w:sz="12" w:space="0" w:color="044677" w:themeColor="accent1" w:themeShade="BF"/>
        <w:bottom w:val="single" w:sz="12" w:space="0" w:color="044677" w:themeColor="accent1" w:themeShade="BF"/>
        <w:insideH w:val="single" w:sz="4" w:space="0" w:color="044677" w:themeColor="accent1" w:themeShade="BF"/>
      </w:tblBorders>
    </w:tblPr>
    <w:tblStylePr w:type="firstRow">
      <w:tblPr/>
      <w:tcPr>
        <w:tcBorders>
          <w:top w:val="single" w:sz="12" w:space="0" w:color="044677" w:themeColor="accent1" w:themeShade="BF"/>
          <w:left w:val="nil"/>
          <w:bottom w:val="single" w:sz="12" w:space="0" w:color="044677" w:themeColor="accent1" w:themeShade="BF"/>
          <w:right w:val="nil"/>
          <w:insideH w:val="nil"/>
          <w:insideV w:val="nil"/>
          <w:tl2br w:val="nil"/>
          <w:tr2bl w:val="nil"/>
        </w:tcBorders>
        <w:shd w:val="clear" w:color="auto" w:fill="044677" w:themeFill="accent1" w:themeFillShade="BF"/>
      </w:tcPr>
    </w:tblStylePr>
  </w:style>
  <w:style w:type="table" w:styleId="ListTable6Colorful">
    <w:name w:val="List Table 6 Colorful"/>
    <w:basedOn w:val="TableNormal"/>
    <w:uiPriority w:val="51"/>
    <w:rsid w:val="00664DFA"/>
    <w:pPr>
      <w:spacing w:after="0" w:line="240" w:lineRule="auto"/>
    </w:pPr>
    <w:rPr>
      <w:rFonts w:ascii="Times New Roman" w:eastAsia="Times New Roman" w:hAnsi="Times New Roman" w:cs="Times New Roman"/>
      <w:color w:val="0A1A2B" w:themeColor="text1"/>
      <w:kern w:val="0"/>
      <w14:ligatures w14:val="none"/>
    </w:rPr>
    <w:tblPr>
      <w:tblStyleRowBandSize w:val="1"/>
      <w:tblStyleColBandSize w:val="1"/>
      <w:tblBorders>
        <w:top w:val="single" w:sz="4" w:space="0" w:color="0A1A2B" w:themeColor="text1"/>
        <w:bottom w:val="single" w:sz="4" w:space="0" w:color="0A1A2B" w:themeColor="text1"/>
      </w:tblBorders>
    </w:tblPr>
    <w:tblStylePr w:type="firstRow">
      <w:rPr>
        <w:b w:val="0"/>
        <w:bCs/>
      </w:rPr>
      <w:tblPr/>
      <w:tcPr>
        <w:tcBorders>
          <w:bottom w:val="single" w:sz="4" w:space="0" w:color="0A1A2B" w:themeColor="text1"/>
        </w:tcBorders>
      </w:tcPr>
    </w:tblStylePr>
    <w:tblStylePr w:type="lastRow">
      <w:rPr>
        <w:b/>
        <w:bCs/>
      </w:rPr>
      <w:tblPr/>
      <w:tcPr>
        <w:tcBorders>
          <w:top w:val="double" w:sz="4" w:space="0" w:color="0A1A2B" w:themeColor="text1"/>
        </w:tcBorders>
      </w:tcPr>
    </w:tblStylePr>
    <w:tblStylePr w:type="firstCol">
      <w:rPr>
        <w:b w:val="0"/>
        <w:bCs/>
      </w:rPr>
    </w:tblStylePr>
    <w:tblStylePr w:type="lastCol">
      <w:rPr>
        <w:b/>
        <w:bCs/>
      </w:rPr>
    </w:tblStylePr>
    <w:tblStylePr w:type="band1Vert">
      <w:tblPr/>
      <w:tcPr>
        <w:shd w:val="clear" w:color="auto" w:fill="B4D0ED" w:themeFill="text1" w:themeFillTint="33"/>
      </w:tcPr>
    </w:tblStylePr>
    <w:tblStylePr w:type="band1Horz">
      <w:tblPr/>
      <w:tcPr>
        <w:shd w:val="clear" w:color="auto" w:fill="B4D0ED" w:themeFill="text1" w:themeFillTint="33"/>
      </w:tcPr>
    </w:tblStylePr>
  </w:style>
  <w:style w:type="paragraph" w:styleId="TableofFigures">
    <w:name w:val="table of figures"/>
    <w:basedOn w:val="Normal"/>
    <w:next w:val="Normal"/>
    <w:uiPriority w:val="99"/>
    <w:unhideWhenUsed/>
    <w:rsid w:val="00D40DEB"/>
    <w:pPr>
      <w:spacing w:after="0"/>
    </w:pPr>
  </w:style>
  <w:style w:type="character" w:styleId="UnresolvedMention">
    <w:name w:val="Unresolved Mention"/>
    <w:basedOn w:val="DefaultParagraphFont"/>
    <w:uiPriority w:val="99"/>
    <w:semiHidden/>
    <w:unhideWhenUsed/>
    <w:rsid w:val="003B62E9"/>
    <w:rPr>
      <w:color w:val="605E5C"/>
      <w:shd w:val="clear" w:color="auto" w:fill="E1DFDD"/>
    </w:rPr>
  </w:style>
  <w:style w:type="paragraph" w:customStyle="1" w:styleId="SourceNote">
    <w:name w:val="Source/Note"/>
    <w:basedOn w:val="Normal"/>
    <w:qFormat/>
    <w:rsid w:val="00B73B57"/>
    <w:pPr>
      <w:spacing w:before="160"/>
      <w:ind w:left="1080" w:hanging="1080"/>
    </w:pPr>
    <w:rPr>
      <w:rFonts w:cs="Calibri"/>
      <w:color w:val="000000"/>
      <w:kern w:val="36"/>
      <w:szCs w:val="24"/>
    </w:rPr>
  </w:style>
  <w:style w:type="paragraph" w:styleId="Revision">
    <w:name w:val="Revision"/>
    <w:hidden/>
    <w:uiPriority w:val="99"/>
    <w:semiHidden/>
    <w:rsid w:val="00522A07"/>
    <w:pPr>
      <w:spacing w:after="0" w:line="240" w:lineRule="auto"/>
    </w:pPr>
    <w:rPr>
      <w:rFonts w:ascii="Century Gothic" w:hAnsi="Century Gothic"/>
      <w:sz w:val="20"/>
    </w:rPr>
  </w:style>
  <w:style w:type="table" w:styleId="PlainTable4">
    <w:name w:val="Plain Table 4"/>
    <w:basedOn w:val="TableNormal"/>
    <w:uiPriority w:val="44"/>
    <w:rsid w:val="0076087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760875"/>
    <w:pPr>
      <w:spacing w:after="0" w:line="240" w:lineRule="auto"/>
    </w:pPr>
    <w:tblPr>
      <w:tblStyleRowBandSize w:val="1"/>
      <w:tblStyleColBandSize w:val="1"/>
      <w:tblBorders>
        <w:top w:val="single" w:sz="2" w:space="0" w:color="88D9F6" w:themeColor="accent2" w:themeTint="99"/>
        <w:bottom w:val="single" w:sz="2" w:space="0" w:color="88D9F6" w:themeColor="accent2" w:themeTint="99"/>
        <w:insideH w:val="single" w:sz="2" w:space="0" w:color="88D9F6" w:themeColor="accent2" w:themeTint="99"/>
        <w:insideV w:val="single" w:sz="2" w:space="0" w:color="88D9F6" w:themeColor="accent2" w:themeTint="99"/>
      </w:tblBorders>
    </w:tblPr>
    <w:tblStylePr w:type="firstRow">
      <w:rPr>
        <w:b/>
        <w:bCs/>
      </w:rPr>
      <w:tblPr/>
      <w:tcPr>
        <w:tcBorders>
          <w:top w:val="nil"/>
          <w:bottom w:val="single" w:sz="12" w:space="0" w:color="88D9F6" w:themeColor="accent2" w:themeTint="99"/>
          <w:insideH w:val="nil"/>
          <w:insideV w:val="nil"/>
        </w:tcBorders>
        <w:shd w:val="clear" w:color="auto" w:fill="FFFFFF" w:themeFill="background1"/>
      </w:tcPr>
    </w:tblStylePr>
    <w:tblStylePr w:type="lastRow">
      <w:rPr>
        <w:b/>
        <w:bCs/>
      </w:rPr>
      <w:tblPr/>
      <w:tcPr>
        <w:tcBorders>
          <w:top w:val="double" w:sz="2" w:space="0" w:color="88D9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2FC" w:themeFill="accent2" w:themeFillTint="33"/>
      </w:tcPr>
    </w:tblStylePr>
    <w:tblStylePr w:type="band1Horz">
      <w:tblPr/>
      <w:tcPr>
        <w:shd w:val="clear" w:color="auto" w:fill="D7F2FC" w:themeFill="accent2" w:themeFillTint="33"/>
      </w:tcPr>
    </w:tblStylePr>
  </w:style>
  <w:style w:type="table" w:styleId="GridTable2-Accent1">
    <w:name w:val="Grid Table 2 Accent 1"/>
    <w:basedOn w:val="TableNormal"/>
    <w:uiPriority w:val="47"/>
    <w:rsid w:val="00760875"/>
    <w:pPr>
      <w:spacing w:after="0" w:line="240" w:lineRule="auto"/>
    </w:pPr>
    <w:tblPr>
      <w:tblStyleRowBandSize w:val="1"/>
      <w:tblStyleColBandSize w:val="1"/>
      <w:tblBorders>
        <w:top w:val="single" w:sz="2" w:space="0" w:color="37A4F7" w:themeColor="accent1" w:themeTint="99"/>
        <w:bottom w:val="single" w:sz="2" w:space="0" w:color="37A4F7" w:themeColor="accent1" w:themeTint="99"/>
        <w:insideH w:val="single" w:sz="2" w:space="0" w:color="37A4F7" w:themeColor="accent1" w:themeTint="99"/>
        <w:insideV w:val="single" w:sz="2" w:space="0" w:color="37A4F7" w:themeColor="accent1" w:themeTint="99"/>
      </w:tblBorders>
    </w:tblPr>
    <w:tblStylePr w:type="firstRow">
      <w:rPr>
        <w:b/>
        <w:bCs/>
      </w:rPr>
      <w:tblPr/>
      <w:tcPr>
        <w:tcBorders>
          <w:top w:val="nil"/>
          <w:bottom w:val="single" w:sz="12" w:space="0" w:color="37A4F7" w:themeColor="accent1" w:themeTint="99"/>
          <w:insideH w:val="nil"/>
          <w:insideV w:val="nil"/>
        </w:tcBorders>
        <w:shd w:val="clear" w:color="auto" w:fill="FFFFFF" w:themeFill="background1"/>
      </w:tcPr>
    </w:tblStylePr>
    <w:tblStylePr w:type="lastRow">
      <w:rPr>
        <w:b/>
        <w:bCs/>
      </w:rPr>
      <w:tblPr/>
      <w:tcPr>
        <w:tcBorders>
          <w:top w:val="double" w:sz="2" w:space="0" w:color="37A4F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E0FC" w:themeFill="accent1" w:themeFillTint="33"/>
      </w:tcPr>
    </w:tblStylePr>
    <w:tblStylePr w:type="band1Horz">
      <w:tblPr/>
      <w:tcPr>
        <w:shd w:val="clear" w:color="auto" w:fill="BCE0FC" w:themeFill="accent1" w:themeFillTint="33"/>
      </w:tcPr>
    </w:tblStylePr>
  </w:style>
  <w:style w:type="table" w:styleId="GridTable1Light-Accent2">
    <w:name w:val="Grid Table 1 Light Accent 2"/>
    <w:basedOn w:val="TableNormal"/>
    <w:uiPriority w:val="46"/>
    <w:rsid w:val="00760875"/>
    <w:pPr>
      <w:spacing w:after="0" w:line="240" w:lineRule="auto"/>
    </w:pPr>
    <w:tblPr>
      <w:tblStyleRowBandSize w:val="1"/>
      <w:tblStyleColBandSize w:val="1"/>
      <w:tblBorders>
        <w:top w:val="single" w:sz="4" w:space="0" w:color="AFE6F9" w:themeColor="accent2" w:themeTint="66"/>
        <w:left w:val="single" w:sz="4" w:space="0" w:color="AFE6F9" w:themeColor="accent2" w:themeTint="66"/>
        <w:bottom w:val="single" w:sz="4" w:space="0" w:color="AFE6F9" w:themeColor="accent2" w:themeTint="66"/>
        <w:right w:val="single" w:sz="4" w:space="0" w:color="AFE6F9" w:themeColor="accent2" w:themeTint="66"/>
        <w:insideH w:val="single" w:sz="4" w:space="0" w:color="AFE6F9" w:themeColor="accent2" w:themeTint="66"/>
        <w:insideV w:val="single" w:sz="4" w:space="0" w:color="AFE6F9" w:themeColor="accent2" w:themeTint="66"/>
      </w:tblBorders>
    </w:tblPr>
    <w:tblStylePr w:type="firstRow">
      <w:rPr>
        <w:b/>
        <w:bCs/>
      </w:rPr>
      <w:tblPr/>
      <w:tcPr>
        <w:tcBorders>
          <w:bottom w:val="single" w:sz="12" w:space="0" w:color="88D9F6" w:themeColor="accent2" w:themeTint="99"/>
        </w:tcBorders>
      </w:tcPr>
    </w:tblStylePr>
    <w:tblStylePr w:type="lastRow">
      <w:rPr>
        <w:b/>
        <w:bCs/>
      </w:rPr>
      <w:tblPr/>
      <w:tcPr>
        <w:tcBorders>
          <w:top w:val="double" w:sz="2" w:space="0" w:color="88D9F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60875"/>
    <w:pPr>
      <w:spacing w:after="0" w:line="240" w:lineRule="auto"/>
    </w:pPr>
    <w:tblPr>
      <w:tblStyleRowBandSize w:val="1"/>
      <w:tblStyleColBandSize w:val="1"/>
      <w:tblBorders>
        <w:top w:val="single" w:sz="4" w:space="0" w:color="DDECAE" w:themeColor="accent3" w:themeTint="66"/>
        <w:left w:val="single" w:sz="4" w:space="0" w:color="DDECAE" w:themeColor="accent3" w:themeTint="66"/>
        <w:bottom w:val="single" w:sz="4" w:space="0" w:color="DDECAE" w:themeColor="accent3" w:themeTint="66"/>
        <w:right w:val="single" w:sz="4" w:space="0" w:color="DDECAE" w:themeColor="accent3" w:themeTint="66"/>
        <w:insideH w:val="single" w:sz="4" w:space="0" w:color="DDECAE" w:themeColor="accent3" w:themeTint="66"/>
        <w:insideV w:val="single" w:sz="4" w:space="0" w:color="DDECAE" w:themeColor="accent3" w:themeTint="66"/>
      </w:tblBorders>
    </w:tblPr>
    <w:tblStylePr w:type="firstRow">
      <w:rPr>
        <w:b/>
        <w:bCs/>
      </w:rPr>
      <w:tblPr/>
      <w:tcPr>
        <w:tcBorders>
          <w:bottom w:val="single" w:sz="12" w:space="0" w:color="CCE286" w:themeColor="accent3" w:themeTint="99"/>
        </w:tcBorders>
      </w:tcPr>
    </w:tblStylePr>
    <w:tblStylePr w:type="lastRow">
      <w:rPr>
        <w:b/>
        <w:bCs/>
      </w:rPr>
      <w:tblPr/>
      <w:tcPr>
        <w:tcBorders>
          <w:top w:val="double" w:sz="2" w:space="0" w:color="CCE286" w:themeColor="accent3"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760875"/>
    <w:pPr>
      <w:spacing w:after="0" w:line="240" w:lineRule="auto"/>
    </w:pPr>
    <w:tblPr>
      <w:tblStyleRowBandSize w:val="1"/>
      <w:tblStyleColBandSize w:val="1"/>
      <w:tblBorders>
        <w:top w:val="single" w:sz="4" w:space="0" w:color="CCE286" w:themeColor="accent3" w:themeTint="99"/>
        <w:left w:val="single" w:sz="4" w:space="0" w:color="CCE286" w:themeColor="accent3" w:themeTint="99"/>
        <w:bottom w:val="single" w:sz="4" w:space="0" w:color="CCE286" w:themeColor="accent3" w:themeTint="99"/>
        <w:right w:val="single" w:sz="4" w:space="0" w:color="CCE286" w:themeColor="accent3" w:themeTint="99"/>
        <w:insideH w:val="single" w:sz="4" w:space="0" w:color="CCE286" w:themeColor="accent3" w:themeTint="99"/>
        <w:insideV w:val="single" w:sz="4" w:space="0" w:color="CCE28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D6" w:themeFill="accent3" w:themeFillTint="33"/>
      </w:tcPr>
    </w:tblStylePr>
    <w:tblStylePr w:type="band1Horz">
      <w:tblPr/>
      <w:tcPr>
        <w:shd w:val="clear" w:color="auto" w:fill="EEF5D6" w:themeFill="accent3" w:themeFillTint="33"/>
      </w:tcPr>
    </w:tblStylePr>
    <w:tblStylePr w:type="neCell">
      <w:tblPr/>
      <w:tcPr>
        <w:tcBorders>
          <w:bottom w:val="single" w:sz="4" w:space="0" w:color="CCE286" w:themeColor="accent3" w:themeTint="99"/>
        </w:tcBorders>
      </w:tcPr>
    </w:tblStylePr>
    <w:tblStylePr w:type="nwCell">
      <w:tblPr/>
      <w:tcPr>
        <w:tcBorders>
          <w:bottom w:val="single" w:sz="4" w:space="0" w:color="CCE286" w:themeColor="accent3" w:themeTint="99"/>
        </w:tcBorders>
      </w:tcPr>
    </w:tblStylePr>
    <w:tblStylePr w:type="seCell">
      <w:tblPr/>
      <w:tcPr>
        <w:tcBorders>
          <w:top w:val="single" w:sz="4" w:space="0" w:color="CCE286" w:themeColor="accent3" w:themeTint="99"/>
        </w:tcBorders>
      </w:tcPr>
    </w:tblStylePr>
    <w:tblStylePr w:type="swCell">
      <w:tblPr/>
      <w:tcPr>
        <w:tcBorders>
          <w:top w:val="single" w:sz="4" w:space="0" w:color="CCE286" w:themeColor="accent3" w:themeTint="99"/>
        </w:tcBorders>
      </w:tcPr>
    </w:tblStylePr>
  </w:style>
  <w:style w:type="table" w:styleId="GridTable5Dark-Accent3">
    <w:name w:val="Grid Table 5 Dark Accent 3"/>
    <w:basedOn w:val="TableNormal"/>
    <w:uiPriority w:val="50"/>
    <w:rsid w:val="007608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D03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D03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D03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D037" w:themeFill="accent3"/>
      </w:tcPr>
    </w:tblStylePr>
    <w:tblStylePr w:type="band1Vert">
      <w:tblPr/>
      <w:tcPr>
        <w:shd w:val="clear" w:color="auto" w:fill="DDECAE" w:themeFill="accent3" w:themeFillTint="66"/>
      </w:tcPr>
    </w:tblStylePr>
    <w:tblStylePr w:type="band1Horz">
      <w:tblPr/>
      <w:tcPr>
        <w:shd w:val="clear" w:color="auto" w:fill="DDECAE" w:themeFill="accent3" w:themeFillTint="66"/>
      </w:tcPr>
    </w:tblStylePr>
  </w:style>
  <w:style w:type="table" w:styleId="GridTable7Colorful-Accent3">
    <w:name w:val="Grid Table 7 Colorful Accent 3"/>
    <w:basedOn w:val="TableNormal"/>
    <w:uiPriority w:val="52"/>
    <w:rsid w:val="00760875"/>
    <w:pPr>
      <w:spacing w:after="0" w:line="240" w:lineRule="auto"/>
    </w:pPr>
    <w:rPr>
      <w:color w:val="819F25" w:themeColor="accent3" w:themeShade="BF"/>
    </w:rPr>
    <w:tblPr>
      <w:tblStyleRowBandSize w:val="1"/>
      <w:tblStyleColBandSize w:val="1"/>
      <w:tblBorders>
        <w:top w:val="single" w:sz="4" w:space="0" w:color="CCE286" w:themeColor="accent3" w:themeTint="99"/>
        <w:left w:val="single" w:sz="4" w:space="0" w:color="CCE286" w:themeColor="accent3" w:themeTint="99"/>
        <w:bottom w:val="single" w:sz="4" w:space="0" w:color="CCE286" w:themeColor="accent3" w:themeTint="99"/>
        <w:right w:val="single" w:sz="4" w:space="0" w:color="CCE286" w:themeColor="accent3" w:themeTint="99"/>
        <w:insideH w:val="single" w:sz="4" w:space="0" w:color="CCE286" w:themeColor="accent3" w:themeTint="99"/>
        <w:insideV w:val="single" w:sz="4" w:space="0" w:color="CCE28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D6" w:themeFill="accent3" w:themeFillTint="33"/>
      </w:tcPr>
    </w:tblStylePr>
    <w:tblStylePr w:type="band1Horz">
      <w:tblPr/>
      <w:tcPr>
        <w:shd w:val="clear" w:color="auto" w:fill="EEF5D6" w:themeFill="accent3" w:themeFillTint="33"/>
      </w:tcPr>
    </w:tblStylePr>
    <w:tblStylePr w:type="neCell">
      <w:tblPr/>
      <w:tcPr>
        <w:tcBorders>
          <w:bottom w:val="single" w:sz="4" w:space="0" w:color="CCE286" w:themeColor="accent3" w:themeTint="99"/>
        </w:tcBorders>
      </w:tcPr>
    </w:tblStylePr>
    <w:tblStylePr w:type="nwCell">
      <w:tblPr/>
      <w:tcPr>
        <w:tcBorders>
          <w:bottom w:val="single" w:sz="4" w:space="0" w:color="CCE286" w:themeColor="accent3" w:themeTint="99"/>
        </w:tcBorders>
      </w:tcPr>
    </w:tblStylePr>
    <w:tblStylePr w:type="seCell">
      <w:tblPr/>
      <w:tcPr>
        <w:tcBorders>
          <w:top w:val="single" w:sz="4" w:space="0" w:color="CCE286" w:themeColor="accent3" w:themeTint="99"/>
        </w:tcBorders>
      </w:tcPr>
    </w:tblStylePr>
    <w:tblStylePr w:type="swCell">
      <w:tblPr/>
      <w:tcPr>
        <w:tcBorders>
          <w:top w:val="single" w:sz="4" w:space="0" w:color="CCE286" w:themeColor="accent3" w:themeTint="99"/>
        </w:tcBorders>
      </w:tcPr>
    </w:tblStylePr>
  </w:style>
  <w:style w:type="table" w:styleId="GridTable7Colorful-Accent2">
    <w:name w:val="Grid Table 7 Colorful Accent 2"/>
    <w:basedOn w:val="TableNormal"/>
    <w:uiPriority w:val="52"/>
    <w:rsid w:val="00760875"/>
    <w:pPr>
      <w:spacing w:after="0" w:line="240" w:lineRule="auto"/>
    </w:pPr>
    <w:rPr>
      <w:color w:val="0E9DD0" w:themeColor="accent2" w:themeShade="BF"/>
    </w:rPr>
    <w:tblPr>
      <w:tblStyleRowBandSize w:val="1"/>
      <w:tblStyleColBandSize w:val="1"/>
      <w:tblBorders>
        <w:top w:val="single" w:sz="4" w:space="0" w:color="88D9F6" w:themeColor="accent2" w:themeTint="99"/>
        <w:left w:val="single" w:sz="4" w:space="0" w:color="88D9F6" w:themeColor="accent2" w:themeTint="99"/>
        <w:bottom w:val="single" w:sz="4" w:space="0" w:color="88D9F6" w:themeColor="accent2" w:themeTint="99"/>
        <w:right w:val="single" w:sz="4" w:space="0" w:color="88D9F6" w:themeColor="accent2" w:themeTint="99"/>
        <w:insideH w:val="single" w:sz="4" w:space="0" w:color="88D9F6" w:themeColor="accent2" w:themeTint="99"/>
        <w:insideV w:val="single" w:sz="4" w:space="0" w:color="88D9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2FC" w:themeFill="accent2" w:themeFillTint="33"/>
      </w:tcPr>
    </w:tblStylePr>
    <w:tblStylePr w:type="band1Horz">
      <w:tblPr/>
      <w:tcPr>
        <w:shd w:val="clear" w:color="auto" w:fill="D7F2FC" w:themeFill="accent2" w:themeFillTint="33"/>
      </w:tcPr>
    </w:tblStylePr>
    <w:tblStylePr w:type="neCell">
      <w:tblPr/>
      <w:tcPr>
        <w:tcBorders>
          <w:bottom w:val="single" w:sz="4" w:space="0" w:color="88D9F6" w:themeColor="accent2" w:themeTint="99"/>
        </w:tcBorders>
      </w:tcPr>
    </w:tblStylePr>
    <w:tblStylePr w:type="nwCell">
      <w:tblPr/>
      <w:tcPr>
        <w:tcBorders>
          <w:bottom w:val="single" w:sz="4" w:space="0" w:color="88D9F6" w:themeColor="accent2" w:themeTint="99"/>
        </w:tcBorders>
      </w:tcPr>
    </w:tblStylePr>
    <w:tblStylePr w:type="seCell">
      <w:tblPr/>
      <w:tcPr>
        <w:tcBorders>
          <w:top w:val="single" w:sz="4" w:space="0" w:color="88D9F6" w:themeColor="accent2" w:themeTint="99"/>
        </w:tcBorders>
      </w:tcPr>
    </w:tblStylePr>
    <w:tblStylePr w:type="swCell">
      <w:tblPr/>
      <w:tcPr>
        <w:tcBorders>
          <w:top w:val="single" w:sz="4" w:space="0" w:color="88D9F6" w:themeColor="accent2" w:themeTint="99"/>
        </w:tcBorders>
      </w:tcPr>
    </w:tblStylePr>
  </w:style>
  <w:style w:type="table" w:styleId="ListTable1Light-Accent2">
    <w:name w:val="List Table 1 Light Accent 2"/>
    <w:basedOn w:val="TableNormal"/>
    <w:uiPriority w:val="46"/>
    <w:rsid w:val="00760875"/>
    <w:pPr>
      <w:spacing w:after="0" w:line="240" w:lineRule="auto"/>
    </w:pPr>
    <w:tblPr>
      <w:tblStyleRowBandSize w:val="1"/>
      <w:tblStyleColBandSize w:val="1"/>
    </w:tblPr>
    <w:tblStylePr w:type="firstRow">
      <w:rPr>
        <w:b/>
        <w:bCs/>
      </w:rPr>
      <w:tblPr/>
      <w:tcPr>
        <w:tcBorders>
          <w:bottom w:val="single" w:sz="4" w:space="0" w:color="88D9F6" w:themeColor="accent2" w:themeTint="99"/>
        </w:tcBorders>
      </w:tcPr>
    </w:tblStylePr>
    <w:tblStylePr w:type="lastRow">
      <w:rPr>
        <w:b/>
        <w:bCs/>
      </w:rPr>
      <w:tblPr/>
      <w:tcPr>
        <w:tcBorders>
          <w:top w:val="single" w:sz="4" w:space="0" w:color="88D9F6" w:themeColor="accent2" w:themeTint="99"/>
        </w:tcBorders>
      </w:tcPr>
    </w:tblStylePr>
    <w:tblStylePr w:type="firstCol">
      <w:rPr>
        <w:b/>
        <w:bCs/>
      </w:rPr>
    </w:tblStylePr>
    <w:tblStylePr w:type="lastCol">
      <w:rPr>
        <w:b/>
        <w:bCs/>
      </w:rPr>
    </w:tblStylePr>
    <w:tblStylePr w:type="band1Vert">
      <w:tblPr/>
      <w:tcPr>
        <w:shd w:val="clear" w:color="auto" w:fill="D7F2FC" w:themeFill="accent2" w:themeFillTint="33"/>
      </w:tcPr>
    </w:tblStylePr>
    <w:tblStylePr w:type="band1Horz">
      <w:tblPr/>
      <w:tcPr>
        <w:shd w:val="clear" w:color="auto" w:fill="D7F2FC"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cfr.gov/current/title-23/chapter-I/subchapter-E/part-490" TargetMode="External"/><Relationship Id="rId26"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lsenate.gov/Laws/Statutes/2025/0339.17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s://fdotwww.blob.core.windows.net/sitefinity/docs/default-source/transit/transit-office-tam/fdot-tam-plan_2022.pdf?sfvrsn=c947275e_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FTO Brand">
  <a:themeElements>
    <a:clrScheme name="FTO Brand">
      <a:dk1>
        <a:srgbClr val="0A1A2B"/>
      </a:dk1>
      <a:lt1>
        <a:sysClr val="window" lastClr="FFFFFF"/>
      </a:lt1>
      <a:dk2>
        <a:srgbClr val="000000"/>
      </a:dk2>
      <a:lt2>
        <a:srgbClr val="E6E7E8"/>
      </a:lt2>
      <a:accent1>
        <a:srgbClr val="065EA0"/>
      </a:accent1>
      <a:accent2>
        <a:srgbClr val="39C1F1"/>
      </a:accent2>
      <a:accent3>
        <a:srgbClr val="ABD037"/>
      </a:accent3>
      <a:accent4>
        <a:srgbClr val="A62662"/>
      </a:accent4>
      <a:accent5>
        <a:srgbClr val="F49121"/>
      </a:accent5>
      <a:accent6>
        <a:srgbClr val="000000"/>
      </a:accent6>
      <a:hlink>
        <a:srgbClr val="065EA0"/>
      </a:hlink>
      <a:folHlink>
        <a:srgbClr val="A6266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49f654-fbfa-4f67-9438-cdb4a6991d8b">
      <Terms xmlns="http://schemas.microsoft.com/office/infopath/2007/PartnerControls"/>
    </lcf76f155ced4ddcb4097134ff3c332f>
    <TaxCatchAll xmlns="7a7acc14-192f-4be7-905b-6f969f757a6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5ABDC3BE7A0E4E9E8C0EF7B0331D2E" ma:contentTypeVersion="18" ma:contentTypeDescription="Create a new document." ma:contentTypeScope="" ma:versionID="571ca411f8e9adcdd92aceb55dc073d7">
  <xsd:schema xmlns:xsd="http://www.w3.org/2001/XMLSchema" xmlns:xs="http://www.w3.org/2001/XMLSchema" xmlns:p="http://schemas.microsoft.com/office/2006/metadata/properties" xmlns:ns2="db49f654-fbfa-4f67-9438-cdb4a6991d8b" xmlns:ns3="7a7acc14-192f-4be7-905b-6f969f757a61" targetNamespace="http://schemas.microsoft.com/office/2006/metadata/properties" ma:root="true" ma:fieldsID="c3ec6833f3f4d1c2bb60cb272f085080" ns2:_="" ns3:_="">
    <xsd:import namespace="db49f654-fbfa-4f67-9438-cdb4a6991d8b"/>
    <xsd:import namespace="7a7acc14-192f-4be7-905b-6f969f757a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2:MediaLengthInSeconds"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49f654-fbfa-4f67-9438-cdb4a6991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869760-63e5-4ad7-8e1d-ce12b2e8d0ad"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7acc14-192f-4be7-905b-6f969f757a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034d5ed-4ae1-4c4f-b130-fda737c182ea}" ma:internalName="TaxCatchAll" ma:showField="CatchAllData" ma:web="7a7acc14-192f-4be7-905b-6f969f757a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7E10E0-D067-4111-AA05-3AD7BD3F6D68}">
  <ds:schemaRefs>
    <ds:schemaRef ds:uri="http://schemas.microsoft.com/office/2006/metadata/properties"/>
    <ds:schemaRef ds:uri="http://schemas.microsoft.com/office/infopath/2007/PartnerControls"/>
    <ds:schemaRef ds:uri="5fa2888a-8cbe-41a8-8e5e-26fd10a51a6b"/>
    <ds:schemaRef ds:uri="ffccdafe-6785-44ab-b8f4-62f2ed9d3d4c"/>
  </ds:schemaRefs>
</ds:datastoreItem>
</file>

<file path=customXml/itemProps2.xml><?xml version="1.0" encoding="utf-8"?>
<ds:datastoreItem xmlns:ds="http://schemas.openxmlformats.org/officeDocument/2006/customXml" ds:itemID="{994826B6-2AC9-4421-8E99-0DAFAFD7BF17}">
  <ds:schemaRefs>
    <ds:schemaRef ds:uri="http://schemas.openxmlformats.org/officeDocument/2006/bibliography"/>
  </ds:schemaRefs>
</ds:datastoreItem>
</file>

<file path=customXml/itemProps3.xml><?xml version="1.0" encoding="utf-8"?>
<ds:datastoreItem xmlns:ds="http://schemas.openxmlformats.org/officeDocument/2006/customXml" ds:itemID="{24BF8334-82C2-4BF3-9A4F-5FD7A2303C8E}">
  <ds:schemaRefs>
    <ds:schemaRef ds:uri="http://schemas.microsoft.com/sharepoint/v3/contenttype/forms"/>
  </ds:schemaRefs>
</ds:datastoreItem>
</file>

<file path=customXml/itemProps4.xml><?xml version="1.0" encoding="utf-8"?>
<ds:datastoreItem xmlns:ds="http://schemas.openxmlformats.org/officeDocument/2006/customXml" ds:itemID="{B987AFB6-3241-4C02-9665-03F38B6CA03A}"/>
</file>

<file path=docProps/app.xml><?xml version="1.0" encoding="utf-8"?>
<Properties xmlns="http://schemas.openxmlformats.org/officeDocument/2006/extended-properties" xmlns:vt="http://schemas.openxmlformats.org/officeDocument/2006/docPropsVTypes">
  <Template>Normal</Template>
  <TotalTime>4</TotalTime>
  <Pages>16</Pages>
  <Words>3933</Words>
  <Characters>22028</Characters>
  <Application>Microsoft Office Word</Application>
  <DocSecurity>0</DocSecurity>
  <Lines>804</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25590</CharactersWithSpaces>
  <SharedDoc>false</SharedDoc>
  <HLinks>
    <vt:vector size="66" baseType="variant">
      <vt:variant>
        <vt:i4>6815845</vt:i4>
      </vt:variant>
      <vt:variant>
        <vt:i4>57</vt:i4>
      </vt:variant>
      <vt:variant>
        <vt:i4>0</vt:i4>
      </vt:variant>
      <vt:variant>
        <vt:i4>5</vt:i4>
      </vt:variant>
      <vt:variant>
        <vt:lpwstr>https://fdotwww.blob.core.windows.net/sitefinity/docs/default-source/transit/transit-office-tam/fdot-tam-plan_2022.pdf?sfvrsn=c947275e_2</vt:lpwstr>
      </vt:variant>
      <vt:variant>
        <vt:lpwstr/>
      </vt:variant>
      <vt:variant>
        <vt:i4>4587521</vt:i4>
      </vt:variant>
      <vt:variant>
        <vt:i4>54</vt:i4>
      </vt:variant>
      <vt:variant>
        <vt:i4>0</vt:i4>
      </vt:variant>
      <vt:variant>
        <vt:i4>5</vt:i4>
      </vt:variant>
      <vt:variant>
        <vt:lpwstr>https://www.flsenate.gov/Laws/Statutes/2025/0339.175</vt:lpwstr>
      </vt:variant>
      <vt:variant>
        <vt:lpwstr/>
      </vt:variant>
      <vt:variant>
        <vt:i4>5046354</vt:i4>
      </vt:variant>
      <vt:variant>
        <vt:i4>51</vt:i4>
      </vt:variant>
      <vt:variant>
        <vt:i4>0</vt:i4>
      </vt:variant>
      <vt:variant>
        <vt:i4>5</vt:i4>
      </vt:variant>
      <vt:variant>
        <vt:lpwstr>https://www.ecfr.gov/current/title-23/chapter-I/subchapter-E/part-490</vt:lpwstr>
      </vt:variant>
      <vt:variant>
        <vt:lpwstr/>
      </vt:variant>
      <vt:variant>
        <vt:i4>1114165</vt:i4>
      </vt:variant>
      <vt:variant>
        <vt:i4>44</vt:i4>
      </vt:variant>
      <vt:variant>
        <vt:i4>0</vt:i4>
      </vt:variant>
      <vt:variant>
        <vt:i4>5</vt:i4>
      </vt:variant>
      <vt:variant>
        <vt:lpwstr/>
      </vt:variant>
      <vt:variant>
        <vt:lpwstr>_Toc224042762</vt:lpwstr>
      </vt:variant>
      <vt:variant>
        <vt:i4>1114165</vt:i4>
      </vt:variant>
      <vt:variant>
        <vt:i4>38</vt:i4>
      </vt:variant>
      <vt:variant>
        <vt:i4>0</vt:i4>
      </vt:variant>
      <vt:variant>
        <vt:i4>5</vt:i4>
      </vt:variant>
      <vt:variant>
        <vt:lpwstr/>
      </vt:variant>
      <vt:variant>
        <vt:lpwstr>_Toc224042761</vt:lpwstr>
      </vt:variant>
      <vt:variant>
        <vt:i4>1114165</vt:i4>
      </vt:variant>
      <vt:variant>
        <vt:i4>32</vt:i4>
      </vt:variant>
      <vt:variant>
        <vt:i4>0</vt:i4>
      </vt:variant>
      <vt:variant>
        <vt:i4>5</vt:i4>
      </vt:variant>
      <vt:variant>
        <vt:lpwstr/>
      </vt:variant>
      <vt:variant>
        <vt:lpwstr>_Toc224042760</vt:lpwstr>
      </vt:variant>
      <vt:variant>
        <vt:i4>1179701</vt:i4>
      </vt:variant>
      <vt:variant>
        <vt:i4>26</vt:i4>
      </vt:variant>
      <vt:variant>
        <vt:i4>0</vt:i4>
      </vt:variant>
      <vt:variant>
        <vt:i4>5</vt:i4>
      </vt:variant>
      <vt:variant>
        <vt:lpwstr/>
      </vt:variant>
      <vt:variant>
        <vt:lpwstr>_Toc224042759</vt:lpwstr>
      </vt:variant>
      <vt:variant>
        <vt:i4>1179701</vt:i4>
      </vt:variant>
      <vt:variant>
        <vt:i4>20</vt:i4>
      </vt:variant>
      <vt:variant>
        <vt:i4>0</vt:i4>
      </vt:variant>
      <vt:variant>
        <vt:i4>5</vt:i4>
      </vt:variant>
      <vt:variant>
        <vt:lpwstr/>
      </vt:variant>
      <vt:variant>
        <vt:lpwstr>_Toc224042758</vt:lpwstr>
      </vt:variant>
      <vt:variant>
        <vt:i4>1179701</vt:i4>
      </vt:variant>
      <vt:variant>
        <vt:i4>14</vt:i4>
      </vt:variant>
      <vt:variant>
        <vt:i4>0</vt:i4>
      </vt:variant>
      <vt:variant>
        <vt:i4>5</vt:i4>
      </vt:variant>
      <vt:variant>
        <vt:lpwstr/>
      </vt:variant>
      <vt:variant>
        <vt:lpwstr>_Toc224042757</vt:lpwstr>
      </vt:variant>
      <vt:variant>
        <vt:i4>1179701</vt:i4>
      </vt:variant>
      <vt:variant>
        <vt:i4>8</vt:i4>
      </vt:variant>
      <vt:variant>
        <vt:i4>0</vt:i4>
      </vt:variant>
      <vt:variant>
        <vt:i4>5</vt:i4>
      </vt:variant>
      <vt:variant>
        <vt:lpwstr/>
      </vt:variant>
      <vt:variant>
        <vt:lpwstr>_Toc224042756</vt:lpwstr>
      </vt:variant>
      <vt:variant>
        <vt:i4>1179701</vt:i4>
      </vt:variant>
      <vt:variant>
        <vt:i4>2</vt:i4>
      </vt:variant>
      <vt:variant>
        <vt:i4>0</vt:i4>
      </vt:variant>
      <vt:variant>
        <vt:i4>5</vt:i4>
      </vt:variant>
      <vt:variant>
        <vt:lpwstr/>
      </vt:variant>
      <vt:variant>
        <vt:lpwstr>_Toc224042755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Management Template: MPO Transportation Improvement Program (TIP) March 2026 Update</dc:title>
  <dc:subject/>
  <dc:creator>Florida Department of Transportation</dc:creator>
  <cp:keywords/>
  <dc:description/>
  <cp:lastModifiedBy>Ryan St Martin</cp:lastModifiedBy>
  <cp:revision>6</cp:revision>
  <cp:lastPrinted>2026-03-09T21:41:00Z</cp:lastPrinted>
  <dcterms:created xsi:type="dcterms:W3CDTF">2026-03-26T14:38:00Z</dcterms:created>
  <dcterms:modified xsi:type="dcterms:W3CDTF">2026-03-26T16:18:00Z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0x010100455ABDC3BE7A0E4E9E8C0EF7B0331D2E</vt:lpwstr>
  </property>
  <property fmtid="{D5CDD505-2E9C-101B-9397-08002B2CF9AE}" pid="3" name="MediaServiceImageTags">
    <vt:lpwstr/>
  </property>
  <property fmtid="{D5CDD505-2E9C-101B-9397-08002B2CF9AE}" pid="4" name="GrammarlyDocumentId">
    <vt:lpwstr>efbcad86-a2fb-4366-848f-1c18456e47f0</vt:lpwstr>
  </property>
  <property fmtid="{D5CDD505-2E9C-101B-9397-08002B2CF9AE}" pid="5" name="MSIP_Label_9b1b62f4-cb9b-4766-8dff-64a7ed23e056_Enabled">
    <vt:lpwstr>true</vt:lpwstr>
  </property>
  <property fmtid="{D5CDD505-2E9C-101B-9397-08002B2CF9AE}" pid="6" name="MSIP_Label_9b1b62f4-cb9b-4766-8dff-64a7ed23e056_SetDate">
    <vt:lpwstr>2026-03-10T15:08:45Z</vt:lpwstr>
  </property>
  <property fmtid="{D5CDD505-2E9C-101B-9397-08002B2CF9AE}" pid="7" name="MSIP_Label_9b1b62f4-cb9b-4766-8dff-64a7ed23e056_Method">
    <vt:lpwstr>Standard</vt:lpwstr>
  </property>
  <property fmtid="{D5CDD505-2E9C-101B-9397-08002B2CF9AE}" pid="8" name="MSIP_Label_9b1b62f4-cb9b-4766-8dff-64a7ed23e056_Name">
    <vt:lpwstr>Public</vt:lpwstr>
  </property>
  <property fmtid="{D5CDD505-2E9C-101B-9397-08002B2CF9AE}" pid="9" name="MSIP_Label_9b1b62f4-cb9b-4766-8dff-64a7ed23e056_SiteId">
    <vt:lpwstr>db21de5d-bc9c-420c-8f3f-8f08f85b5ada</vt:lpwstr>
  </property>
  <property fmtid="{D5CDD505-2E9C-101B-9397-08002B2CF9AE}" pid="10" name="MSIP_Label_9b1b62f4-cb9b-4766-8dff-64a7ed23e056_ActionId">
    <vt:lpwstr>0189e5e7-00c1-4aa0-8094-620e59f8e690</vt:lpwstr>
  </property>
  <property fmtid="{D5CDD505-2E9C-101B-9397-08002B2CF9AE}" pid="11" name="MSIP_Label_9b1b62f4-cb9b-4766-8dff-64a7ed23e056_ContentBits">
    <vt:lpwstr>0</vt:lpwstr>
  </property>
  <property fmtid="{D5CDD505-2E9C-101B-9397-08002B2CF9AE}" pid="12" name="MSIP_Label_9b1b62f4-cb9b-4766-8dff-64a7ed23e056_Tag">
    <vt:lpwstr>10, 3, 0, 1</vt:lpwstr>
  </property>
  <property fmtid="{D5CDD505-2E9C-101B-9397-08002B2CF9AE}" pid="13" name="docLang">
    <vt:lpwstr>en</vt:lpwstr>
  </property>
</Properties>
</file>