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3A566" w14:textId="77777777" w:rsidR="00477510" w:rsidRPr="00E77BC1" w:rsidRDefault="00771550" w:rsidP="00E77BC1">
      <w:pPr>
        <w:spacing w:after="0" w:line="240" w:lineRule="auto"/>
        <w:rPr>
          <w:rFonts w:asciiTheme="minorHAnsi" w:hAnsiTheme="minorHAnsi"/>
          <w:b/>
          <w:color w:val="1F4E79" w:themeColor="accent1" w:themeShade="80"/>
          <w:sz w:val="24"/>
          <w:szCs w:val="24"/>
        </w:rPr>
      </w:pPr>
      <w:r w:rsidRPr="00E77BC1">
        <w:rPr>
          <w:rFonts w:asciiTheme="minorHAnsi" w:hAnsiTheme="minorHAnsi"/>
          <w:b/>
          <w:color w:val="1F4E79" w:themeColor="accent1" w:themeShade="80"/>
          <w:sz w:val="24"/>
          <w:szCs w:val="24"/>
        </w:rPr>
        <w:t>Change Control Request</w:t>
      </w:r>
    </w:p>
    <w:p w14:paraId="38BCF7A6" w14:textId="77777777" w:rsidR="00E77BC1" w:rsidRDefault="00E77BC1" w:rsidP="00E77BC1">
      <w:pPr>
        <w:spacing w:after="0" w:line="240" w:lineRule="auto"/>
        <w:rPr>
          <w:rFonts w:asciiTheme="minorHAnsi" w:hAnsiTheme="minorHAnsi"/>
        </w:rPr>
      </w:pPr>
      <w:r>
        <w:rPr>
          <w:rFonts w:asciiTheme="minorHAnsi" w:hAnsiTheme="minorHAnsi"/>
        </w:rPr>
        <w:t>Change Control Request is a formal process used to ensure that changes to a project, product or system are presented in a controlled and coordinated manner.</w:t>
      </w:r>
    </w:p>
    <w:p w14:paraId="44755A9F" w14:textId="77777777" w:rsidR="00E77BC1" w:rsidRDefault="00E77BC1" w:rsidP="00E77BC1">
      <w:pPr>
        <w:spacing w:after="0" w:line="240" w:lineRule="auto"/>
        <w:rPr>
          <w:rFonts w:asciiTheme="minorHAnsi" w:hAnsiTheme="minorHAnsi"/>
        </w:rPr>
      </w:pPr>
    </w:p>
    <w:p w14:paraId="4B11046E" w14:textId="77777777" w:rsidR="00E77BC1" w:rsidRPr="00E77BC1" w:rsidRDefault="00E77BC1" w:rsidP="00E77BC1">
      <w:pPr>
        <w:spacing w:after="0" w:line="240" w:lineRule="auto"/>
        <w:rPr>
          <w:rFonts w:asciiTheme="minorHAnsi" w:hAnsiTheme="minorHAnsi"/>
          <w:b/>
          <w:color w:val="1F4E79" w:themeColor="accent1" w:themeShade="80"/>
          <w:sz w:val="24"/>
          <w:szCs w:val="24"/>
        </w:rPr>
      </w:pPr>
      <w:r w:rsidRPr="00F35B44">
        <w:rPr>
          <w:rFonts w:asciiTheme="minorHAnsi" w:hAnsiTheme="minorHAnsi"/>
          <w:b/>
          <w:color w:val="1F4E79" w:themeColor="accent1" w:themeShade="80"/>
          <w:sz w:val="24"/>
          <w:szCs w:val="24"/>
        </w:rPr>
        <w:t>COOP</w:t>
      </w:r>
    </w:p>
    <w:p w14:paraId="66E3CF1E" w14:textId="77777777" w:rsidR="00E77BC1" w:rsidRDefault="00E77BC1" w:rsidP="00E77BC1">
      <w:pPr>
        <w:spacing w:after="0" w:line="240" w:lineRule="auto"/>
        <w:rPr>
          <w:rFonts w:asciiTheme="minorHAnsi" w:hAnsiTheme="minorHAnsi"/>
        </w:rPr>
      </w:pPr>
      <w:r>
        <w:rPr>
          <w:rFonts w:asciiTheme="minorHAnsi" w:hAnsiTheme="minorHAnsi"/>
        </w:rPr>
        <w:t>Continuity of Operations Plan</w:t>
      </w:r>
    </w:p>
    <w:p w14:paraId="4C8DA5F6" w14:textId="77777777" w:rsidR="00725367" w:rsidRDefault="00725367" w:rsidP="00E77BC1">
      <w:pPr>
        <w:spacing w:after="0" w:line="240" w:lineRule="auto"/>
        <w:rPr>
          <w:rFonts w:asciiTheme="minorHAnsi" w:hAnsiTheme="minorHAnsi"/>
        </w:rPr>
      </w:pPr>
    </w:p>
    <w:p w14:paraId="7124B611" w14:textId="77777777" w:rsidR="00E77BC1" w:rsidRPr="00E77BC1" w:rsidRDefault="00E77BC1" w:rsidP="00E77BC1">
      <w:pPr>
        <w:spacing w:after="0" w:line="240" w:lineRule="auto"/>
        <w:rPr>
          <w:rFonts w:asciiTheme="minorHAnsi" w:hAnsiTheme="minorHAnsi"/>
          <w:b/>
          <w:color w:val="1F4E79" w:themeColor="accent1" w:themeShade="80"/>
          <w:sz w:val="24"/>
          <w:szCs w:val="24"/>
        </w:rPr>
      </w:pPr>
      <w:r w:rsidRPr="00E77BC1">
        <w:rPr>
          <w:rFonts w:asciiTheme="minorHAnsi" w:hAnsiTheme="minorHAnsi"/>
          <w:b/>
          <w:color w:val="1F4E79" w:themeColor="accent1" w:themeShade="80"/>
          <w:sz w:val="24"/>
          <w:szCs w:val="24"/>
        </w:rPr>
        <w:t>Data Definition Language</w:t>
      </w:r>
    </w:p>
    <w:p w14:paraId="28699301" w14:textId="77777777" w:rsidR="00E77BC1" w:rsidRDefault="00E77BC1" w:rsidP="00E77BC1">
      <w:pPr>
        <w:spacing w:after="0" w:line="240" w:lineRule="auto"/>
        <w:rPr>
          <w:rFonts w:asciiTheme="minorHAnsi" w:hAnsiTheme="minorHAnsi"/>
        </w:rPr>
      </w:pPr>
      <w:r>
        <w:rPr>
          <w:rFonts w:asciiTheme="minorHAnsi" w:hAnsiTheme="minorHAnsi"/>
        </w:rPr>
        <w:t>Data Definition Language (DDL) script to be used to generate the database schema as represented by the Database Design Diagram.</w:t>
      </w:r>
    </w:p>
    <w:p w14:paraId="75394555" w14:textId="77777777" w:rsidR="00E77BC1" w:rsidRDefault="00E77BC1" w:rsidP="00E77BC1">
      <w:pPr>
        <w:spacing w:after="0" w:line="240" w:lineRule="auto"/>
        <w:rPr>
          <w:rFonts w:asciiTheme="minorHAnsi" w:hAnsiTheme="minorHAnsi"/>
        </w:rPr>
      </w:pPr>
    </w:p>
    <w:p w14:paraId="3125C205" w14:textId="77777777" w:rsidR="00E77BC1" w:rsidRPr="00E77BC1" w:rsidRDefault="00E77BC1" w:rsidP="00E77BC1">
      <w:pPr>
        <w:spacing w:after="0" w:line="240" w:lineRule="auto"/>
        <w:rPr>
          <w:rFonts w:asciiTheme="minorHAnsi" w:hAnsiTheme="minorHAnsi"/>
          <w:b/>
          <w:color w:val="1F4E79" w:themeColor="accent1" w:themeShade="80"/>
          <w:sz w:val="24"/>
          <w:szCs w:val="24"/>
        </w:rPr>
      </w:pPr>
      <w:r w:rsidRPr="00E77BC1">
        <w:rPr>
          <w:rFonts w:asciiTheme="minorHAnsi" w:hAnsiTheme="minorHAnsi"/>
          <w:b/>
          <w:color w:val="1F4E79" w:themeColor="accent1" w:themeShade="80"/>
          <w:sz w:val="24"/>
          <w:szCs w:val="24"/>
        </w:rPr>
        <w:t>Data Dictionary</w:t>
      </w:r>
    </w:p>
    <w:p w14:paraId="10910246" w14:textId="77777777" w:rsidR="00E77BC1" w:rsidRDefault="00E77BC1" w:rsidP="00E77BC1">
      <w:pPr>
        <w:spacing w:after="0" w:line="240" w:lineRule="auto"/>
        <w:rPr>
          <w:rFonts w:asciiTheme="minorHAnsi" w:hAnsiTheme="minorHAnsi"/>
        </w:rPr>
      </w:pPr>
      <w:r>
        <w:rPr>
          <w:rFonts w:asciiTheme="minorHAnsi" w:hAnsiTheme="minorHAnsi"/>
        </w:rPr>
        <w:t>A report/list of all physical entity and attribute types used by the application as implemented in the database schema. The report/list includes the name of the physical entity type and the name, data type, null/not null for each entity type attribute.</w:t>
      </w:r>
    </w:p>
    <w:p w14:paraId="261103B5" w14:textId="77777777" w:rsidR="00E77BC1" w:rsidRDefault="00E77BC1" w:rsidP="00E77BC1">
      <w:pPr>
        <w:spacing w:after="0" w:line="240" w:lineRule="auto"/>
        <w:rPr>
          <w:rFonts w:asciiTheme="minorHAnsi" w:hAnsiTheme="minorHAnsi"/>
        </w:rPr>
      </w:pPr>
    </w:p>
    <w:p w14:paraId="75C80D25" w14:textId="77777777" w:rsidR="00E77BC1" w:rsidRPr="00E77BC1" w:rsidRDefault="00E77BC1" w:rsidP="00E77BC1">
      <w:pPr>
        <w:spacing w:after="0" w:line="240" w:lineRule="auto"/>
        <w:rPr>
          <w:rFonts w:asciiTheme="minorHAnsi" w:hAnsiTheme="minorHAnsi"/>
          <w:b/>
          <w:color w:val="1F4E79" w:themeColor="accent1" w:themeShade="80"/>
          <w:sz w:val="24"/>
          <w:szCs w:val="24"/>
        </w:rPr>
      </w:pPr>
      <w:r w:rsidRPr="00E77BC1">
        <w:rPr>
          <w:rFonts w:asciiTheme="minorHAnsi" w:hAnsiTheme="minorHAnsi"/>
          <w:b/>
          <w:color w:val="1F4E79" w:themeColor="accent1" w:themeShade="80"/>
          <w:sz w:val="24"/>
          <w:szCs w:val="24"/>
        </w:rPr>
        <w:t>Database Design Diagram</w:t>
      </w:r>
    </w:p>
    <w:p w14:paraId="16AD2ED8" w14:textId="77777777" w:rsidR="00E77BC1" w:rsidRDefault="00E77BC1" w:rsidP="00E77BC1">
      <w:pPr>
        <w:spacing w:after="0" w:line="240" w:lineRule="auto"/>
        <w:rPr>
          <w:rFonts w:asciiTheme="minorHAnsi" w:hAnsiTheme="minorHAnsi"/>
        </w:rPr>
      </w:pPr>
      <w:r>
        <w:rPr>
          <w:rFonts w:asciiTheme="minorHAnsi" w:hAnsiTheme="minorHAnsi"/>
        </w:rPr>
        <w:t>This is a chart/diagram representing the physical data model implementation of the data design into a database schema including all physical entity types, table relationships, columns and indexed columns, etc.</w:t>
      </w:r>
    </w:p>
    <w:p w14:paraId="0CEAC540" w14:textId="77777777" w:rsidR="00E77BC1" w:rsidRDefault="00E77BC1" w:rsidP="00E77BC1">
      <w:pPr>
        <w:spacing w:after="0" w:line="240" w:lineRule="auto"/>
        <w:rPr>
          <w:rFonts w:asciiTheme="minorHAnsi" w:hAnsiTheme="minorHAnsi"/>
        </w:rPr>
      </w:pPr>
    </w:p>
    <w:p w14:paraId="259DE53E" w14:textId="77777777" w:rsidR="00E77BC1" w:rsidRPr="00E77BC1" w:rsidRDefault="00E77BC1" w:rsidP="00E77BC1">
      <w:pPr>
        <w:spacing w:after="0" w:line="240" w:lineRule="auto"/>
        <w:rPr>
          <w:rFonts w:asciiTheme="minorHAnsi" w:hAnsiTheme="minorHAnsi"/>
          <w:b/>
          <w:color w:val="1F4E79" w:themeColor="accent1" w:themeShade="80"/>
          <w:sz w:val="24"/>
          <w:szCs w:val="24"/>
        </w:rPr>
      </w:pPr>
      <w:r w:rsidRPr="00E77BC1">
        <w:rPr>
          <w:rFonts w:asciiTheme="minorHAnsi" w:hAnsiTheme="minorHAnsi"/>
          <w:b/>
          <w:color w:val="1F4E79" w:themeColor="accent1" w:themeShade="80"/>
          <w:sz w:val="24"/>
          <w:szCs w:val="24"/>
        </w:rPr>
        <w:t>Defect</w:t>
      </w:r>
    </w:p>
    <w:p w14:paraId="35704FD2" w14:textId="77777777" w:rsidR="00E77BC1" w:rsidRDefault="00E77BC1" w:rsidP="00E77BC1">
      <w:pPr>
        <w:spacing w:after="0" w:line="240" w:lineRule="auto"/>
        <w:rPr>
          <w:rFonts w:asciiTheme="minorHAnsi" w:hAnsiTheme="minorHAnsi"/>
        </w:rPr>
      </w:pPr>
      <w:r>
        <w:rPr>
          <w:rFonts w:asciiTheme="minorHAnsi" w:hAnsiTheme="minorHAnsi"/>
        </w:rPr>
        <w:t>An error in the application which causes it to produce incorrect results or become unusable/unstable. Defects also include issues where the application does not meet the specified requirements or identified standards.</w:t>
      </w:r>
    </w:p>
    <w:p w14:paraId="30B2EC07" w14:textId="77777777" w:rsidR="00E77BC1" w:rsidRDefault="00E77BC1" w:rsidP="00E77BC1">
      <w:pPr>
        <w:spacing w:after="0" w:line="240" w:lineRule="auto"/>
        <w:rPr>
          <w:rFonts w:asciiTheme="minorHAnsi" w:hAnsiTheme="minorHAnsi"/>
        </w:rPr>
      </w:pPr>
    </w:p>
    <w:p w14:paraId="09B1F108" w14:textId="77777777" w:rsidR="00B3390B" w:rsidRPr="00B3390B" w:rsidRDefault="00B3390B" w:rsidP="00E77BC1">
      <w:pPr>
        <w:spacing w:after="0" w:line="240" w:lineRule="auto"/>
        <w:rPr>
          <w:rFonts w:asciiTheme="minorHAnsi" w:hAnsiTheme="minorHAnsi"/>
          <w:b/>
          <w:color w:val="1F4E79" w:themeColor="accent1" w:themeShade="80"/>
          <w:sz w:val="24"/>
          <w:szCs w:val="24"/>
        </w:rPr>
      </w:pPr>
      <w:r w:rsidRPr="00B3390B">
        <w:rPr>
          <w:rFonts w:asciiTheme="minorHAnsi" w:hAnsiTheme="minorHAnsi"/>
          <w:b/>
          <w:color w:val="1F4E79" w:themeColor="accent1" w:themeShade="80"/>
          <w:sz w:val="24"/>
          <w:szCs w:val="24"/>
        </w:rPr>
        <w:t>Encumbrance</w:t>
      </w:r>
    </w:p>
    <w:p w14:paraId="0A7862E7" w14:textId="77777777" w:rsidR="00B3390B" w:rsidRDefault="00B3390B" w:rsidP="00E77BC1">
      <w:pPr>
        <w:spacing w:after="0" w:line="240" w:lineRule="auto"/>
        <w:rPr>
          <w:rFonts w:asciiTheme="minorHAnsi" w:hAnsiTheme="minorHAnsi"/>
        </w:rPr>
      </w:pPr>
      <w:r>
        <w:rPr>
          <w:rFonts w:asciiTheme="minorHAnsi" w:hAnsiTheme="minorHAnsi"/>
        </w:rPr>
        <w:t>A commitment to use funds for a specific purpose. For Contract Funds Management (CFM), the encumbrance is the “recognition” that the funds approval process has been completed and the funds are then “reserved”. CFM is limited to the funds approval process and establishment of encumbrances in FLAIR only. FDOT’s Financial Management (FM) system manages the encumbrance – commitment – expenditure relationship and tracks the expenditures for each financial project.</w:t>
      </w:r>
    </w:p>
    <w:p w14:paraId="4776E4BA" w14:textId="77777777" w:rsidR="00B3390B" w:rsidRDefault="00B3390B" w:rsidP="00E77BC1">
      <w:pPr>
        <w:spacing w:after="0" w:line="240" w:lineRule="auto"/>
        <w:rPr>
          <w:rFonts w:asciiTheme="minorHAnsi" w:hAnsiTheme="minorHAnsi"/>
        </w:rPr>
      </w:pPr>
    </w:p>
    <w:p w14:paraId="37317EE0" w14:textId="77777777" w:rsidR="00E77BC1" w:rsidRPr="00E77BC1" w:rsidRDefault="00E77BC1" w:rsidP="00E77BC1">
      <w:pPr>
        <w:spacing w:after="0" w:line="240" w:lineRule="auto"/>
        <w:rPr>
          <w:rFonts w:asciiTheme="minorHAnsi" w:hAnsiTheme="minorHAnsi"/>
          <w:b/>
          <w:color w:val="1F4E79" w:themeColor="accent1" w:themeShade="80"/>
          <w:sz w:val="24"/>
          <w:szCs w:val="24"/>
        </w:rPr>
      </w:pPr>
      <w:r w:rsidRPr="00E77BC1">
        <w:rPr>
          <w:rFonts w:asciiTheme="minorHAnsi" w:hAnsiTheme="minorHAnsi"/>
          <w:b/>
          <w:color w:val="1F4E79" w:themeColor="accent1" w:themeShade="80"/>
          <w:sz w:val="24"/>
          <w:szCs w:val="24"/>
        </w:rPr>
        <w:t>Executive Sponsor</w:t>
      </w:r>
    </w:p>
    <w:p w14:paraId="00DD1FE9" w14:textId="77777777" w:rsidR="00E77BC1" w:rsidRDefault="00E77BC1" w:rsidP="00E77BC1">
      <w:pPr>
        <w:spacing w:after="0" w:line="240" w:lineRule="auto"/>
        <w:rPr>
          <w:rFonts w:asciiTheme="minorHAnsi" w:hAnsiTheme="minorHAnsi"/>
        </w:rPr>
      </w:pPr>
      <w:r>
        <w:rPr>
          <w:rFonts w:asciiTheme="minorHAnsi" w:hAnsiTheme="minorHAnsi"/>
        </w:rPr>
        <w:t>The Executive Sponsor is a chairperson of the subject business process improvement, analysis, and design efforts. The Executive Sponsor acts as a visionary and motivator and instills the project with a purpose and a sense of mission. The Executive Sponsor introduces the project within the organization and demonstrates commitment to its success.</w:t>
      </w:r>
    </w:p>
    <w:p w14:paraId="3E1DDA87" w14:textId="77777777" w:rsidR="00E77BC1" w:rsidRDefault="00E77BC1" w:rsidP="00E77BC1">
      <w:pPr>
        <w:spacing w:after="0" w:line="240" w:lineRule="auto"/>
        <w:rPr>
          <w:rFonts w:asciiTheme="minorHAnsi" w:hAnsiTheme="minorHAnsi"/>
        </w:rPr>
      </w:pPr>
    </w:p>
    <w:p w14:paraId="1A553F51" w14:textId="77777777" w:rsidR="00E77BC1" w:rsidRPr="00E77BC1" w:rsidRDefault="00E77BC1" w:rsidP="00E77BC1">
      <w:pPr>
        <w:spacing w:after="0" w:line="240" w:lineRule="auto"/>
        <w:rPr>
          <w:rFonts w:asciiTheme="minorHAnsi" w:hAnsiTheme="minorHAnsi"/>
          <w:b/>
          <w:color w:val="1F4E79" w:themeColor="accent1" w:themeShade="80"/>
          <w:sz w:val="24"/>
          <w:szCs w:val="24"/>
        </w:rPr>
      </w:pPr>
      <w:r w:rsidRPr="00E77BC1">
        <w:rPr>
          <w:rFonts w:asciiTheme="minorHAnsi" w:hAnsiTheme="minorHAnsi"/>
          <w:b/>
          <w:color w:val="1F4E79" w:themeColor="accent1" w:themeShade="80"/>
          <w:sz w:val="24"/>
          <w:szCs w:val="24"/>
        </w:rPr>
        <w:t>FDOT Information Security Manager</w:t>
      </w:r>
    </w:p>
    <w:p w14:paraId="536AD64C" w14:textId="77777777" w:rsidR="00E77BC1" w:rsidRDefault="00E77BC1" w:rsidP="00E77BC1">
      <w:pPr>
        <w:spacing w:after="0" w:line="240" w:lineRule="auto"/>
        <w:rPr>
          <w:rFonts w:asciiTheme="minorHAnsi" w:hAnsiTheme="minorHAnsi"/>
        </w:rPr>
      </w:pPr>
      <w:r>
        <w:rPr>
          <w:rFonts w:asciiTheme="minorHAnsi" w:hAnsiTheme="minorHAnsi"/>
        </w:rPr>
        <w:t>The Information Security Manager is responsible for the review of the Security Plan submitted by the Vendor during the Design phase. The Information Security Manager is responsible for administering the security program of the Department for its data and information technology resources to manage risk and reduce exposure to the Department.</w:t>
      </w:r>
    </w:p>
    <w:p w14:paraId="44AC1393" w14:textId="77777777" w:rsidR="00E77BC1" w:rsidRDefault="00E77BC1" w:rsidP="00E77BC1">
      <w:pPr>
        <w:spacing w:after="0" w:line="240" w:lineRule="auto"/>
        <w:rPr>
          <w:rFonts w:asciiTheme="minorHAnsi" w:hAnsiTheme="minorHAnsi"/>
        </w:rPr>
      </w:pPr>
    </w:p>
    <w:p w14:paraId="1877D2CF" w14:textId="77777777" w:rsidR="00E77BC1" w:rsidRPr="005E7CE3" w:rsidRDefault="005E7CE3" w:rsidP="00E77BC1">
      <w:pPr>
        <w:spacing w:after="0" w:line="240" w:lineRule="auto"/>
        <w:rPr>
          <w:rFonts w:asciiTheme="minorHAnsi" w:hAnsiTheme="minorHAnsi"/>
          <w:b/>
          <w:color w:val="1F4E79" w:themeColor="accent1" w:themeShade="80"/>
          <w:sz w:val="24"/>
          <w:szCs w:val="24"/>
        </w:rPr>
      </w:pPr>
      <w:r w:rsidRPr="005E7CE3">
        <w:rPr>
          <w:rFonts w:asciiTheme="minorHAnsi" w:hAnsiTheme="minorHAnsi"/>
          <w:b/>
          <w:color w:val="1F4E79" w:themeColor="accent1" w:themeShade="80"/>
          <w:sz w:val="24"/>
          <w:szCs w:val="24"/>
        </w:rPr>
        <w:t>FDOT Project Team</w:t>
      </w:r>
    </w:p>
    <w:p w14:paraId="47DF11F6" w14:textId="77777777" w:rsidR="005E7CE3" w:rsidRDefault="005E7CE3" w:rsidP="00E77BC1">
      <w:pPr>
        <w:spacing w:after="0" w:line="240" w:lineRule="auto"/>
        <w:rPr>
          <w:rFonts w:asciiTheme="minorHAnsi" w:hAnsiTheme="minorHAnsi"/>
        </w:rPr>
      </w:pPr>
      <w:r>
        <w:rPr>
          <w:rFonts w:asciiTheme="minorHAnsi" w:hAnsiTheme="minorHAnsi"/>
        </w:rPr>
        <w:t>The FDOT Project Team includes but is not limited to the OIT Project Team and Stakeholders for the project (which can include the Functional Coordinators, Functional Experts, Project Sponsor, Application Owner, and the Executive Sponsor). The FDOT Project Team can extend to external stakeholders who are not FDOT employees.</w:t>
      </w:r>
    </w:p>
    <w:p w14:paraId="53C0DE23" w14:textId="77777777" w:rsidR="005E7CE3" w:rsidRDefault="005E7CE3" w:rsidP="00E77BC1">
      <w:pPr>
        <w:spacing w:after="0" w:line="240" w:lineRule="auto"/>
        <w:rPr>
          <w:rFonts w:asciiTheme="minorHAnsi" w:hAnsiTheme="minorHAnsi"/>
        </w:rPr>
      </w:pPr>
    </w:p>
    <w:p w14:paraId="47014142" w14:textId="77777777" w:rsidR="00EF07C9" w:rsidRDefault="00EF07C9">
      <w:pPr>
        <w:rPr>
          <w:rFonts w:asciiTheme="minorHAnsi" w:hAnsiTheme="minorHAnsi"/>
          <w:b/>
          <w:color w:val="1F4E79" w:themeColor="accent1" w:themeShade="80"/>
          <w:sz w:val="24"/>
          <w:szCs w:val="24"/>
        </w:rPr>
      </w:pPr>
      <w:r>
        <w:rPr>
          <w:rFonts w:asciiTheme="minorHAnsi" w:hAnsiTheme="minorHAnsi"/>
          <w:b/>
          <w:color w:val="1F4E79" w:themeColor="accent1" w:themeShade="80"/>
          <w:sz w:val="24"/>
          <w:szCs w:val="24"/>
        </w:rPr>
        <w:br w:type="page"/>
      </w:r>
    </w:p>
    <w:p w14:paraId="2916C167" w14:textId="2CB8C243" w:rsidR="005E7CE3" w:rsidRPr="005E7CE3" w:rsidRDefault="005E7CE3" w:rsidP="00E77BC1">
      <w:pPr>
        <w:spacing w:after="0" w:line="240" w:lineRule="auto"/>
        <w:rPr>
          <w:rFonts w:asciiTheme="minorHAnsi" w:hAnsiTheme="minorHAnsi"/>
          <w:b/>
          <w:color w:val="1F4E79" w:themeColor="accent1" w:themeShade="80"/>
          <w:sz w:val="24"/>
          <w:szCs w:val="24"/>
        </w:rPr>
      </w:pPr>
      <w:r w:rsidRPr="005E7CE3">
        <w:rPr>
          <w:rFonts w:asciiTheme="minorHAnsi" w:hAnsiTheme="minorHAnsi"/>
          <w:b/>
          <w:color w:val="1F4E79" w:themeColor="accent1" w:themeShade="80"/>
          <w:sz w:val="24"/>
          <w:szCs w:val="24"/>
        </w:rPr>
        <w:lastRenderedPageBreak/>
        <w:t>Functional Application Coordinator (FAC)</w:t>
      </w:r>
    </w:p>
    <w:p w14:paraId="69065A57" w14:textId="77777777" w:rsidR="005E7CE3" w:rsidRDefault="005E7CE3" w:rsidP="00E77BC1">
      <w:pPr>
        <w:spacing w:after="0" w:line="240" w:lineRule="auto"/>
        <w:rPr>
          <w:rFonts w:asciiTheme="minorHAnsi" w:hAnsiTheme="minorHAnsi"/>
        </w:rPr>
      </w:pPr>
      <w:r>
        <w:rPr>
          <w:rFonts w:asciiTheme="minorHAnsi" w:hAnsiTheme="minorHAnsi"/>
        </w:rPr>
        <w:t>The Functional Coordinator during Development may continue in the role of FAC once an application is implemented and in maintenance. The FAC may act as an agent for the Application Owner and Executive Sponsor. The FAC is responsible and accountable for the application to coordinate with functional staff for clarification, prioritizing when multiple requests exist, coordinating timely and complete functional acceptance testing, and providing approvals to move application modifications to the production environment.</w:t>
      </w:r>
    </w:p>
    <w:p w14:paraId="33C4B836" w14:textId="77777777" w:rsidR="005E7CE3" w:rsidRDefault="005E7CE3" w:rsidP="00E77BC1">
      <w:pPr>
        <w:spacing w:after="0" w:line="240" w:lineRule="auto"/>
        <w:rPr>
          <w:rFonts w:asciiTheme="minorHAnsi" w:hAnsiTheme="minorHAnsi"/>
        </w:rPr>
      </w:pPr>
    </w:p>
    <w:p w14:paraId="1CDBCC15" w14:textId="77777777" w:rsidR="005E7CE3" w:rsidRPr="005E7CE3" w:rsidRDefault="005E7CE3" w:rsidP="00E77BC1">
      <w:pPr>
        <w:spacing w:after="0" w:line="240" w:lineRule="auto"/>
        <w:rPr>
          <w:rFonts w:asciiTheme="minorHAnsi" w:hAnsiTheme="minorHAnsi"/>
          <w:b/>
          <w:color w:val="1F4E79" w:themeColor="accent1" w:themeShade="80"/>
          <w:sz w:val="24"/>
          <w:szCs w:val="24"/>
        </w:rPr>
      </w:pPr>
      <w:r w:rsidRPr="005E7CE3">
        <w:rPr>
          <w:rFonts w:asciiTheme="minorHAnsi" w:hAnsiTheme="minorHAnsi"/>
          <w:b/>
          <w:color w:val="1F4E79" w:themeColor="accent1" w:themeShade="80"/>
          <w:sz w:val="24"/>
          <w:szCs w:val="24"/>
        </w:rPr>
        <w:t>Functional Coordinator</w:t>
      </w:r>
    </w:p>
    <w:p w14:paraId="3730FAA6" w14:textId="77777777" w:rsidR="005E7CE3" w:rsidRDefault="005E7CE3" w:rsidP="00E77BC1">
      <w:pPr>
        <w:spacing w:after="0" w:line="240" w:lineRule="auto"/>
        <w:rPr>
          <w:rFonts w:asciiTheme="minorHAnsi" w:hAnsiTheme="minorHAnsi"/>
        </w:rPr>
      </w:pPr>
      <w:r>
        <w:rPr>
          <w:rFonts w:asciiTheme="minorHAnsi" w:hAnsiTheme="minorHAnsi"/>
        </w:rPr>
        <w:t>The Functional Coordinator will be the primary liaison from the Functional Office and will represent the needs of the Project Sponsor and other functional office stakeholders during the project.</w:t>
      </w:r>
    </w:p>
    <w:p w14:paraId="6D0C94E8" w14:textId="77777777" w:rsidR="005E7CE3" w:rsidRDefault="005E7CE3" w:rsidP="00E77BC1">
      <w:pPr>
        <w:spacing w:after="0" w:line="240" w:lineRule="auto"/>
        <w:rPr>
          <w:rFonts w:asciiTheme="minorHAnsi" w:hAnsiTheme="minorHAnsi"/>
        </w:rPr>
      </w:pPr>
    </w:p>
    <w:p w14:paraId="16B989FC" w14:textId="77777777" w:rsidR="005E7CE3" w:rsidRPr="005E7CE3" w:rsidRDefault="005E7CE3" w:rsidP="00E77BC1">
      <w:pPr>
        <w:spacing w:after="0" w:line="240" w:lineRule="auto"/>
        <w:rPr>
          <w:rFonts w:asciiTheme="minorHAnsi" w:hAnsiTheme="minorHAnsi"/>
          <w:b/>
          <w:color w:val="1F4E79" w:themeColor="accent1" w:themeShade="80"/>
          <w:sz w:val="24"/>
          <w:szCs w:val="24"/>
        </w:rPr>
      </w:pPr>
      <w:r w:rsidRPr="005E7CE3">
        <w:rPr>
          <w:rFonts w:asciiTheme="minorHAnsi" w:hAnsiTheme="minorHAnsi"/>
          <w:b/>
          <w:color w:val="1F4E79" w:themeColor="accent1" w:themeShade="80"/>
          <w:sz w:val="24"/>
          <w:szCs w:val="24"/>
        </w:rPr>
        <w:t>OIT Contract Manager</w:t>
      </w:r>
    </w:p>
    <w:p w14:paraId="66EF4C34" w14:textId="77777777" w:rsidR="005E7CE3" w:rsidRDefault="005E7CE3" w:rsidP="00E77BC1">
      <w:pPr>
        <w:spacing w:after="0" w:line="240" w:lineRule="auto"/>
        <w:rPr>
          <w:rFonts w:asciiTheme="minorHAnsi" w:hAnsiTheme="minorHAnsi"/>
        </w:rPr>
      </w:pPr>
      <w:r>
        <w:rPr>
          <w:rFonts w:asciiTheme="minorHAnsi" w:hAnsiTheme="minorHAnsi"/>
        </w:rPr>
        <w:t>The OIT Contract Manager will be responsible for the oversight of all aspects of the contract between OIT and the Vendor. This individual will be the primary liaison between the Vendor and OIT in any project or contract-related questions, and deliverable review and approval. The OIT Contract Manager will be responsible to enable communication between the Vendor and the OIT Project team members, and the Functional Office.</w:t>
      </w:r>
    </w:p>
    <w:p w14:paraId="054B67EC" w14:textId="77777777" w:rsidR="005E7CE3" w:rsidRDefault="005E7CE3" w:rsidP="00E77BC1">
      <w:pPr>
        <w:spacing w:after="0" w:line="240" w:lineRule="auto"/>
        <w:rPr>
          <w:rFonts w:asciiTheme="minorHAnsi" w:hAnsiTheme="minorHAnsi"/>
        </w:rPr>
      </w:pPr>
    </w:p>
    <w:p w14:paraId="38DE73F8" w14:textId="77777777" w:rsidR="005E7CE3" w:rsidRPr="005E7CE3" w:rsidRDefault="005E7CE3" w:rsidP="00E77BC1">
      <w:pPr>
        <w:spacing w:after="0" w:line="240" w:lineRule="auto"/>
        <w:rPr>
          <w:rFonts w:asciiTheme="minorHAnsi" w:hAnsiTheme="minorHAnsi"/>
          <w:b/>
          <w:color w:val="1F4E79" w:themeColor="accent1" w:themeShade="80"/>
          <w:sz w:val="24"/>
          <w:szCs w:val="24"/>
        </w:rPr>
      </w:pPr>
      <w:r w:rsidRPr="005E7CE3">
        <w:rPr>
          <w:rFonts w:asciiTheme="minorHAnsi" w:hAnsiTheme="minorHAnsi"/>
          <w:b/>
          <w:color w:val="1F4E79" w:themeColor="accent1" w:themeShade="80"/>
          <w:sz w:val="24"/>
          <w:szCs w:val="24"/>
        </w:rPr>
        <w:t xml:space="preserve">OIT </w:t>
      </w:r>
      <w:r w:rsidR="00B3390B">
        <w:rPr>
          <w:rFonts w:asciiTheme="minorHAnsi" w:hAnsiTheme="minorHAnsi"/>
          <w:b/>
          <w:color w:val="1F4E79" w:themeColor="accent1" w:themeShade="80"/>
          <w:sz w:val="24"/>
          <w:szCs w:val="24"/>
        </w:rPr>
        <w:t xml:space="preserve">Oversight </w:t>
      </w:r>
      <w:r w:rsidRPr="005E7CE3">
        <w:rPr>
          <w:rFonts w:asciiTheme="minorHAnsi" w:hAnsiTheme="minorHAnsi"/>
          <w:b/>
          <w:color w:val="1F4E79" w:themeColor="accent1" w:themeShade="80"/>
          <w:sz w:val="24"/>
          <w:szCs w:val="24"/>
        </w:rPr>
        <w:t>Data Analyst</w:t>
      </w:r>
    </w:p>
    <w:p w14:paraId="4913C384" w14:textId="77777777" w:rsidR="005E7CE3" w:rsidRDefault="005E7CE3" w:rsidP="00E77BC1">
      <w:pPr>
        <w:spacing w:after="0" w:line="240" w:lineRule="auto"/>
        <w:rPr>
          <w:rFonts w:asciiTheme="minorHAnsi" w:hAnsiTheme="minorHAnsi"/>
        </w:rPr>
      </w:pPr>
      <w:r>
        <w:rPr>
          <w:rFonts w:asciiTheme="minorHAnsi" w:hAnsiTheme="minorHAnsi"/>
        </w:rPr>
        <w:t xml:space="preserve">The OIT </w:t>
      </w:r>
      <w:r w:rsidR="00B3390B">
        <w:rPr>
          <w:rFonts w:asciiTheme="minorHAnsi" w:hAnsiTheme="minorHAnsi"/>
        </w:rPr>
        <w:t xml:space="preserve">Oversight </w:t>
      </w:r>
      <w:r>
        <w:rPr>
          <w:rFonts w:asciiTheme="minorHAnsi" w:hAnsiTheme="minorHAnsi"/>
        </w:rPr>
        <w:t xml:space="preserve">Data Analyst, as the custodian of the Department’s data assets, provide oversight to ensure that the Vendor is adhering to naming standards, producing tool-based models of logical and physical structures, designing efficient databases, and utilizing enterprise data and codes. The OIT </w:t>
      </w:r>
      <w:r w:rsidR="00B3390B">
        <w:rPr>
          <w:rFonts w:asciiTheme="minorHAnsi" w:hAnsiTheme="minorHAnsi"/>
        </w:rPr>
        <w:t xml:space="preserve">Oversight </w:t>
      </w:r>
      <w:r>
        <w:rPr>
          <w:rFonts w:asciiTheme="minorHAnsi" w:hAnsiTheme="minorHAnsi"/>
        </w:rPr>
        <w:t>Data Analyst is responsible for the approval of the logical model prior to the implementation of the physical model in System and Production environments.</w:t>
      </w:r>
    </w:p>
    <w:p w14:paraId="1640714D" w14:textId="77777777" w:rsidR="005E7CE3" w:rsidRDefault="005E7CE3" w:rsidP="00E77BC1">
      <w:pPr>
        <w:spacing w:after="0" w:line="240" w:lineRule="auto"/>
        <w:rPr>
          <w:rFonts w:asciiTheme="minorHAnsi" w:hAnsiTheme="minorHAnsi"/>
        </w:rPr>
      </w:pPr>
    </w:p>
    <w:p w14:paraId="4147625A" w14:textId="77777777" w:rsidR="005E7CE3" w:rsidRPr="00E072B1" w:rsidRDefault="00E072B1" w:rsidP="00E77BC1">
      <w:pPr>
        <w:spacing w:after="0" w:line="240" w:lineRule="auto"/>
        <w:rPr>
          <w:rFonts w:asciiTheme="minorHAnsi" w:hAnsiTheme="minorHAnsi"/>
          <w:b/>
          <w:color w:val="1F4E79" w:themeColor="accent1" w:themeShade="80"/>
          <w:sz w:val="24"/>
          <w:szCs w:val="24"/>
        </w:rPr>
      </w:pPr>
      <w:r w:rsidRPr="00E072B1">
        <w:rPr>
          <w:rFonts w:asciiTheme="minorHAnsi" w:hAnsiTheme="minorHAnsi"/>
          <w:b/>
          <w:color w:val="1F4E79" w:themeColor="accent1" w:themeShade="80"/>
          <w:sz w:val="24"/>
          <w:szCs w:val="24"/>
        </w:rPr>
        <w:t xml:space="preserve">OIT </w:t>
      </w:r>
      <w:r w:rsidR="00B3390B">
        <w:rPr>
          <w:rFonts w:asciiTheme="minorHAnsi" w:hAnsiTheme="minorHAnsi"/>
          <w:b/>
          <w:color w:val="1F4E79" w:themeColor="accent1" w:themeShade="80"/>
          <w:sz w:val="24"/>
          <w:szCs w:val="24"/>
        </w:rPr>
        <w:t xml:space="preserve">Oversight </w:t>
      </w:r>
      <w:r w:rsidRPr="00E072B1">
        <w:rPr>
          <w:rFonts w:asciiTheme="minorHAnsi" w:hAnsiTheme="minorHAnsi"/>
          <w:b/>
          <w:color w:val="1F4E79" w:themeColor="accent1" w:themeShade="80"/>
          <w:sz w:val="24"/>
          <w:szCs w:val="24"/>
        </w:rPr>
        <w:t>Database Administration Technician (DBAT)</w:t>
      </w:r>
    </w:p>
    <w:p w14:paraId="6A94E631" w14:textId="77777777" w:rsidR="00E072B1" w:rsidRDefault="00E072B1" w:rsidP="00E77BC1">
      <w:pPr>
        <w:spacing w:after="0" w:line="240" w:lineRule="auto"/>
        <w:rPr>
          <w:rFonts w:asciiTheme="minorHAnsi" w:hAnsiTheme="minorHAnsi"/>
        </w:rPr>
      </w:pPr>
      <w:r>
        <w:rPr>
          <w:rFonts w:asciiTheme="minorHAnsi" w:hAnsiTheme="minorHAnsi"/>
        </w:rPr>
        <w:t xml:space="preserve">The OIT </w:t>
      </w:r>
      <w:r w:rsidR="00B3390B">
        <w:rPr>
          <w:rFonts w:asciiTheme="minorHAnsi" w:hAnsiTheme="minorHAnsi"/>
        </w:rPr>
        <w:t xml:space="preserve">Oversight </w:t>
      </w:r>
      <w:r>
        <w:rPr>
          <w:rFonts w:asciiTheme="minorHAnsi" w:hAnsiTheme="minorHAnsi"/>
        </w:rPr>
        <w:t xml:space="preserve">DBAT is responsible for the creation or revision of the physical model for System and Production environments after the required data model reviews are complete. The OIT </w:t>
      </w:r>
      <w:r w:rsidR="00B3390B">
        <w:rPr>
          <w:rFonts w:asciiTheme="minorHAnsi" w:hAnsiTheme="minorHAnsi"/>
        </w:rPr>
        <w:t xml:space="preserve">Oversight </w:t>
      </w:r>
      <w:r>
        <w:rPr>
          <w:rFonts w:asciiTheme="minorHAnsi" w:hAnsiTheme="minorHAnsi"/>
        </w:rPr>
        <w:t>DBAT provide DBConnect labels and conducts the SQL statement reviews within the .NET code to ensure that the most efficient database calls are used.</w:t>
      </w:r>
    </w:p>
    <w:p w14:paraId="6D4FDB49" w14:textId="77777777" w:rsidR="00E072B1" w:rsidRDefault="00E072B1" w:rsidP="00E77BC1">
      <w:pPr>
        <w:spacing w:after="0" w:line="240" w:lineRule="auto"/>
        <w:rPr>
          <w:rFonts w:asciiTheme="minorHAnsi" w:hAnsiTheme="minorHAnsi"/>
        </w:rPr>
      </w:pPr>
    </w:p>
    <w:p w14:paraId="2B9C7888" w14:textId="77777777" w:rsidR="00E072B1" w:rsidRPr="00E072B1" w:rsidRDefault="00E072B1" w:rsidP="00E77BC1">
      <w:pPr>
        <w:spacing w:after="0" w:line="240" w:lineRule="auto"/>
        <w:rPr>
          <w:rFonts w:asciiTheme="minorHAnsi" w:hAnsiTheme="minorHAnsi"/>
          <w:b/>
          <w:color w:val="1F4E79" w:themeColor="accent1" w:themeShade="80"/>
          <w:sz w:val="24"/>
          <w:szCs w:val="24"/>
        </w:rPr>
      </w:pPr>
      <w:r w:rsidRPr="00E072B1">
        <w:rPr>
          <w:rFonts w:asciiTheme="minorHAnsi" w:hAnsiTheme="minorHAnsi"/>
          <w:b/>
          <w:color w:val="1F4E79" w:themeColor="accent1" w:themeShade="80"/>
          <w:sz w:val="24"/>
          <w:szCs w:val="24"/>
        </w:rPr>
        <w:t>OIT Oversight Project Manager</w:t>
      </w:r>
    </w:p>
    <w:p w14:paraId="2CC8BA5F" w14:textId="77777777" w:rsidR="00E072B1" w:rsidRDefault="00E072B1" w:rsidP="00E77BC1">
      <w:pPr>
        <w:spacing w:after="0" w:line="240" w:lineRule="auto"/>
        <w:rPr>
          <w:rFonts w:asciiTheme="minorHAnsi" w:hAnsiTheme="minorHAnsi"/>
        </w:rPr>
      </w:pPr>
      <w:r>
        <w:rPr>
          <w:rFonts w:asciiTheme="minorHAnsi" w:hAnsiTheme="minorHAnsi"/>
        </w:rPr>
        <w:t>The OIT Oversight Project Manager will be responsible for managing all aspects of the project between OIT and the Vendor. This individual will be the primary liaison between the Vendor and OIT in any project-related questions, and deliverable review and approval. The OIT Oversight Project Manager will provide oversight and may require the Vendor to follow through on any required deliverable, document, schedule, etc. that is incomplete, overdue, or inaccurate. The Vendor will be required to remediate any of the elements listed herein.</w:t>
      </w:r>
    </w:p>
    <w:p w14:paraId="2BA2947F" w14:textId="77777777" w:rsidR="00E072B1" w:rsidRDefault="00E072B1" w:rsidP="00E77BC1">
      <w:pPr>
        <w:spacing w:after="0" w:line="240" w:lineRule="auto"/>
        <w:rPr>
          <w:rFonts w:asciiTheme="minorHAnsi" w:hAnsiTheme="minorHAnsi"/>
        </w:rPr>
      </w:pPr>
    </w:p>
    <w:p w14:paraId="172798A4" w14:textId="77777777" w:rsidR="00E072B1" w:rsidRPr="00E072B1" w:rsidRDefault="00E072B1" w:rsidP="00E77BC1">
      <w:pPr>
        <w:spacing w:after="0" w:line="240" w:lineRule="auto"/>
        <w:rPr>
          <w:rFonts w:asciiTheme="minorHAnsi" w:hAnsiTheme="minorHAnsi"/>
          <w:b/>
          <w:color w:val="1F4E79" w:themeColor="accent1" w:themeShade="80"/>
          <w:sz w:val="24"/>
          <w:szCs w:val="24"/>
        </w:rPr>
      </w:pPr>
      <w:r w:rsidRPr="00E072B1">
        <w:rPr>
          <w:rFonts w:asciiTheme="minorHAnsi" w:hAnsiTheme="minorHAnsi"/>
          <w:b/>
          <w:color w:val="1F4E79" w:themeColor="accent1" w:themeShade="80"/>
          <w:sz w:val="24"/>
          <w:szCs w:val="24"/>
        </w:rPr>
        <w:t>OIT Oversight Project Team</w:t>
      </w:r>
    </w:p>
    <w:p w14:paraId="65179083" w14:textId="77777777" w:rsidR="00E072B1" w:rsidRDefault="00E072B1" w:rsidP="00E77BC1">
      <w:pPr>
        <w:spacing w:after="0" w:line="240" w:lineRule="auto"/>
        <w:rPr>
          <w:rFonts w:asciiTheme="minorHAnsi" w:hAnsiTheme="minorHAnsi"/>
        </w:rPr>
      </w:pPr>
      <w:r>
        <w:rPr>
          <w:rFonts w:asciiTheme="minorHAnsi" w:hAnsiTheme="minorHAnsi"/>
        </w:rPr>
        <w:t>The OIT Oversight Project Team are staff from the Office of Information Technology assigned to a project in an oversight and support role. The team will include the OIT Contract Manager, and in most cases: OIT Oversight Project Manager, OIT Business Analyst, and if a full development project, will include a DA, a DBAT, the Web Master, a Technical Architect, and an EEDMS team member. The FDOT Information Security Manager is also part of the OIT Oversight Project Team. The OIT Oversight Project Team communicates the review and acceptance of deliverables to the OIT Oversight Project Manager and OIT Contract Manager.</w:t>
      </w:r>
    </w:p>
    <w:p w14:paraId="540FCFA0" w14:textId="77777777" w:rsidR="00E072B1" w:rsidRDefault="00E072B1" w:rsidP="00E77BC1">
      <w:pPr>
        <w:spacing w:after="0" w:line="240" w:lineRule="auto"/>
        <w:rPr>
          <w:rFonts w:asciiTheme="minorHAnsi" w:hAnsiTheme="minorHAnsi"/>
        </w:rPr>
      </w:pPr>
    </w:p>
    <w:p w14:paraId="7D9D0563" w14:textId="77777777" w:rsidR="00B3390B" w:rsidRPr="00B3390B" w:rsidRDefault="00B3390B" w:rsidP="00E77BC1">
      <w:pPr>
        <w:spacing w:after="0" w:line="240" w:lineRule="auto"/>
        <w:rPr>
          <w:rFonts w:asciiTheme="minorHAnsi" w:hAnsiTheme="minorHAnsi"/>
          <w:b/>
          <w:color w:val="1F4E79" w:themeColor="accent1" w:themeShade="80"/>
          <w:sz w:val="24"/>
          <w:szCs w:val="24"/>
        </w:rPr>
      </w:pPr>
      <w:r w:rsidRPr="00B3390B">
        <w:rPr>
          <w:rFonts w:asciiTheme="minorHAnsi" w:hAnsiTheme="minorHAnsi"/>
          <w:b/>
          <w:color w:val="1F4E79" w:themeColor="accent1" w:themeShade="80"/>
          <w:sz w:val="24"/>
          <w:szCs w:val="24"/>
        </w:rPr>
        <w:t xml:space="preserve">OIT </w:t>
      </w:r>
      <w:r>
        <w:rPr>
          <w:rFonts w:asciiTheme="minorHAnsi" w:hAnsiTheme="minorHAnsi"/>
          <w:b/>
          <w:color w:val="1F4E79" w:themeColor="accent1" w:themeShade="80"/>
          <w:sz w:val="24"/>
          <w:szCs w:val="24"/>
        </w:rPr>
        <w:t xml:space="preserve">Oversight </w:t>
      </w:r>
      <w:r w:rsidRPr="00B3390B">
        <w:rPr>
          <w:rFonts w:asciiTheme="minorHAnsi" w:hAnsiTheme="minorHAnsi"/>
          <w:b/>
          <w:color w:val="1F4E79" w:themeColor="accent1" w:themeShade="80"/>
          <w:sz w:val="24"/>
          <w:szCs w:val="24"/>
        </w:rPr>
        <w:t>Portfolio Manager</w:t>
      </w:r>
    </w:p>
    <w:p w14:paraId="0BE4A61F" w14:textId="77777777" w:rsidR="00B3390B" w:rsidRDefault="00B3390B" w:rsidP="00E77BC1">
      <w:pPr>
        <w:spacing w:after="0" w:line="240" w:lineRule="auto"/>
        <w:rPr>
          <w:rFonts w:asciiTheme="minorHAnsi" w:hAnsiTheme="minorHAnsi"/>
        </w:rPr>
      </w:pPr>
      <w:r>
        <w:rPr>
          <w:rFonts w:asciiTheme="minorHAnsi" w:hAnsiTheme="minorHAnsi"/>
        </w:rPr>
        <w:t>The OIT Oversight Portfolio Manager provides leadership and facilitation to the Program Managers of the development and maintenance of applications taken on by the Office of Information Technology.</w:t>
      </w:r>
    </w:p>
    <w:p w14:paraId="0404A20A" w14:textId="77777777" w:rsidR="00E072B1" w:rsidRPr="00E072B1" w:rsidRDefault="00E072B1" w:rsidP="00E77BC1">
      <w:pPr>
        <w:spacing w:after="0" w:line="240" w:lineRule="auto"/>
        <w:rPr>
          <w:rFonts w:asciiTheme="minorHAnsi" w:hAnsiTheme="minorHAnsi"/>
          <w:b/>
          <w:sz w:val="24"/>
          <w:szCs w:val="24"/>
        </w:rPr>
      </w:pPr>
      <w:bookmarkStart w:id="0" w:name="_GoBack"/>
      <w:bookmarkEnd w:id="0"/>
      <w:r w:rsidRPr="00E072B1">
        <w:rPr>
          <w:rFonts w:asciiTheme="minorHAnsi" w:hAnsiTheme="minorHAnsi"/>
          <w:b/>
          <w:color w:val="1F4E79" w:themeColor="accent1" w:themeShade="80"/>
          <w:sz w:val="24"/>
          <w:szCs w:val="24"/>
        </w:rPr>
        <w:lastRenderedPageBreak/>
        <w:t xml:space="preserve">OIT </w:t>
      </w:r>
      <w:r w:rsidR="00B3390B">
        <w:rPr>
          <w:rFonts w:asciiTheme="minorHAnsi" w:hAnsiTheme="minorHAnsi"/>
          <w:b/>
          <w:color w:val="1F4E79" w:themeColor="accent1" w:themeShade="80"/>
          <w:sz w:val="24"/>
          <w:szCs w:val="24"/>
        </w:rPr>
        <w:t xml:space="preserve">Oversight </w:t>
      </w:r>
      <w:r w:rsidRPr="00E072B1">
        <w:rPr>
          <w:rFonts w:asciiTheme="minorHAnsi" w:hAnsiTheme="minorHAnsi"/>
          <w:b/>
          <w:color w:val="1F4E79" w:themeColor="accent1" w:themeShade="80"/>
          <w:sz w:val="24"/>
          <w:szCs w:val="24"/>
        </w:rPr>
        <w:t>Technical Architect</w:t>
      </w:r>
    </w:p>
    <w:p w14:paraId="40C91E7E" w14:textId="77777777" w:rsidR="00E072B1" w:rsidRDefault="00E072B1" w:rsidP="00E77BC1">
      <w:pPr>
        <w:spacing w:after="0" w:line="240" w:lineRule="auto"/>
        <w:rPr>
          <w:rFonts w:asciiTheme="minorHAnsi" w:hAnsiTheme="minorHAnsi"/>
        </w:rPr>
      </w:pPr>
      <w:r>
        <w:rPr>
          <w:rFonts w:asciiTheme="minorHAnsi" w:hAnsiTheme="minorHAnsi"/>
        </w:rPr>
        <w:t xml:space="preserve">The OIT </w:t>
      </w:r>
      <w:r w:rsidR="00B3390B">
        <w:rPr>
          <w:rFonts w:asciiTheme="minorHAnsi" w:hAnsiTheme="minorHAnsi"/>
        </w:rPr>
        <w:t xml:space="preserve">Oversight </w:t>
      </w:r>
      <w:r>
        <w:rPr>
          <w:rFonts w:asciiTheme="minorHAnsi" w:hAnsiTheme="minorHAnsi"/>
        </w:rPr>
        <w:t xml:space="preserve">Technical Architect is responsible for the review of the Technical Architecture document submitted by the Vendor during the Design phase. The OIT </w:t>
      </w:r>
      <w:r w:rsidR="00B3390B">
        <w:rPr>
          <w:rFonts w:asciiTheme="minorHAnsi" w:hAnsiTheme="minorHAnsi"/>
        </w:rPr>
        <w:t xml:space="preserve">Oversight </w:t>
      </w:r>
      <w:r>
        <w:rPr>
          <w:rFonts w:asciiTheme="minorHAnsi" w:hAnsiTheme="minorHAnsi"/>
        </w:rPr>
        <w:t>Technical Architect ensures that the components of the overall system architecture and the architectural model comply with the enterprise-wide standards and direction defined by the FDOT. The various components will include hardware, software, technologies, and peripherals.</w:t>
      </w:r>
    </w:p>
    <w:p w14:paraId="7EA39ED6" w14:textId="77777777" w:rsidR="00B3390B" w:rsidRDefault="00B3390B" w:rsidP="00E77BC1">
      <w:pPr>
        <w:spacing w:after="0" w:line="240" w:lineRule="auto"/>
        <w:rPr>
          <w:rFonts w:asciiTheme="minorHAnsi" w:hAnsiTheme="minorHAnsi"/>
        </w:rPr>
      </w:pPr>
    </w:p>
    <w:p w14:paraId="66117A7D" w14:textId="77777777" w:rsidR="00725367" w:rsidRPr="00A36EE4" w:rsidRDefault="00725367" w:rsidP="00725367">
      <w:pPr>
        <w:spacing w:after="0" w:line="240" w:lineRule="auto"/>
        <w:rPr>
          <w:rFonts w:asciiTheme="minorHAnsi" w:hAnsiTheme="minorHAnsi"/>
          <w:b/>
          <w:color w:val="1F4E79" w:themeColor="accent1" w:themeShade="80"/>
          <w:sz w:val="24"/>
          <w:szCs w:val="24"/>
        </w:rPr>
      </w:pPr>
      <w:r w:rsidRPr="00A36EE4">
        <w:rPr>
          <w:rFonts w:asciiTheme="minorHAnsi" w:hAnsiTheme="minorHAnsi"/>
          <w:b/>
          <w:color w:val="1F4E79" w:themeColor="accent1" w:themeShade="80"/>
          <w:sz w:val="24"/>
          <w:szCs w:val="24"/>
        </w:rPr>
        <w:t>Project Closure</w:t>
      </w:r>
    </w:p>
    <w:p w14:paraId="47950C43" w14:textId="77777777" w:rsidR="00725367" w:rsidRDefault="00725367" w:rsidP="00725367">
      <w:pPr>
        <w:spacing w:after="0" w:line="240" w:lineRule="auto"/>
        <w:rPr>
          <w:rFonts w:asciiTheme="minorHAnsi" w:hAnsiTheme="minorHAnsi"/>
        </w:rPr>
      </w:pPr>
      <w:r>
        <w:rPr>
          <w:rFonts w:asciiTheme="minorHAnsi" w:hAnsiTheme="minorHAnsi"/>
        </w:rPr>
        <w:t>The Project Closure Meeting and Lessons Learned meeting(s) are held with the Vendor Team, the FDOT Project Team, and others as deemed appropriate to turn the application over to OIT and review the project, identify issues for future projects, and document lessons learned during the project.</w:t>
      </w:r>
    </w:p>
    <w:p w14:paraId="3C045409" w14:textId="77777777" w:rsidR="00725367" w:rsidRDefault="00725367" w:rsidP="00725367">
      <w:pPr>
        <w:spacing w:after="0" w:line="240" w:lineRule="auto"/>
        <w:rPr>
          <w:rFonts w:asciiTheme="minorHAnsi" w:hAnsiTheme="minorHAnsi"/>
        </w:rPr>
      </w:pPr>
    </w:p>
    <w:p w14:paraId="0D18B41D" w14:textId="77777777" w:rsidR="00E072B1" w:rsidRPr="00A36EE4" w:rsidRDefault="00E072B1" w:rsidP="00E77BC1">
      <w:pPr>
        <w:spacing w:after="0" w:line="240" w:lineRule="auto"/>
        <w:rPr>
          <w:rFonts w:asciiTheme="minorHAnsi" w:hAnsiTheme="minorHAnsi"/>
          <w:b/>
          <w:color w:val="1F4E79" w:themeColor="accent1" w:themeShade="80"/>
          <w:sz w:val="24"/>
          <w:szCs w:val="24"/>
        </w:rPr>
      </w:pPr>
      <w:r w:rsidRPr="00A36EE4">
        <w:rPr>
          <w:rFonts w:asciiTheme="minorHAnsi" w:hAnsiTheme="minorHAnsi"/>
          <w:b/>
          <w:color w:val="1F4E79" w:themeColor="accent1" w:themeShade="80"/>
          <w:sz w:val="24"/>
          <w:szCs w:val="24"/>
        </w:rPr>
        <w:t>Project Sponsor</w:t>
      </w:r>
    </w:p>
    <w:p w14:paraId="07C28405" w14:textId="77777777" w:rsidR="00E072B1" w:rsidRDefault="00E072B1" w:rsidP="00E77BC1">
      <w:pPr>
        <w:spacing w:after="0" w:line="240" w:lineRule="auto"/>
        <w:rPr>
          <w:rFonts w:asciiTheme="minorHAnsi" w:hAnsiTheme="minorHAnsi"/>
        </w:rPr>
      </w:pPr>
      <w:r>
        <w:rPr>
          <w:rFonts w:asciiTheme="minorHAnsi" w:hAnsiTheme="minorHAnsi"/>
        </w:rPr>
        <w:t>The Project Sponsor is the manager responsible for the function that is supported by the application. Ensures the needed resources from the Functional Office are available to serve in various roles throughout the application’s life cycle.</w:t>
      </w:r>
    </w:p>
    <w:p w14:paraId="4C4F723B" w14:textId="77777777" w:rsidR="00A36EE4" w:rsidRDefault="00A36EE4" w:rsidP="00E77BC1">
      <w:pPr>
        <w:spacing w:after="0" w:line="240" w:lineRule="auto"/>
        <w:rPr>
          <w:rFonts w:asciiTheme="minorHAnsi" w:hAnsiTheme="minorHAnsi"/>
        </w:rPr>
      </w:pPr>
    </w:p>
    <w:p w14:paraId="1EDE270A" w14:textId="77777777" w:rsidR="00A36EE4" w:rsidRPr="00A36EE4" w:rsidRDefault="00A36EE4" w:rsidP="00E77BC1">
      <w:pPr>
        <w:spacing w:after="0" w:line="240" w:lineRule="auto"/>
        <w:rPr>
          <w:rFonts w:asciiTheme="minorHAnsi" w:hAnsiTheme="minorHAnsi"/>
          <w:b/>
          <w:color w:val="1F4E79" w:themeColor="accent1" w:themeShade="80"/>
          <w:sz w:val="24"/>
          <w:szCs w:val="24"/>
        </w:rPr>
      </w:pPr>
      <w:r w:rsidRPr="00A36EE4">
        <w:rPr>
          <w:rFonts w:asciiTheme="minorHAnsi" w:hAnsiTheme="minorHAnsi"/>
          <w:b/>
          <w:color w:val="1F4E79" w:themeColor="accent1" w:themeShade="80"/>
          <w:sz w:val="24"/>
          <w:szCs w:val="24"/>
        </w:rPr>
        <w:t>Post-Production Vendor Support</w:t>
      </w:r>
    </w:p>
    <w:p w14:paraId="4B8C69CC" w14:textId="77777777" w:rsidR="00A36EE4" w:rsidRDefault="00A36EE4" w:rsidP="00E77BC1">
      <w:pPr>
        <w:spacing w:after="0" w:line="240" w:lineRule="auto"/>
        <w:rPr>
          <w:rFonts w:asciiTheme="minorHAnsi" w:hAnsiTheme="minorHAnsi"/>
        </w:rPr>
      </w:pPr>
      <w:r>
        <w:rPr>
          <w:rFonts w:asciiTheme="minorHAnsi" w:hAnsiTheme="minorHAnsi"/>
        </w:rPr>
        <w:t>The application will be monitored closely in production for a period of time (minimum thirty (30) calendar days). During this time, the Vendor will remediate all defects discovered in the application. Post-production Vendor Support begins once acceptance of the Production Implementation deliverable is confirmed. Post-production Vendor Support continues until all reported defects have been addressed, or plans for their remediation have been made and agreed upon.</w:t>
      </w:r>
    </w:p>
    <w:p w14:paraId="64C395AB" w14:textId="77777777" w:rsidR="00A36EE4" w:rsidRDefault="00A36EE4" w:rsidP="00E77BC1">
      <w:pPr>
        <w:spacing w:after="0" w:line="240" w:lineRule="auto"/>
        <w:rPr>
          <w:rFonts w:asciiTheme="minorHAnsi" w:hAnsiTheme="minorHAnsi"/>
        </w:rPr>
      </w:pPr>
    </w:p>
    <w:p w14:paraId="3E51A3CD" w14:textId="77777777" w:rsidR="00A36EE4" w:rsidRPr="00A36EE4" w:rsidRDefault="00A36EE4" w:rsidP="00E77BC1">
      <w:pPr>
        <w:spacing w:after="0" w:line="240" w:lineRule="auto"/>
        <w:rPr>
          <w:rFonts w:asciiTheme="minorHAnsi" w:hAnsiTheme="minorHAnsi"/>
          <w:b/>
          <w:color w:val="1F4E79" w:themeColor="accent1" w:themeShade="80"/>
          <w:sz w:val="24"/>
          <w:szCs w:val="24"/>
        </w:rPr>
      </w:pPr>
      <w:r w:rsidRPr="00A36EE4">
        <w:rPr>
          <w:rFonts w:asciiTheme="minorHAnsi" w:hAnsiTheme="minorHAnsi"/>
          <w:b/>
          <w:color w:val="1F4E79" w:themeColor="accent1" w:themeShade="80"/>
          <w:sz w:val="24"/>
          <w:szCs w:val="24"/>
        </w:rPr>
        <w:t>Vendor Project Manager</w:t>
      </w:r>
    </w:p>
    <w:p w14:paraId="5D05D1C7" w14:textId="77777777" w:rsidR="00A36EE4" w:rsidRDefault="00A36EE4" w:rsidP="00E77BC1">
      <w:pPr>
        <w:spacing w:after="0" w:line="240" w:lineRule="auto"/>
        <w:rPr>
          <w:rFonts w:asciiTheme="minorHAnsi" w:hAnsiTheme="minorHAnsi"/>
        </w:rPr>
      </w:pPr>
      <w:r>
        <w:rPr>
          <w:rFonts w:asciiTheme="minorHAnsi" w:hAnsiTheme="minorHAnsi"/>
        </w:rPr>
        <w:t>The Vendor project manager will be the primary contact between the Vendor and OIT. This person will manage all aspects of the project from the Vendor’s perspective, including: Project Management Plan, schedule, change requests, submission of completed deliverables to OIT.</w:t>
      </w:r>
    </w:p>
    <w:p w14:paraId="434DA51F" w14:textId="77777777" w:rsidR="00A36EE4" w:rsidRDefault="00A36EE4" w:rsidP="00E77BC1">
      <w:pPr>
        <w:spacing w:after="0" w:line="240" w:lineRule="auto"/>
        <w:rPr>
          <w:rFonts w:asciiTheme="minorHAnsi" w:hAnsiTheme="minorHAnsi"/>
        </w:rPr>
      </w:pPr>
    </w:p>
    <w:p w14:paraId="14C46A56" w14:textId="77777777" w:rsidR="00A36EE4" w:rsidRPr="00725367" w:rsidRDefault="00725367" w:rsidP="00E77BC1">
      <w:pPr>
        <w:spacing w:after="0" w:line="240" w:lineRule="auto"/>
        <w:rPr>
          <w:rFonts w:asciiTheme="minorHAnsi" w:hAnsiTheme="minorHAnsi"/>
          <w:b/>
          <w:color w:val="1F4E79" w:themeColor="accent1" w:themeShade="80"/>
          <w:sz w:val="24"/>
          <w:szCs w:val="24"/>
        </w:rPr>
      </w:pPr>
      <w:r w:rsidRPr="00725367">
        <w:rPr>
          <w:rFonts w:asciiTheme="minorHAnsi" w:hAnsiTheme="minorHAnsi"/>
          <w:b/>
          <w:color w:val="1F4E79" w:themeColor="accent1" w:themeShade="80"/>
          <w:sz w:val="24"/>
          <w:szCs w:val="24"/>
        </w:rPr>
        <w:t>Tier 1 Support</w:t>
      </w:r>
    </w:p>
    <w:p w14:paraId="4E301113" w14:textId="77777777" w:rsidR="00725367" w:rsidRDefault="00725367" w:rsidP="00E77BC1">
      <w:pPr>
        <w:spacing w:after="0" w:line="240" w:lineRule="auto"/>
        <w:rPr>
          <w:rFonts w:asciiTheme="minorHAnsi" w:hAnsiTheme="minorHAnsi"/>
        </w:rPr>
      </w:pPr>
      <w:r>
        <w:rPr>
          <w:rFonts w:asciiTheme="minorHAnsi" w:hAnsiTheme="minorHAnsi"/>
        </w:rPr>
        <w:t>The first line of technical support provided to an application user. Tier 1 Support focuses on talking with the customer to gather information regarding the problem and then identifying which staff should be assigned the issue for further analysis and resolution. The Vendor provides this support for the first 30 days after implementation. Tier 1 Support is passed to the OIT Application Development and Application Production Support Team after the 30 days.</w:t>
      </w:r>
    </w:p>
    <w:p w14:paraId="250BE9B5" w14:textId="77777777" w:rsidR="00725367" w:rsidRDefault="00725367" w:rsidP="00E77BC1">
      <w:pPr>
        <w:spacing w:after="0" w:line="240" w:lineRule="auto"/>
        <w:rPr>
          <w:rFonts w:asciiTheme="minorHAnsi" w:hAnsiTheme="minorHAnsi"/>
        </w:rPr>
      </w:pPr>
    </w:p>
    <w:p w14:paraId="55119C7E" w14:textId="77777777" w:rsidR="00725367" w:rsidRPr="00725367" w:rsidRDefault="00725367" w:rsidP="00E77BC1">
      <w:pPr>
        <w:spacing w:after="0" w:line="240" w:lineRule="auto"/>
        <w:rPr>
          <w:rFonts w:asciiTheme="minorHAnsi" w:hAnsiTheme="minorHAnsi"/>
          <w:b/>
          <w:color w:val="1F4E79" w:themeColor="accent1" w:themeShade="80"/>
          <w:sz w:val="24"/>
          <w:szCs w:val="24"/>
        </w:rPr>
      </w:pPr>
      <w:r w:rsidRPr="00725367">
        <w:rPr>
          <w:rFonts w:asciiTheme="minorHAnsi" w:hAnsiTheme="minorHAnsi"/>
          <w:b/>
          <w:color w:val="1F4E79" w:themeColor="accent1" w:themeShade="80"/>
          <w:sz w:val="24"/>
          <w:szCs w:val="24"/>
        </w:rPr>
        <w:t>Tier 2 Support</w:t>
      </w:r>
    </w:p>
    <w:p w14:paraId="1FAD8284" w14:textId="77777777" w:rsidR="00725367" w:rsidRDefault="00725367" w:rsidP="00E77BC1">
      <w:pPr>
        <w:spacing w:after="0" w:line="240" w:lineRule="auto"/>
        <w:rPr>
          <w:rFonts w:asciiTheme="minorHAnsi" w:hAnsiTheme="minorHAnsi"/>
        </w:rPr>
      </w:pPr>
      <w:r>
        <w:rPr>
          <w:rFonts w:asciiTheme="minorHAnsi" w:hAnsiTheme="minorHAnsi"/>
        </w:rPr>
        <w:t>A level of technical support whose goal is to resolve the customer’s problem. Tier 2 Support staff have the knowledge and skills to resolve the problems that have been assigned. Tier 1 Support staff have generally gathered the basic customer information and issue and passed them along to the Tier 2 Support staff. The Vendor provides the Tier 2 Support during the Warranty Period.</w:t>
      </w:r>
    </w:p>
    <w:p w14:paraId="5E74B547" w14:textId="77777777" w:rsidR="00725367" w:rsidRDefault="00725367" w:rsidP="00E77BC1">
      <w:pPr>
        <w:spacing w:after="0" w:line="240" w:lineRule="auto"/>
        <w:rPr>
          <w:rFonts w:asciiTheme="minorHAnsi" w:hAnsiTheme="minorHAnsi"/>
        </w:rPr>
      </w:pPr>
    </w:p>
    <w:p w14:paraId="3E5B4EE4" w14:textId="77777777" w:rsidR="00A36EE4" w:rsidRPr="00A36EE4" w:rsidRDefault="00A36EE4" w:rsidP="00E77BC1">
      <w:pPr>
        <w:spacing w:after="0" w:line="240" w:lineRule="auto"/>
        <w:rPr>
          <w:rFonts w:asciiTheme="minorHAnsi" w:hAnsiTheme="minorHAnsi"/>
          <w:b/>
          <w:color w:val="1F4E79" w:themeColor="accent1" w:themeShade="80"/>
          <w:sz w:val="24"/>
          <w:szCs w:val="24"/>
        </w:rPr>
      </w:pPr>
      <w:r w:rsidRPr="00A36EE4">
        <w:rPr>
          <w:rFonts w:asciiTheme="minorHAnsi" w:hAnsiTheme="minorHAnsi"/>
          <w:b/>
          <w:color w:val="1F4E79" w:themeColor="accent1" w:themeShade="80"/>
          <w:sz w:val="24"/>
          <w:szCs w:val="24"/>
        </w:rPr>
        <w:t>Warranty</w:t>
      </w:r>
    </w:p>
    <w:p w14:paraId="4FEE6276" w14:textId="77777777" w:rsidR="00A36EE4" w:rsidRDefault="00A36EE4" w:rsidP="00E77BC1">
      <w:pPr>
        <w:spacing w:after="0" w:line="240" w:lineRule="auto"/>
        <w:rPr>
          <w:rFonts w:asciiTheme="minorHAnsi" w:hAnsiTheme="minorHAnsi"/>
        </w:rPr>
      </w:pPr>
      <w:r>
        <w:rPr>
          <w:rFonts w:asciiTheme="minorHAnsi" w:hAnsiTheme="minorHAnsi"/>
        </w:rPr>
        <w:t>The period of time that the Vendor warrants the application after implementation and Post-production Vendor Support. During this period, defects are addressed by the Vendor.</w:t>
      </w:r>
    </w:p>
    <w:sectPr w:rsidR="00A36EE4" w:rsidSect="001978B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4A9B0" w14:textId="77777777" w:rsidR="00270A0B" w:rsidRPr="0060787A" w:rsidRDefault="00270A0B" w:rsidP="0060787A">
      <w:r>
        <w:separator/>
      </w:r>
    </w:p>
  </w:endnote>
  <w:endnote w:type="continuationSeparator" w:id="0">
    <w:p w14:paraId="16EEB722" w14:textId="77777777" w:rsidR="00270A0B" w:rsidRPr="0060787A" w:rsidRDefault="00270A0B" w:rsidP="0060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1E54E" w14:textId="6C8B07D7" w:rsidR="006C6878" w:rsidRPr="006B7AC0" w:rsidRDefault="00771550" w:rsidP="006B7AC0">
    <w:pPr>
      <w:pStyle w:val="HelpText"/>
    </w:pPr>
    <w:r>
      <w:t xml:space="preserve">Exhibit </w:t>
    </w:r>
    <w:r w:rsidR="00EF07C9">
      <w:t>0</w:t>
    </w:r>
    <w:r>
      <w:t>2 - Glossary</w:t>
    </w:r>
    <w:r w:rsidR="00B005A9" w:rsidRPr="006B7AC0">
      <w:tab/>
    </w:r>
    <w:r w:rsidR="00B005A9" w:rsidRPr="006B7AC0">
      <w:tab/>
    </w:r>
    <w:r w:rsidR="006B7AC0">
      <w:tab/>
    </w:r>
    <w:r w:rsidR="006B7AC0">
      <w:tab/>
    </w:r>
    <w:r w:rsidR="006B7AC0">
      <w:tab/>
    </w:r>
    <w:r w:rsidR="006B7AC0">
      <w:tab/>
    </w:r>
    <w:r w:rsidR="006B7AC0">
      <w:tab/>
    </w:r>
    <w:r w:rsidR="006B7AC0">
      <w:tab/>
    </w:r>
    <w:r w:rsidR="006B7AC0">
      <w:tab/>
    </w:r>
    <w:r w:rsidR="006B7AC0">
      <w:tab/>
    </w:r>
    <w:r w:rsidR="006B7AC0">
      <w:tab/>
    </w:r>
    <w:r w:rsidR="00B005A9" w:rsidRPr="006B7AC0">
      <w:t xml:space="preserve">Page </w:t>
    </w:r>
    <w:r w:rsidR="00B005A9" w:rsidRPr="006B7AC0">
      <w:fldChar w:fldCharType="begin"/>
    </w:r>
    <w:r w:rsidR="00B005A9" w:rsidRPr="006B7AC0">
      <w:instrText xml:space="preserve"> PAGE  \* Arabic  \* MERGEFORMAT </w:instrText>
    </w:r>
    <w:r w:rsidR="00B005A9" w:rsidRPr="006B7AC0">
      <w:fldChar w:fldCharType="separate"/>
    </w:r>
    <w:r w:rsidR="00EF07C9">
      <w:rPr>
        <w:noProof/>
      </w:rPr>
      <w:t>1</w:t>
    </w:r>
    <w:r w:rsidR="00B005A9" w:rsidRPr="006B7AC0">
      <w:fldChar w:fldCharType="end"/>
    </w:r>
    <w:r w:rsidR="00B005A9" w:rsidRPr="006B7AC0">
      <w:t xml:space="preserve"> of </w:t>
    </w:r>
    <w:r w:rsidR="00EF07C9">
      <w:fldChar w:fldCharType="begin"/>
    </w:r>
    <w:r w:rsidR="00EF07C9">
      <w:instrText xml:space="preserve"> NUMPAGES  \* Arabic  \* MERGEFORMAT </w:instrText>
    </w:r>
    <w:r w:rsidR="00EF07C9">
      <w:fldChar w:fldCharType="separate"/>
    </w:r>
    <w:r w:rsidR="00EF07C9">
      <w:rPr>
        <w:noProof/>
      </w:rPr>
      <w:t>3</w:t>
    </w:r>
    <w:r w:rsidR="00EF07C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69C02" w14:textId="77777777" w:rsidR="00270A0B" w:rsidRPr="0060787A" w:rsidRDefault="00270A0B" w:rsidP="0060787A">
      <w:r>
        <w:separator/>
      </w:r>
    </w:p>
  </w:footnote>
  <w:footnote w:type="continuationSeparator" w:id="0">
    <w:p w14:paraId="366BB4D2" w14:textId="77777777" w:rsidR="00270A0B" w:rsidRPr="0060787A" w:rsidRDefault="00270A0B" w:rsidP="00607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990"/>
    </w:tblGrid>
    <w:tr w:rsidR="007A6788" w:rsidRPr="001978B9" w14:paraId="453A4A9E" w14:textId="77777777" w:rsidTr="001978B9">
      <w:tc>
        <w:tcPr>
          <w:tcW w:w="1800" w:type="dxa"/>
        </w:tcPr>
        <w:p w14:paraId="2D56A270" w14:textId="77777777" w:rsidR="007A6788" w:rsidRPr="0060787A" w:rsidRDefault="007A6788" w:rsidP="0060787A">
          <w:pPr>
            <w:pStyle w:val="Header"/>
          </w:pPr>
          <w:r w:rsidRPr="0060787A">
            <w:rPr>
              <w:noProof/>
            </w:rPr>
            <w:drawing>
              <wp:inline distT="0" distB="0" distL="0" distR="0" wp14:anchorId="24E54D48" wp14:editId="70CC1CD0">
                <wp:extent cx="933450" cy="491617"/>
                <wp:effectExtent l="0" t="0" r="0" b="381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TLogo.png"/>
                        <pic:cNvPicPr/>
                      </pic:nvPicPr>
                      <pic:blipFill>
                        <a:blip r:embed="rId1">
                          <a:extLst>
                            <a:ext uri="{28A0092B-C50C-407E-A947-70E740481C1C}">
                              <a14:useLocalDpi xmlns:a14="http://schemas.microsoft.com/office/drawing/2010/main" val="0"/>
                            </a:ext>
                          </a:extLst>
                        </a:blip>
                        <a:stretch>
                          <a:fillRect/>
                        </a:stretch>
                      </pic:blipFill>
                      <pic:spPr>
                        <a:xfrm>
                          <a:off x="0" y="0"/>
                          <a:ext cx="950040" cy="500354"/>
                        </a:xfrm>
                        <a:prstGeom prst="rect">
                          <a:avLst/>
                        </a:prstGeom>
                      </pic:spPr>
                    </pic:pic>
                  </a:graphicData>
                </a:graphic>
              </wp:inline>
            </w:drawing>
          </w:r>
        </w:p>
      </w:tc>
      <w:tc>
        <w:tcPr>
          <w:tcW w:w="8990" w:type="dxa"/>
        </w:tcPr>
        <w:p w14:paraId="6FA26CF1" w14:textId="77777777" w:rsidR="007A6788" w:rsidRPr="0060787A" w:rsidRDefault="00771550" w:rsidP="006B7AC0">
          <w:pPr>
            <w:pStyle w:val="BigTitle"/>
          </w:pPr>
          <w:r>
            <w:t>Glossary</w:t>
          </w:r>
        </w:p>
      </w:tc>
    </w:tr>
  </w:tbl>
  <w:p w14:paraId="684D6CFB" w14:textId="77777777" w:rsidR="007A6788" w:rsidRPr="0060787A" w:rsidRDefault="007A67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D1212"/>
    <w:multiLevelType w:val="hybridMultilevel"/>
    <w:tmpl w:val="3E0CD76E"/>
    <w:lvl w:ilvl="0" w:tplc="0FFA43AA">
      <w:start w:val="1"/>
      <w:numFmt w:val="bullet"/>
      <w:lvlText w:val="*"/>
      <w:lvlJc w:val="left"/>
      <w:pPr>
        <w:ind w:left="131" w:hanging="161"/>
      </w:pPr>
      <w:rPr>
        <w:rFonts w:ascii="Constantia" w:eastAsia="Constantia" w:hAnsi="Constantia" w:hint="default"/>
        <w:b/>
        <w:bCs/>
        <w:color w:val="FF0000"/>
        <w:w w:val="100"/>
        <w:sz w:val="22"/>
        <w:szCs w:val="22"/>
      </w:rPr>
    </w:lvl>
    <w:lvl w:ilvl="1" w:tplc="04090001">
      <w:start w:val="1"/>
      <w:numFmt w:val="bullet"/>
      <w:lvlText w:val=""/>
      <w:lvlJc w:val="left"/>
      <w:pPr>
        <w:ind w:left="851" w:hanging="360"/>
      </w:pPr>
      <w:rPr>
        <w:rFonts w:ascii="Symbol" w:hAnsi="Symbol" w:hint="default"/>
        <w:w w:val="100"/>
        <w:sz w:val="22"/>
        <w:szCs w:val="22"/>
      </w:rPr>
    </w:lvl>
    <w:lvl w:ilvl="2" w:tplc="202459A4">
      <w:start w:val="1"/>
      <w:numFmt w:val="bullet"/>
      <w:lvlText w:val="•"/>
      <w:lvlJc w:val="left"/>
      <w:pPr>
        <w:ind w:left="1931" w:hanging="360"/>
      </w:pPr>
      <w:rPr>
        <w:rFonts w:hint="default"/>
      </w:rPr>
    </w:lvl>
    <w:lvl w:ilvl="3" w:tplc="62E66810">
      <w:start w:val="1"/>
      <w:numFmt w:val="bullet"/>
      <w:lvlText w:val="•"/>
      <w:lvlJc w:val="left"/>
      <w:pPr>
        <w:ind w:left="3002" w:hanging="360"/>
      </w:pPr>
      <w:rPr>
        <w:rFonts w:hint="default"/>
      </w:rPr>
    </w:lvl>
    <w:lvl w:ilvl="4" w:tplc="B9A8E542">
      <w:start w:val="1"/>
      <w:numFmt w:val="bullet"/>
      <w:lvlText w:val="•"/>
      <w:lvlJc w:val="left"/>
      <w:pPr>
        <w:ind w:left="4073" w:hanging="360"/>
      </w:pPr>
      <w:rPr>
        <w:rFonts w:hint="default"/>
      </w:rPr>
    </w:lvl>
    <w:lvl w:ilvl="5" w:tplc="BAA287F8">
      <w:start w:val="1"/>
      <w:numFmt w:val="bullet"/>
      <w:lvlText w:val="•"/>
      <w:lvlJc w:val="left"/>
      <w:pPr>
        <w:ind w:left="5144" w:hanging="360"/>
      </w:pPr>
      <w:rPr>
        <w:rFonts w:hint="default"/>
      </w:rPr>
    </w:lvl>
    <w:lvl w:ilvl="6" w:tplc="E07C8F68">
      <w:start w:val="1"/>
      <w:numFmt w:val="bullet"/>
      <w:lvlText w:val="•"/>
      <w:lvlJc w:val="left"/>
      <w:pPr>
        <w:ind w:left="6215" w:hanging="360"/>
      </w:pPr>
      <w:rPr>
        <w:rFonts w:hint="default"/>
      </w:rPr>
    </w:lvl>
    <w:lvl w:ilvl="7" w:tplc="EE0AA6D0">
      <w:start w:val="1"/>
      <w:numFmt w:val="bullet"/>
      <w:lvlText w:val="•"/>
      <w:lvlJc w:val="left"/>
      <w:pPr>
        <w:ind w:left="7286" w:hanging="360"/>
      </w:pPr>
      <w:rPr>
        <w:rFonts w:hint="default"/>
      </w:rPr>
    </w:lvl>
    <w:lvl w:ilvl="8" w:tplc="FB546B46">
      <w:start w:val="1"/>
      <w:numFmt w:val="bullet"/>
      <w:lvlText w:val="•"/>
      <w:lvlJc w:val="left"/>
      <w:pPr>
        <w:ind w:left="8357" w:hanging="360"/>
      </w:pPr>
      <w:rPr>
        <w:rFonts w:hint="default"/>
      </w:rPr>
    </w:lvl>
  </w:abstractNum>
  <w:abstractNum w:abstractNumId="1" w15:restartNumberingAfterBreak="0">
    <w:nsid w:val="3E6C7F4B"/>
    <w:multiLevelType w:val="multilevel"/>
    <w:tmpl w:val="5EAE9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1E10C0C"/>
    <w:multiLevelType w:val="multilevel"/>
    <w:tmpl w:val="8A265ACC"/>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5937C0"/>
    <w:multiLevelType w:val="hybridMultilevel"/>
    <w:tmpl w:val="053E7AFE"/>
    <w:lvl w:ilvl="0" w:tplc="E460EA3E">
      <w:start w:val="1"/>
      <w:numFmt w:val="bullet"/>
      <w:lvlText w:val="*"/>
      <w:lvlJc w:val="left"/>
      <w:pPr>
        <w:ind w:left="131" w:hanging="152"/>
      </w:pPr>
      <w:rPr>
        <w:rFonts w:ascii="Constantia" w:eastAsia="Constantia" w:hAnsi="Constantia" w:hint="default"/>
        <w:b/>
        <w:bCs/>
        <w:color w:val="FF0000"/>
        <w:w w:val="100"/>
        <w:sz w:val="22"/>
        <w:szCs w:val="22"/>
      </w:rPr>
    </w:lvl>
    <w:lvl w:ilvl="1" w:tplc="EE32B6FC">
      <w:start w:val="1"/>
      <w:numFmt w:val="bullet"/>
      <w:lvlText w:val="•"/>
      <w:lvlJc w:val="left"/>
      <w:pPr>
        <w:ind w:left="1176" w:hanging="152"/>
      </w:pPr>
      <w:rPr>
        <w:rFonts w:hint="default"/>
      </w:rPr>
    </w:lvl>
    <w:lvl w:ilvl="2" w:tplc="61EAAF70">
      <w:start w:val="1"/>
      <w:numFmt w:val="bullet"/>
      <w:lvlText w:val="•"/>
      <w:lvlJc w:val="left"/>
      <w:pPr>
        <w:ind w:left="2212" w:hanging="152"/>
      </w:pPr>
      <w:rPr>
        <w:rFonts w:hint="default"/>
      </w:rPr>
    </w:lvl>
    <w:lvl w:ilvl="3" w:tplc="E460F3FC">
      <w:start w:val="1"/>
      <w:numFmt w:val="bullet"/>
      <w:lvlText w:val="•"/>
      <w:lvlJc w:val="left"/>
      <w:pPr>
        <w:ind w:left="3248" w:hanging="152"/>
      </w:pPr>
      <w:rPr>
        <w:rFonts w:hint="default"/>
      </w:rPr>
    </w:lvl>
    <w:lvl w:ilvl="4" w:tplc="B9CC50AE">
      <w:start w:val="1"/>
      <w:numFmt w:val="bullet"/>
      <w:lvlText w:val="•"/>
      <w:lvlJc w:val="left"/>
      <w:pPr>
        <w:ind w:left="4284" w:hanging="152"/>
      </w:pPr>
      <w:rPr>
        <w:rFonts w:hint="default"/>
      </w:rPr>
    </w:lvl>
    <w:lvl w:ilvl="5" w:tplc="9102958C">
      <w:start w:val="1"/>
      <w:numFmt w:val="bullet"/>
      <w:lvlText w:val="•"/>
      <w:lvlJc w:val="left"/>
      <w:pPr>
        <w:ind w:left="5320" w:hanging="152"/>
      </w:pPr>
      <w:rPr>
        <w:rFonts w:hint="default"/>
      </w:rPr>
    </w:lvl>
    <w:lvl w:ilvl="6" w:tplc="918E7558">
      <w:start w:val="1"/>
      <w:numFmt w:val="bullet"/>
      <w:lvlText w:val="•"/>
      <w:lvlJc w:val="left"/>
      <w:pPr>
        <w:ind w:left="6356" w:hanging="152"/>
      </w:pPr>
      <w:rPr>
        <w:rFonts w:hint="default"/>
      </w:rPr>
    </w:lvl>
    <w:lvl w:ilvl="7" w:tplc="43A0CDC2">
      <w:start w:val="1"/>
      <w:numFmt w:val="bullet"/>
      <w:lvlText w:val="•"/>
      <w:lvlJc w:val="left"/>
      <w:pPr>
        <w:ind w:left="7392" w:hanging="152"/>
      </w:pPr>
      <w:rPr>
        <w:rFonts w:hint="default"/>
      </w:rPr>
    </w:lvl>
    <w:lvl w:ilvl="8" w:tplc="4A7CF9A6">
      <w:start w:val="1"/>
      <w:numFmt w:val="bullet"/>
      <w:lvlText w:val="•"/>
      <w:lvlJc w:val="left"/>
      <w:pPr>
        <w:ind w:left="8428" w:hanging="152"/>
      </w:pPr>
      <w:rPr>
        <w:rFonts w:hint="default"/>
      </w:rPr>
    </w:lvl>
  </w:abstractNum>
  <w:abstractNum w:abstractNumId="4" w15:restartNumberingAfterBreak="0">
    <w:nsid w:val="710F1EEA"/>
    <w:multiLevelType w:val="multilevel"/>
    <w:tmpl w:val="D8E8F1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CFA5D4E"/>
    <w:multiLevelType w:val="hybridMultilevel"/>
    <w:tmpl w:val="2C423990"/>
    <w:lvl w:ilvl="0" w:tplc="C78CFC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num>
  <w:num w:numId="3">
    <w:abstractNumId w:val="4"/>
  </w:num>
  <w:num w:numId="4">
    <w:abstractNumId w:val="4"/>
  </w:num>
  <w:num w:numId="5">
    <w:abstractNumId w:val="1"/>
  </w:num>
  <w:num w:numId="6">
    <w:abstractNumId w:val="2"/>
  </w:num>
  <w:num w:numId="7">
    <w:abstractNumId w:val="2"/>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75"/>
    <w:rsid w:val="00016261"/>
    <w:rsid w:val="00023418"/>
    <w:rsid w:val="000369D9"/>
    <w:rsid w:val="000546F2"/>
    <w:rsid w:val="000641C4"/>
    <w:rsid w:val="000649CE"/>
    <w:rsid w:val="000736C5"/>
    <w:rsid w:val="00091C81"/>
    <w:rsid w:val="000A5610"/>
    <w:rsid w:val="000B0089"/>
    <w:rsid w:val="000D40F9"/>
    <w:rsid w:val="00102E6C"/>
    <w:rsid w:val="00110287"/>
    <w:rsid w:val="00124495"/>
    <w:rsid w:val="001262CC"/>
    <w:rsid w:val="001339D2"/>
    <w:rsid w:val="00175D1D"/>
    <w:rsid w:val="001847A8"/>
    <w:rsid w:val="001978B9"/>
    <w:rsid w:val="001A4CF4"/>
    <w:rsid w:val="001B26DE"/>
    <w:rsid w:val="001C7AEE"/>
    <w:rsid w:val="001F3646"/>
    <w:rsid w:val="001F6556"/>
    <w:rsid w:val="00205438"/>
    <w:rsid w:val="002664DD"/>
    <w:rsid w:val="00270A0B"/>
    <w:rsid w:val="002B0E53"/>
    <w:rsid w:val="002B2FFD"/>
    <w:rsid w:val="002B4029"/>
    <w:rsid w:val="002B44BF"/>
    <w:rsid w:val="002F3F75"/>
    <w:rsid w:val="00316CB1"/>
    <w:rsid w:val="00324117"/>
    <w:rsid w:val="0033594F"/>
    <w:rsid w:val="0034175C"/>
    <w:rsid w:val="00342342"/>
    <w:rsid w:val="00352EF7"/>
    <w:rsid w:val="0037124F"/>
    <w:rsid w:val="00385269"/>
    <w:rsid w:val="003F6A48"/>
    <w:rsid w:val="00422ED0"/>
    <w:rsid w:val="00436F43"/>
    <w:rsid w:val="00443AF1"/>
    <w:rsid w:val="00477510"/>
    <w:rsid w:val="00481E93"/>
    <w:rsid w:val="00494145"/>
    <w:rsid w:val="004A6CDB"/>
    <w:rsid w:val="004A6D76"/>
    <w:rsid w:val="004B1F4A"/>
    <w:rsid w:val="004E617D"/>
    <w:rsid w:val="004E7460"/>
    <w:rsid w:val="0050216E"/>
    <w:rsid w:val="00532ED4"/>
    <w:rsid w:val="00535633"/>
    <w:rsid w:val="005370CF"/>
    <w:rsid w:val="00564156"/>
    <w:rsid w:val="00576D0B"/>
    <w:rsid w:val="005A2627"/>
    <w:rsid w:val="005A5297"/>
    <w:rsid w:val="005E7CE3"/>
    <w:rsid w:val="0060787A"/>
    <w:rsid w:val="006303C2"/>
    <w:rsid w:val="006563FD"/>
    <w:rsid w:val="00656634"/>
    <w:rsid w:val="00676398"/>
    <w:rsid w:val="006B7AC0"/>
    <w:rsid w:val="006C6878"/>
    <w:rsid w:val="00725367"/>
    <w:rsid w:val="00734224"/>
    <w:rsid w:val="00757BDC"/>
    <w:rsid w:val="00771550"/>
    <w:rsid w:val="007A6788"/>
    <w:rsid w:val="007A7540"/>
    <w:rsid w:val="007B42BB"/>
    <w:rsid w:val="007B7878"/>
    <w:rsid w:val="007C00D3"/>
    <w:rsid w:val="007E445E"/>
    <w:rsid w:val="00801F92"/>
    <w:rsid w:val="008042CE"/>
    <w:rsid w:val="0082463C"/>
    <w:rsid w:val="0082548B"/>
    <w:rsid w:val="008476B0"/>
    <w:rsid w:val="00850FC7"/>
    <w:rsid w:val="00896EA0"/>
    <w:rsid w:val="008A05A8"/>
    <w:rsid w:val="008B4FB4"/>
    <w:rsid w:val="008C52DE"/>
    <w:rsid w:val="008C71BC"/>
    <w:rsid w:val="008E15AB"/>
    <w:rsid w:val="00935D18"/>
    <w:rsid w:val="0094325E"/>
    <w:rsid w:val="009863AD"/>
    <w:rsid w:val="00990CC3"/>
    <w:rsid w:val="009A0C2C"/>
    <w:rsid w:val="009A376C"/>
    <w:rsid w:val="009B38B1"/>
    <w:rsid w:val="009D08BC"/>
    <w:rsid w:val="009E4ED2"/>
    <w:rsid w:val="009E6943"/>
    <w:rsid w:val="00A20266"/>
    <w:rsid w:val="00A35E10"/>
    <w:rsid w:val="00A36EE4"/>
    <w:rsid w:val="00A53EC2"/>
    <w:rsid w:val="00A61B92"/>
    <w:rsid w:val="00A91E8C"/>
    <w:rsid w:val="00A97EF5"/>
    <w:rsid w:val="00AC629C"/>
    <w:rsid w:val="00AC7335"/>
    <w:rsid w:val="00AD7312"/>
    <w:rsid w:val="00AE2F17"/>
    <w:rsid w:val="00AF6AA2"/>
    <w:rsid w:val="00B005A9"/>
    <w:rsid w:val="00B20FF7"/>
    <w:rsid w:val="00B24E30"/>
    <w:rsid w:val="00B3390B"/>
    <w:rsid w:val="00B34823"/>
    <w:rsid w:val="00B40077"/>
    <w:rsid w:val="00B41F97"/>
    <w:rsid w:val="00B50E72"/>
    <w:rsid w:val="00B52417"/>
    <w:rsid w:val="00B56F14"/>
    <w:rsid w:val="00B65DC7"/>
    <w:rsid w:val="00B91593"/>
    <w:rsid w:val="00BB54BE"/>
    <w:rsid w:val="00BB6BE1"/>
    <w:rsid w:val="00BE7F16"/>
    <w:rsid w:val="00BF0554"/>
    <w:rsid w:val="00BF5C2A"/>
    <w:rsid w:val="00C02CF2"/>
    <w:rsid w:val="00C0383E"/>
    <w:rsid w:val="00C07A2B"/>
    <w:rsid w:val="00C2147E"/>
    <w:rsid w:val="00C27629"/>
    <w:rsid w:val="00C351B1"/>
    <w:rsid w:val="00C56971"/>
    <w:rsid w:val="00C9573B"/>
    <w:rsid w:val="00CC39ED"/>
    <w:rsid w:val="00CC49DA"/>
    <w:rsid w:val="00CD237F"/>
    <w:rsid w:val="00D015EB"/>
    <w:rsid w:val="00D1171C"/>
    <w:rsid w:val="00D75164"/>
    <w:rsid w:val="00D83551"/>
    <w:rsid w:val="00D85FFE"/>
    <w:rsid w:val="00D93343"/>
    <w:rsid w:val="00DA1D9A"/>
    <w:rsid w:val="00DB5381"/>
    <w:rsid w:val="00DC5127"/>
    <w:rsid w:val="00E072B1"/>
    <w:rsid w:val="00E151FC"/>
    <w:rsid w:val="00E26A1C"/>
    <w:rsid w:val="00E41990"/>
    <w:rsid w:val="00E47276"/>
    <w:rsid w:val="00E668C5"/>
    <w:rsid w:val="00E7361E"/>
    <w:rsid w:val="00E77BC1"/>
    <w:rsid w:val="00EA7B2E"/>
    <w:rsid w:val="00ED7486"/>
    <w:rsid w:val="00EE6A67"/>
    <w:rsid w:val="00EF07C9"/>
    <w:rsid w:val="00F03039"/>
    <w:rsid w:val="00F0759E"/>
    <w:rsid w:val="00F26966"/>
    <w:rsid w:val="00F35B44"/>
    <w:rsid w:val="00F92A02"/>
    <w:rsid w:val="00FC22D2"/>
    <w:rsid w:val="00FC7DDB"/>
    <w:rsid w:val="00FD1AC3"/>
    <w:rsid w:val="00FE7C4C"/>
    <w:rsid w:val="00FF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BF3E7"/>
  <w15:chartTrackingRefBased/>
  <w15:docId w15:val="{370506BA-BE5D-4F58-9312-005936B2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990"/>
    <w:rPr>
      <w:rFonts w:ascii="Tw Cen MT" w:hAnsi="Tw Cen MT"/>
    </w:rPr>
  </w:style>
  <w:style w:type="paragraph" w:styleId="Heading1">
    <w:name w:val="heading 1"/>
    <w:basedOn w:val="Normal"/>
    <w:next w:val="Normal"/>
    <w:link w:val="Heading1Char"/>
    <w:autoRedefine/>
    <w:uiPriority w:val="9"/>
    <w:qFormat/>
    <w:rsid w:val="00091C81"/>
    <w:pPr>
      <w:widowControl w:val="0"/>
      <w:numPr>
        <w:numId w:val="4"/>
      </w:numPr>
      <w:tabs>
        <w:tab w:val="left" w:pos="1080"/>
      </w:tabs>
      <w:spacing w:before="240" w:after="0"/>
      <w:ind w:left="360" w:hanging="360"/>
      <w:jc w:val="both"/>
      <w:outlineLvl w:val="0"/>
    </w:pPr>
    <w:rPr>
      <w:rFonts w:eastAsiaTheme="majorEastAsia" w:cstheme="majorBidi"/>
      <w:b/>
      <w:bCs/>
      <w:caps/>
      <w:color w:val="2E74B5" w:themeColor="accent1" w:themeShade="BF"/>
      <w:sz w:val="32"/>
      <w:szCs w:val="28"/>
    </w:rPr>
  </w:style>
  <w:style w:type="paragraph" w:styleId="Heading2">
    <w:name w:val="heading 2"/>
    <w:next w:val="Normal"/>
    <w:link w:val="Heading2Char"/>
    <w:autoRedefine/>
    <w:uiPriority w:val="9"/>
    <w:unhideWhenUsed/>
    <w:qFormat/>
    <w:rsid w:val="00B65DC7"/>
    <w:pPr>
      <w:numPr>
        <w:ilvl w:val="1"/>
        <w:numId w:val="4"/>
      </w:numPr>
      <w:outlineLvl w:val="1"/>
    </w:pPr>
    <w:rPr>
      <w:rFonts w:ascii="Tw Cen MT" w:eastAsia="Times New Roman" w:hAnsi="Tw Cen MT" w:cs="Times New Roman"/>
      <w:b/>
      <w:color w:val="2E74B5" w:themeColor="accent1" w:themeShade="BF"/>
      <w:sz w:val="32"/>
      <w:szCs w:val="32"/>
    </w:rPr>
  </w:style>
  <w:style w:type="paragraph" w:styleId="Heading3">
    <w:name w:val="heading 3"/>
    <w:basedOn w:val="Normal"/>
    <w:next w:val="Normal"/>
    <w:link w:val="Heading3Char"/>
    <w:autoRedefine/>
    <w:uiPriority w:val="9"/>
    <w:unhideWhenUsed/>
    <w:qFormat/>
    <w:rsid w:val="00B65DC7"/>
    <w:pPr>
      <w:keepNext/>
      <w:keepLines/>
      <w:numPr>
        <w:ilvl w:val="2"/>
        <w:numId w:val="5"/>
      </w:numPr>
      <w:spacing w:before="40" w:after="0" w:line="276" w:lineRule="auto"/>
      <w:ind w:left="720"/>
      <w:jc w:val="both"/>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B65DC7"/>
    <w:pPr>
      <w:spacing w:after="0" w:line="240" w:lineRule="auto"/>
      <w:contextualSpacing/>
      <w:jc w:val="both"/>
    </w:pPr>
    <w:rPr>
      <w:rFonts w:eastAsiaTheme="majorEastAsia" w:cstheme="majorBidi"/>
      <w:b/>
      <w:color w:val="2E74B5" w:themeColor="accent1" w:themeShade="BF"/>
      <w:spacing w:val="-10"/>
      <w:kern w:val="28"/>
      <w:sz w:val="36"/>
      <w:szCs w:val="56"/>
    </w:rPr>
  </w:style>
  <w:style w:type="character" w:customStyle="1" w:styleId="TitleChar">
    <w:name w:val="Title Char"/>
    <w:basedOn w:val="DefaultParagraphFont"/>
    <w:link w:val="Title"/>
    <w:uiPriority w:val="10"/>
    <w:rsid w:val="00B65DC7"/>
    <w:rPr>
      <w:rFonts w:ascii="Tw Cen MT" w:eastAsiaTheme="majorEastAsia" w:hAnsi="Tw Cen MT" w:cstheme="majorBidi"/>
      <w:b/>
      <w:color w:val="2E74B5" w:themeColor="accent1" w:themeShade="BF"/>
      <w:spacing w:val="-10"/>
      <w:kern w:val="28"/>
      <w:sz w:val="36"/>
      <w:szCs w:val="56"/>
    </w:rPr>
  </w:style>
  <w:style w:type="character" w:customStyle="1" w:styleId="Heading2Char">
    <w:name w:val="Heading 2 Char"/>
    <w:basedOn w:val="DefaultParagraphFont"/>
    <w:link w:val="Heading2"/>
    <w:uiPriority w:val="9"/>
    <w:rsid w:val="00B65DC7"/>
    <w:rPr>
      <w:rFonts w:ascii="Tw Cen MT" w:eastAsia="Times New Roman" w:hAnsi="Tw Cen MT" w:cs="Times New Roman"/>
      <w:b/>
      <w:color w:val="2E74B5" w:themeColor="accent1" w:themeShade="BF"/>
      <w:sz w:val="32"/>
      <w:szCs w:val="32"/>
    </w:rPr>
  </w:style>
  <w:style w:type="character" w:customStyle="1" w:styleId="Heading1Char">
    <w:name w:val="Heading 1 Char"/>
    <w:basedOn w:val="DefaultParagraphFont"/>
    <w:link w:val="Heading1"/>
    <w:uiPriority w:val="9"/>
    <w:rsid w:val="00091C81"/>
    <w:rPr>
      <w:rFonts w:ascii="Tw Cen MT" w:eastAsiaTheme="majorEastAsia" w:hAnsi="Tw Cen MT" w:cstheme="majorBidi"/>
      <w:b/>
      <w:bCs/>
      <w:caps/>
      <w:color w:val="2E74B5" w:themeColor="accent1" w:themeShade="BF"/>
      <w:sz w:val="32"/>
      <w:szCs w:val="28"/>
    </w:rPr>
  </w:style>
  <w:style w:type="character" w:customStyle="1" w:styleId="Heading3Char">
    <w:name w:val="Heading 3 Char"/>
    <w:basedOn w:val="DefaultParagraphFont"/>
    <w:link w:val="Heading3"/>
    <w:uiPriority w:val="9"/>
    <w:rsid w:val="00B65DC7"/>
    <w:rPr>
      <w:rFonts w:ascii="Tw Cen MT" w:eastAsiaTheme="majorEastAsia" w:hAnsi="Tw Cen MT" w:cstheme="majorBidi"/>
      <w:b/>
      <w:color w:val="000000" w:themeColor="text1"/>
      <w:sz w:val="28"/>
      <w:szCs w:val="24"/>
    </w:rPr>
  </w:style>
  <w:style w:type="paragraph" w:styleId="Header">
    <w:name w:val="header"/>
    <w:basedOn w:val="Normal"/>
    <w:link w:val="HeaderChar"/>
    <w:uiPriority w:val="99"/>
    <w:unhideWhenUsed/>
    <w:rsid w:val="00197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8B9"/>
  </w:style>
  <w:style w:type="paragraph" w:styleId="Footer">
    <w:name w:val="footer"/>
    <w:basedOn w:val="Normal"/>
    <w:link w:val="FooterChar"/>
    <w:uiPriority w:val="99"/>
    <w:unhideWhenUsed/>
    <w:rsid w:val="0019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8B9"/>
  </w:style>
  <w:style w:type="table" w:styleId="TableGrid">
    <w:name w:val="Table Grid"/>
    <w:basedOn w:val="TableNormal"/>
    <w:uiPriority w:val="39"/>
    <w:rsid w:val="0019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5C2A"/>
    <w:rPr>
      <w:color w:val="0563C1" w:themeColor="hyperlink"/>
      <w:u w:val="single"/>
    </w:rPr>
  </w:style>
  <w:style w:type="paragraph" w:styleId="BalloonText">
    <w:name w:val="Balloon Text"/>
    <w:basedOn w:val="Normal"/>
    <w:link w:val="BalloonTextChar"/>
    <w:uiPriority w:val="99"/>
    <w:semiHidden/>
    <w:unhideWhenUsed/>
    <w:rsid w:val="00F2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966"/>
    <w:rPr>
      <w:rFonts w:ascii="Segoe UI" w:hAnsi="Segoe UI" w:cs="Segoe UI"/>
      <w:sz w:val="18"/>
      <w:szCs w:val="18"/>
    </w:rPr>
  </w:style>
  <w:style w:type="paragraph" w:styleId="ListParagraph">
    <w:name w:val="List Paragraph"/>
    <w:basedOn w:val="Normal"/>
    <w:uiPriority w:val="1"/>
    <w:qFormat/>
    <w:rsid w:val="005A5297"/>
    <w:pPr>
      <w:ind w:left="720"/>
      <w:contextualSpacing/>
    </w:pPr>
  </w:style>
  <w:style w:type="paragraph" w:customStyle="1" w:styleId="Rockwell-H3">
    <w:name w:val="Rockwell - H3"/>
    <w:basedOn w:val="Normal"/>
    <w:link w:val="Rockwell-H3Char"/>
    <w:qFormat/>
    <w:rsid w:val="007A6788"/>
    <w:pPr>
      <w:spacing w:before="360" w:after="120" w:line="240" w:lineRule="auto"/>
    </w:pPr>
    <w:rPr>
      <w:rFonts w:ascii="Rockwell" w:eastAsia="Calibri" w:hAnsi="Rockwell" w:cs="Tahoma"/>
      <w:b/>
      <w:bCs/>
      <w:caps/>
      <w:color w:val="2F5496"/>
      <w:sz w:val="24"/>
      <w:szCs w:val="18"/>
    </w:rPr>
  </w:style>
  <w:style w:type="character" w:customStyle="1" w:styleId="Rockwell-H3Char">
    <w:name w:val="Rockwell - H3 Char"/>
    <w:link w:val="Rockwell-H3"/>
    <w:rsid w:val="007A6788"/>
    <w:rPr>
      <w:rFonts w:ascii="Rockwell" w:eastAsia="Calibri" w:hAnsi="Rockwell" w:cs="Tahoma"/>
      <w:b/>
      <w:bCs/>
      <w:caps/>
      <w:color w:val="2F5496"/>
      <w:sz w:val="24"/>
      <w:szCs w:val="18"/>
    </w:rPr>
  </w:style>
  <w:style w:type="paragraph" w:customStyle="1" w:styleId="Default">
    <w:name w:val="Default"/>
    <w:rsid w:val="007A6788"/>
    <w:pPr>
      <w:autoSpaceDE w:val="0"/>
      <w:autoSpaceDN w:val="0"/>
      <w:adjustRightInd w:val="0"/>
      <w:spacing w:after="0" w:line="240" w:lineRule="auto"/>
    </w:pPr>
    <w:rPr>
      <w:rFonts w:ascii="Tahoma" w:eastAsia="Calibri" w:hAnsi="Tahoma" w:cs="Tahoma"/>
      <w:color w:val="000000"/>
      <w:sz w:val="24"/>
      <w:szCs w:val="24"/>
    </w:rPr>
  </w:style>
  <w:style w:type="paragraph" w:customStyle="1" w:styleId="Rockwell-H4">
    <w:name w:val="Rockwell - H4"/>
    <w:basedOn w:val="Normal"/>
    <w:link w:val="Rockwell-H4Char"/>
    <w:uiPriority w:val="1"/>
    <w:qFormat/>
    <w:rsid w:val="00436F43"/>
    <w:pPr>
      <w:widowControl w:val="0"/>
      <w:spacing w:before="480" w:after="0"/>
      <w:ind w:left="131" w:right="283"/>
      <w:jc w:val="both"/>
    </w:pPr>
    <w:rPr>
      <w:rFonts w:ascii="Rockwell" w:eastAsia="Calibri" w:hAnsi="Rockwell" w:cs="Calibri"/>
      <w:b/>
      <w:bCs/>
      <w:sz w:val="24"/>
      <w:szCs w:val="38"/>
    </w:rPr>
  </w:style>
  <w:style w:type="character" w:customStyle="1" w:styleId="Rockwell-H4Char">
    <w:name w:val="Rockwell - H4 Char"/>
    <w:basedOn w:val="DefaultParagraphFont"/>
    <w:link w:val="Rockwell-H4"/>
    <w:uiPriority w:val="1"/>
    <w:rsid w:val="00436F43"/>
    <w:rPr>
      <w:rFonts w:ascii="Rockwell" w:eastAsia="Calibri" w:hAnsi="Rockwell" w:cs="Calibri"/>
      <w:b/>
      <w:bCs/>
      <w:sz w:val="24"/>
      <w:szCs w:val="38"/>
    </w:rPr>
  </w:style>
  <w:style w:type="character" w:styleId="FollowedHyperlink">
    <w:name w:val="FollowedHyperlink"/>
    <w:basedOn w:val="DefaultParagraphFont"/>
    <w:uiPriority w:val="99"/>
    <w:semiHidden/>
    <w:unhideWhenUsed/>
    <w:rsid w:val="004A6D76"/>
    <w:rPr>
      <w:color w:val="954F72" w:themeColor="followedHyperlink"/>
      <w:u w:val="single"/>
    </w:rPr>
  </w:style>
  <w:style w:type="character" w:styleId="PlaceholderText">
    <w:name w:val="Placeholder Text"/>
    <w:basedOn w:val="DefaultParagraphFont"/>
    <w:uiPriority w:val="99"/>
    <w:semiHidden/>
    <w:rsid w:val="00A53EC2"/>
    <w:rPr>
      <w:color w:val="808080"/>
    </w:rPr>
  </w:style>
  <w:style w:type="character" w:customStyle="1" w:styleId="Style1">
    <w:name w:val="Style1"/>
    <w:basedOn w:val="DefaultParagraphFont"/>
    <w:uiPriority w:val="1"/>
    <w:rsid w:val="00935D18"/>
    <w:rPr>
      <w:rFonts w:ascii="Tw Cen MT" w:hAnsi="Tw Cen MT"/>
      <w:sz w:val="22"/>
    </w:rPr>
  </w:style>
  <w:style w:type="paragraph" w:customStyle="1" w:styleId="HelpText">
    <w:name w:val="Help Text"/>
    <w:basedOn w:val="Normal"/>
    <w:link w:val="HelpTextChar"/>
    <w:qFormat/>
    <w:rsid w:val="00E41990"/>
    <w:rPr>
      <w:i/>
      <w:sz w:val="20"/>
    </w:rPr>
  </w:style>
  <w:style w:type="paragraph" w:customStyle="1" w:styleId="FieldLabel">
    <w:name w:val="Field Label"/>
    <w:basedOn w:val="Normal"/>
    <w:link w:val="FieldLabelChar"/>
    <w:qFormat/>
    <w:rsid w:val="00FC7DDB"/>
    <w:pPr>
      <w:spacing w:after="0" w:line="240" w:lineRule="auto"/>
    </w:pPr>
    <w:rPr>
      <w:b/>
      <w:sz w:val="24"/>
    </w:rPr>
  </w:style>
  <w:style w:type="character" w:customStyle="1" w:styleId="HelpTextChar">
    <w:name w:val="Help Text Char"/>
    <w:basedOn w:val="DefaultParagraphFont"/>
    <w:link w:val="HelpText"/>
    <w:rsid w:val="00E41990"/>
    <w:rPr>
      <w:rFonts w:ascii="Tw Cen MT" w:hAnsi="Tw Cen MT"/>
      <w:i/>
      <w:sz w:val="20"/>
    </w:rPr>
  </w:style>
  <w:style w:type="paragraph" w:customStyle="1" w:styleId="BigTitle">
    <w:name w:val="Big Title"/>
    <w:basedOn w:val="Header"/>
    <w:link w:val="BigTitleChar"/>
    <w:qFormat/>
    <w:rsid w:val="000649CE"/>
    <w:pPr>
      <w:jc w:val="right"/>
    </w:pPr>
    <w:rPr>
      <w:b/>
      <w:smallCaps/>
      <w:sz w:val="72"/>
    </w:rPr>
  </w:style>
  <w:style w:type="character" w:customStyle="1" w:styleId="FieldLabelChar">
    <w:name w:val="Field Label Char"/>
    <w:basedOn w:val="DefaultParagraphFont"/>
    <w:link w:val="FieldLabel"/>
    <w:rsid w:val="00FC7DDB"/>
    <w:rPr>
      <w:rFonts w:ascii="Tw Cen MT" w:hAnsi="Tw Cen MT"/>
      <w:b/>
      <w:sz w:val="24"/>
    </w:rPr>
  </w:style>
  <w:style w:type="paragraph" w:styleId="Subtitle">
    <w:name w:val="Subtitle"/>
    <w:basedOn w:val="Normal"/>
    <w:next w:val="Normal"/>
    <w:link w:val="SubtitleChar"/>
    <w:uiPriority w:val="11"/>
    <w:qFormat/>
    <w:rsid w:val="00FC7DDB"/>
    <w:pPr>
      <w:numPr>
        <w:ilvl w:val="1"/>
      </w:numPr>
    </w:pPr>
    <w:rPr>
      <w:rFonts w:asciiTheme="minorHAnsi" w:eastAsiaTheme="minorEastAsia" w:hAnsiTheme="minorHAnsi"/>
      <w:color w:val="5A5A5A" w:themeColor="text1" w:themeTint="A5"/>
      <w:spacing w:val="15"/>
    </w:rPr>
  </w:style>
  <w:style w:type="character" w:customStyle="1" w:styleId="BigTitleChar">
    <w:name w:val="Big Title Char"/>
    <w:basedOn w:val="HeaderChar"/>
    <w:link w:val="BigTitle"/>
    <w:rsid w:val="000649CE"/>
    <w:rPr>
      <w:rFonts w:ascii="Tw Cen MT" w:hAnsi="Tw Cen MT"/>
      <w:b/>
      <w:smallCaps/>
      <w:sz w:val="72"/>
    </w:rPr>
  </w:style>
  <w:style w:type="character" w:customStyle="1" w:styleId="SubtitleChar">
    <w:name w:val="Subtitle Char"/>
    <w:basedOn w:val="DefaultParagraphFont"/>
    <w:link w:val="Subtitle"/>
    <w:uiPriority w:val="11"/>
    <w:rsid w:val="00FC7DD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20313">
      <w:bodyDiv w:val="1"/>
      <w:marLeft w:val="0"/>
      <w:marRight w:val="0"/>
      <w:marTop w:val="0"/>
      <w:marBottom w:val="0"/>
      <w:divBdr>
        <w:top w:val="none" w:sz="0" w:space="0" w:color="auto"/>
        <w:left w:val="none" w:sz="0" w:space="0" w:color="auto"/>
        <w:bottom w:val="none" w:sz="0" w:space="0" w:color="auto"/>
        <w:right w:val="none" w:sz="0" w:space="0" w:color="auto"/>
      </w:divBdr>
    </w:div>
    <w:div w:id="11809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973MF\Desktop\RFQ%20Exhibit%20Templates\Exhibit%205%20-%20Vendor%20Change%20Reques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8ae91b69cf476015c7eec93fa72449bc">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d4adf7e0c1c09064dd4442a69ed59e5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default="AST" ma:format="Dropdown" ma:internalName="TemplateType">
      <xsd:simpleType>
        <xsd:restriction base="dms:Choice">
          <xsd:enumeration value="A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Type xmlns="7599adfd-4451-4749-831e-fcf8f84acaba">FDOT-OIT</TemplateType>
    <TemplateStatus xmlns="7599adfd-4451-4749-831e-fcf8f84acaba">Active</TemplateStatus>
    <PDMPhase xmlns="7599adfd-4451-4749-831e-fcf8f84acaba">Initiate</PDM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63755-59BF-4E01-848A-0DFECCF228A4}"/>
</file>

<file path=customXml/itemProps2.xml><?xml version="1.0" encoding="utf-8"?>
<ds:datastoreItem xmlns:ds="http://schemas.openxmlformats.org/officeDocument/2006/customXml" ds:itemID="{3EBF96F6-C87C-4DDA-958A-99F1DF494A7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6a6fb1c0-5c7c-4a2a-9e0a-bc724f8a614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8E9C28A-5441-422F-A3EC-73827766A0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Exhibit 5 - Vendor Change Request Template</Template>
  <TotalTime>194</TotalTime>
  <Pages>3</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Fike, Melinda</dc:creator>
  <cp:keywords/>
  <dc:description/>
  <cp:lastModifiedBy>Fike, Melinda</cp:lastModifiedBy>
  <cp:revision>7</cp:revision>
  <cp:lastPrinted>2015-12-22T18:47:00Z</cp:lastPrinted>
  <dcterms:created xsi:type="dcterms:W3CDTF">2016-12-13T15:58:00Z</dcterms:created>
  <dcterms:modified xsi:type="dcterms:W3CDTF">2017-01-10T14:32:00Z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0x01010021965504ADF52643B934E8E5A741DE31</vt:lpwstr>
  </property>
</Properties>
</file>