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1A37" w14:textId="77777777" w:rsidR="00F63E61" w:rsidRDefault="00F63E61" w:rsidP="00F63E61">
      <w:pPr>
        <w:jc w:val="center"/>
        <w:rPr>
          <w:b/>
          <w:bCs/>
        </w:rPr>
      </w:pPr>
      <w:r>
        <w:rPr>
          <w:b/>
          <w:bCs/>
        </w:rPr>
        <w:t>EEO Preconstruction Meeting with</w:t>
      </w:r>
    </w:p>
    <w:p w14:paraId="64815A9D" w14:textId="77777777" w:rsidR="00F63E61" w:rsidRDefault="00F63E61" w:rsidP="00F63E61">
      <w:pPr>
        <w:jc w:val="center"/>
        <w:rPr>
          <w:b/>
          <w:bCs/>
        </w:rPr>
      </w:pPr>
      <w:r>
        <w:rPr>
          <w:b/>
          <w:bCs/>
        </w:rPr>
        <w:t xml:space="preserve">Federal-Aid Requirements </w:t>
      </w:r>
    </w:p>
    <w:p w14:paraId="517E206F" w14:textId="77777777" w:rsidR="00F63E61" w:rsidRDefault="00F63E61" w:rsidP="00F63E61">
      <w:pPr>
        <w:jc w:val="center"/>
        <w:rPr>
          <w:b/>
          <w:bCs/>
        </w:rPr>
      </w:pPr>
    </w:p>
    <w:p w14:paraId="6EAF35A3" w14:textId="77777777" w:rsidR="00F63E61" w:rsidRDefault="00F63E61" w:rsidP="00F63E61">
      <w:pPr>
        <w:jc w:val="center"/>
        <w:rPr>
          <w:b/>
          <w:bCs/>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69"/>
        <w:gridCol w:w="281"/>
        <w:gridCol w:w="1253"/>
        <w:gridCol w:w="502"/>
        <w:gridCol w:w="1020"/>
        <w:gridCol w:w="1016"/>
        <w:gridCol w:w="338"/>
        <w:gridCol w:w="504"/>
        <w:gridCol w:w="744"/>
        <w:gridCol w:w="1103"/>
        <w:gridCol w:w="203"/>
        <w:gridCol w:w="1592"/>
      </w:tblGrid>
      <w:tr w:rsidR="00F63E61" w:rsidRPr="002C0E12" w14:paraId="260A103B" w14:textId="77777777" w:rsidTr="00D6763C">
        <w:trPr>
          <w:trHeight w:val="104"/>
        </w:trPr>
        <w:tc>
          <w:tcPr>
            <w:tcW w:w="7153" w:type="dxa"/>
            <w:gridSpan w:val="9"/>
            <w:tcBorders>
              <w:top w:val="single" w:sz="4" w:space="0" w:color="auto"/>
              <w:left w:val="single" w:sz="4" w:space="0" w:color="auto"/>
              <w:bottom w:val="nil"/>
              <w:right w:val="single" w:sz="4" w:space="0" w:color="auto"/>
            </w:tcBorders>
            <w:shd w:val="clear" w:color="auto" w:fill="F2F2F2"/>
          </w:tcPr>
          <w:p w14:paraId="52A99CF5" w14:textId="77777777" w:rsidR="00F63E61" w:rsidRPr="002C0E12" w:rsidRDefault="00F63E61" w:rsidP="00D6763C">
            <w:pPr>
              <w:rPr>
                <w:b/>
                <w:i/>
                <w:smallCaps/>
                <w:sz w:val="18"/>
              </w:rPr>
            </w:pPr>
            <w:r w:rsidRPr="002C0E12">
              <w:rPr>
                <w:b/>
                <w:i/>
                <w:smallCaps/>
                <w:sz w:val="18"/>
                <w:szCs w:val="16"/>
              </w:rPr>
              <w:t>Project Description:</w:t>
            </w:r>
          </w:p>
        </w:tc>
        <w:tc>
          <w:tcPr>
            <w:tcW w:w="1847" w:type="dxa"/>
            <w:gridSpan w:val="2"/>
            <w:tcBorders>
              <w:top w:val="single" w:sz="4" w:space="0" w:color="auto"/>
              <w:left w:val="single" w:sz="4" w:space="0" w:color="auto"/>
              <w:bottom w:val="nil"/>
              <w:right w:val="single" w:sz="4" w:space="0" w:color="auto"/>
            </w:tcBorders>
            <w:shd w:val="clear" w:color="auto" w:fill="F2F2F2"/>
          </w:tcPr>
          <w:p w14:paraId="4FF74ED3" w14:textId="77777777" w:rsidR="00F63E61" w:rsidRPr="002C0E12" w:rsidRDefault="00F63E61" w:rsidP="00D6763C">
            <w:pPr>
              <w:rPr>
                <w:b/>
                <w:i/>
                <w:smallCaps/>
                <w:sz w:val="18"/>
              </w:rPr>
            </w:pPr>
            <w:r>
              <w:rPr>
                <w:b/>
                <w:i/>
                <w:smallCaps/>
                <w:sz w:val="18"/>
                <w:szCs w:val="16"/>
              </w:rPr>
              <w:t>EEO Pre-con Date:</w:t>
            </w:r>
          </w:p>
        </w:tc>
        <w:tc>
          <w:tcPr>
            <w:tcW w:w="1795" w:type="dxa"/>
            <w:gridSpan w:val="2"/>
            <w:tcBorders>
              <w:top w:val="single" w:sz="4" w:space="0" w:color="auto"/>
              <w:left w:val="single" w:sz="4" w:space="0" w:color="auto"/>
              <w:bottom w:val="nil"/>
              <w:right w:val="single" w:sz="4" w:space="0" w:color="auto"/>
            </w:tcBorders>
            <w:shd w:val="clear" w:color="auto" w:fill="F2F2F2"/>
            <w:hideMark/>
          </w:tcPr>
          <w:p w14:paraId="5D97DD1A" w14:textId="4AC90245" w:rsidR="00F63E61" w:rsidRPr="002C0E12" w:rsidRDefault="00F63E61" w:rsidP="00D6763C">
            <w:pPr>
              <w:rPr>
                <w:b/>
                <w:i/>
                <w:smallCaps/>
                <w:sz w:val="18"/>
                <w:szCs w:val="16"/>
              </w:rPr>
            </w:pPr>
            <w:r>
              <w:rPr>
                <w:b/>
                <w:i/>
                <w:smallCaps/>
                <w:sz w:val="18"/>
                <w:szCs w:val="16"/>
              </w:rPr>
              <w:t xml:space="preserve">OJT </w:t>
            </w:r>
            <w:r w:rsidR="008E1158">
              <w:rPr>
                <w:b/>
                <w:i/>
                <w:smallCaps/>
                <w:sz w:val="18"/>
                <w:szCs w:val="16"/>
              </w:rPr>
              <w:t>EVAL.</w:t>
            </w:r>
            <w:r>
              <w:rPr>
                <w:b/>
                <w:i/>
                <w:smallCaps/>
                <w:sz w:val="18"/>
                <w:szCs w:val="16"/>
              </w:rPr>
              <w:t xml:space="preserve"> Date:</w:t>
            </w:r>
          </w:p>
        </w:tc>
      </w:tr>
      <w:tr w:rsidR="00F63E61" w14:paraId="7C167E47" w14:textId="77777777" w:rsidTr="00D6763C">
        <w:trPr>
          <w:trHeight w:val="297"/>
        </w:trPr>
        <w:tc>
          <w:tcPr>
            <w:tcW w:w="7153" w:type="dxa"/>
            <w:gridSpan w:val="9"/>
            <w:tcBorders>
              <w:top w:val="nil"/>
              <w:left w:val="single" w:sz="4" w:space="0" w:color="auto"/>
              <w:bottom w:val="single" w:sz="4" w:space="0" w:color="auto"/>
              <w:right w:val="single" w:sz="4" w:space="0" w:color="auto"/>
            </w:tcBorders>
          </w:tcPr>
          <w:p w14:paraId="6B1D5C7B" w14:textId="04AA83D9" w:rsidR="00F63E61" w:rsidRPr="00561432" w:rsidRDefault="00F63E61" w:rsidP="00D6763C">
            <w:pPr>
              <w:rPr>
                <w:b/>
                <w:sz w:val="20"/>
                <w:szCs w:val="20"/>
              </w:rPr>
            </w:pPr>
          </w:p>
        </w:tc>
        <w:tc>
          <w:tcPr>
            <w:tcW w:w="1847" w:type="dxa"/>
            <w:gridSpan w:val="2"/>
            <w:tcBorders>
              <w:top w:val="nil"/>
              <w:left w:val="single" w:sz="4" w:space="0" w:color="auto"/>
              <w:bottom w:val="single" w:sz="4" w:space="0" w:color="auto"/>
              <w:right w:val="single" w:sz="4" w:space="0" w:color="auto"/>
            </w:tcBorders>
          </w:tcPr>
          <w:p w14:paraId="6071CB99" w14:textId="77777777" w:rsidR="00F63E61" w:rsidRDefault="00F63E61" w:rsidP="00D6763C">
            <w:pPr>
              <w:jc w:val="center"/>
              <w:rPr>
                <w:b/>
              </w:rPr>
            </w:pPr>
          </w:p>
        </w:tc>
        <w:tc>
          <w:tcPr>
            <w:tcW w:w="1795" w:type="dxa"/>
            <w:gridSpan w:val="2"/>
            <w:tcBorders>
              <w:top w:val="nil"/>
              <w:left w:val="single" w:sz="4" w:space="0" w:color="auto"/>
              <w:bottom w:val="single" w:sz="4" w:space="0" w:color="auto"/>
              <w:right w:val="single" w:sz="4" w:space="0" w:color="auto"/>
            </w:tcBorders>
          </w:tcPr>
          <w:p w14:paraId="089CA299" w14:textId="1C90C21F" w:rsidR="00F63E61" w:rsidRDefault="00F63E61" w:rsidP="00D6763C">
            <w:pPr>
              <w:jc w:val="center"/>
              <w:rPr>
                <w:b/>
              </w:rPr>
            </w:pPr>
          </w:p>
        </w:tc>
      </w:tr>
      <w:tr w:rsidR="00F63E61" w:rsidRPr="002C0E12" w14:paraId="23E971BA" w14:textId="77777777" w:rsidTr="00D6763C">
        <w:tc>
          <w:tcPr>
            <w:tcW w:w="2239" w:type="dxa"/>
            <w:gridSpan w:val="2"/>
            <w:tcBorders>
              <w:top w:val="single" w:sz="4" w:space="0" w:color="auto"/>
              <w:left w:val="single" w:sz="4" w:space="0" w:color="auto"/>
              <w:bottom w:val="nil"/>
              <w:right w:val="single" w:sz="4" w:space="0" w:color="auto"/>
            </w:tcBorders>
            <w:shd w:val="clear" w:color="auto" w:fill="F2F2F2"/>
            <w:hideMark/>
          </w:tcPr>
          <w:p w14:paraId="05F75A90" w14:textId="77777777" w:rsidR="00F63E61" w:rsidRPr="002C0E12" w:rsidRDefault="00F63E61" w:rsidP="00D6763C">
            <w:pPr>
              <w:rPr>
                <w:b/>
                <w:i/>
                <w:smallCaps/>
                <w:sz w:val="18"/>
                <w:szCs w:val="16"/>
              </w:rPr>
            </w:pPr>
            <w:r w:rsidRPr="002C0E12">
              <w:rPr>
                <w:b/>
                <w:i/>
                <w:smallCaps/>
                <w:sz w:val="18"/>
                <w:szCs w:val="16"/>
              </w:rPr>
              <w:t>Financial Project #</w:t>
            </w:r>
          </w:p>
        </w:tc>
        <w:tc>
          <w:tcPr>
            <w:tcW w:w="2036" w:type="dxa"/>
            <w:gridSpan w:val="3"/>
            <w:tcBorders>
              <w:top w:val="single" w:sz="4" w:space="0" w:color="auto"/>
              <w:left w:val="single" w:sz="4" w:space="0" w:color="auto"/>
              <w:bottom w:val="nil"/>
              <w:right w:val="single" w:sz="4" w:space="0" w:color="auto"/>
            </w:tcBorders>
            <w:shd w:val="clear" w:color="auto" w:fill="F2F2F2"/>
            <w:hideMark/>
          </w:tcPr>
          <w:p w14:paraId="7D5A0805" w14:textId="77777777" w:rsidR="00F63E61" w:rsidRPr="002C0E12" w:rsidRDefault="00F63E61" w:rsidP="00D6763C">
            <w:pPr>
              <w:rPr>
                <w:b/>
                <w:i/>
                <w:smallCaps/>
                <w:sz w:val="18"/>
                <w:szCs w:val="16"/>
              </w:rPr>
            </w:pPr>
            <w:r>
              <w:rPr>
                <w:b/>
                <w:i/>
                <w:smallCaps/>
                <w:sz w:val="18"/>
                <w:szCs w:val="16"/>
              </w:rPr>
              <w:t>Contract #</w:t>
            </w:r>
          </w:p>
        </w:tc>
        <w:tc>
          <w:tcPr>
            <w:tcW w:w="2036" w:type="dxa"/>
            <w:gridSpan w:val="2"/>
            <w:tcBorders>
              <w:top w:val="single" w:sz="4" w:space="0" w:color="auto"/>
              <w:left w:val="single" w:sz="4" w:space="0" w:color="auto"/>
              <w:bottom w:val="nil"/>
              <w:right w:val="single" w:sz="4" w:space="0" w:color="auto"/>
            </w:tcBorders>
            <w:shd w:val="clear" w:color="auto" w:fill="F2F2F2"/>
          </w:tcPr>
          <w:p w14:paraId="01F2B37D" w14:textId="77777777" w:rsidR="00F63E61" w:rsidRPr="002C0E12" w:rsidRDefault="00F63E61" w:rsidP="00D6763C">
            <w:pPr>
              <w:rPr>
                <w:b/>
                <w:i/>
                <w:smallCaps/>
                <w:sz w:val="18"/>
                <w:szCs w:val="16"/>
              </w:rPr>
            </w:pPr>
            <w:r w:rsidRPr="002C0E12">
              <w:rPr>
                <w:b/>
                <w:i/>
                <w:smallCaps/>
                <w:sz w:val="18"/>
                <w:szCs w:val="16"/>
              </w:rPr>
              <w:t>Federal Aid Project #</w:t>
            </w:r>
          </w:p>
        </w:tc>
        <w:tc>
          <w:tcPr>
            <w:tcW w:w="2689" w:type="dxa"/>
            <w:gridSpan w:val="4"/>
            <w:tcBorders>
              <w:top w:val="single" w:sz="4" w:space="0" w:color="auto"/>
              <w:left w:val="single" w:sz="4" w:space="0" w:color="auto"/>
              <w:bottom w:val="nil"/>
              <w:right w:val="single" w:sz="4" w:space="0" w:color="auto"/>
            </w:tcBorders>
            <w:shd w:val="clear" w:color="auto" w:fill="F2F2F2"/>
          </w:tcPr>
          <w:p w14:paraId="56DC65B3" w14:textId="77777777" w:rsidR="00F63E61" w:rsidRPr="002C0E12" w:rsidRDefault="00F63E61" w:rsidP="00D6763C">
            <w:pPr>
              <w:rPr>
                <w:b/>
                <w:i/>
                <w:smallCaps/>
                <w:sz w:val="18"/>
                <w:szCs w:val="16"/>
              </w:rPr>
            </w:pPr>
            <w:r>
              <w:rPr>
                <w:b/>
                <w:i/>
                <w:smallCaps/>
                <w:sz w:val="18"/>
                <w:szCs w:val="16"/>
              </w:rPr>
              <w:t>Contract $ Amount:</w:t>
            </w:r>
          </w:p>
        </w:tc>
        <w:tc>
          <w:tcPr>
            <w:tcW w:w="1795" w:type="dxa"/>
            <w:gridSpan w:val="2"/>
            <w:tcBorders>
              <w:top w:val="single" w:sz="4" w:space="0" w:color="auto"/>
              <w:left w:val="single" w:sz="4" w:space="0" w:color="auto"/>
              <w:bottom w:val="nil"/>
              <w:right w:val="single" w:sz="4" w:space="0" w:color="auto"/>
            </w:tcBorders>
            <w:shd w:val="clear" w:color="auto" w:fill="F2F2F2"/>
            <w:hideMark/>
          </w:tcPr>
          <w:p w14:paraId="60367312" w14:textId="77777777" w:rsidR="00F63E61" w:rsidRPr="002C0E12" w:rsidRDefault="00F63E61" w:rsidP="00D6763C">
            <w:pPr>
              <w:rPr>
                <w:b/>
                <w:i/>
                <w:smallCaps/>
                <w:sz w:val="18"/>
                <w:szCs w:val="16"/>
              </w:rPr>
            </w:pPr>
            <w:r>
              <w:rPr>
                <w:b/>
                <w:i/>
                <w:smallCaps/>
                <w:sz w:val="18"/>
                <w:szCs w:val="16"/>
              </w:rPr>
              <w:t>CONTRACT DAYS</w:t>
            </w:r>
            <w:r w:rsidRPr="002C0E12">
              <w:rPr>
                <w:b/>
                <w:i/>
                <w:smallCaps/>
                <w:sz w:val="18"/>
                <w:szCs w:val="16"/>
              </w:rPr>
              <w:t>:</w:t>
            </w:r>
          </w:p>
        </w:tc>
      </w:tr>
      <w:tr w:rsidR="00F63E61" w14:paraId="1693FB47" w14:textId="77777777" w:rsidTr="00D6763C">
        <w:tc>
          <w:tcPr>
            <w:tcW w:w="2239" w:type="dxa"/>
            <w:gridSpan w:val="2"/>
            <w:tcBorders>
              <w:top w:val="nil"/>
              <w:left w:val="single" w:sz="4" w:space="0" w:color="auto"/>
              <w:bottom w:val="single" w:sz="4" w:space="0" w:color="auto"/>
              <w:right w:val="single" w:sz="4" w:space="0" w:color="auto"/>
            </w:tcBorders>
          </w:tcPr>
          <w:p w14:paraId="4DBCAD88" w14:textId="7873F221" w:rsidR="00F63E61" w:rsidRDefault="00F63E61" w:rsidP="00D6763C">
            <w:pPr>
              <w:jc w:val="center"/>
              <w:rPr>
                <w:b/>
              </w:rPr>
            </w:pPr>
          </w:p>
        </w:tc>
        <w:tc>
          <w:tcPr>
            <w:tcW w:w="2036" w:type="dxa"/>
            <w:gridSpan w:val="3"/>
            <w:tcBorders>
              <w:top w:val="nil"/>
              <w:left w:val="single" w:sz="4" w:space="0" w:color="auto"/>
              <w:bottom w:val="single" w:sz="4" w:space="0" w:color="auto"/>
              <w:right w:val="single" w:sz="4" w:space="0" w:color="auto"/>
            </w:tcBorders>
          </w:tcPr>
          <w:p w14:paraId="5A5A26C0" w14:textId="131CD826" w:rsidR="00F63E61" w:rsidRPr="00561432" w:rsidRDefault="00F63E61" w:rsidP="00D6763C">
            <w:pPr>
              <w:jc w:val="center"/>
              <w:rPr>
                <w:b/>
                <w:sz w:val="22"/>
                <w:szCs w:val="22"/>
              </w:rPr>
            </w:pPr>
          </w:p>
        </w:tc>
        <w:tc>
          <w:tcPr>
            <w:tcW w:w="2036" w:type="dxa"/>
            <w:gridSpan w:val="2"/>
            <w:tcBorders>
              <w:top w:val="nil"/>
              <w:left w:val="single" w:sz="4" w:space="0" w:color="auto"/>
              <w:bottom w:val="single" w:sz="4" w:space="0" w:color="auto"/>
              <w:right w:val="single" w:sz="4" w:space="0" w:color="auto"/>
            </w:tcBorders>
          </w:tcPr>
          <w:p w14:paraId="4F8D869D" w14:textId="77777777" w:rsidR="00F63E61" w:rsidRDefault="00F63E61" w:rsidP="00D6763C">
            <w:pPr>
              <w:jc w:val="center"/>
              <w:rPr>
                <w:b/>
              </w:rPr>
            </w:pPr>
          </w:p>
        </w:tc>
        <w:tc>
          <w:tcPr>
            <w:tcW w:w="2689" w:type="dxa"/>
            <w:gridSpan w:val="4"/>
            <w:tcBorders>
              <w:top w:val="nil"/>
              <w:left w:val="single" w:sz="4" w:space="0" w:color="auto"/>
              <w:bottom w:val="single" w:sz="4" w:space="0" w:color="auto"/>
              <w:right w:val="single" w:sz="4" w:space="0" w:color="auto"/>
            </w:tcBorders>
          </w:tcPr>
          <w:p w14:paraId="03722056" w14:textId="77777777" w:rsidR="00F63E61" w:rsidRDefault="00F63E61" w:rsidP="00D6763C">
            <w:pPr>
              <w:jc w:val="center"/>
              <w:rPr>
                <w:b/>
              </w:rPr>
            </w:pPr>
          </w:p>
        </w:tc>
        <w:tc>
          <w:tcPr>
            <w:tcW w:w="1795" w:type="dxa"/>
            <w:gridSpan w:val="2"/>
            <w:tcBorders>
              <w:top w:val="nil"/>
              <w:left w:val="single" w:sz="4" w:space="0" w:color="auto"/>
              <w:bottom w:val="single" w:sz="4" w:space="0" w:color="auto"/>
              <w:right w:val="single" w:sz="4" w:space="0" w:color="auto"/>
            </w:tcBorders>
          </w:tcPr>
          <w:p w14:paraId="4C4F3AEA" w14:textId="77777777" w:rsidR="00F63E61" w:rsidRDefault="00F63E61" w:rsidP="00D6763C">
            <w:pPr>
              <w:jc w:val="center"/>
              <w:rPr>
                <w:b/>
              </w:rPr>
            </w:pPr>
          </w:p>
        </w:tc>
      </w:tr>
      <w:tr w:rsidR="00F63E61" w:rsidRPr="002C0E12" w14:paraId="28D2988D" w14:textId="77777777" w:rsidTr="00D6763C">
        <w:trPr>
          <w:trHeight w:val="70"/>
        </w:trPr>
        <w:tc>
          <w:tcPr>
            <w:tcW w:w="10795" w:type="dxa"/>
            <w:gridSpan w:val="13"/>
            <w:tcBorders>
              <w:top w:val="single" w:sz="4" w:space="0" w:color="auto"/>
              <w:left w:val="single" w:sz="4" w:space="0" w:color="auto"/>
              <w:bottom w:val="nil"/>
              <w:right w:val="single" w:sz="4" w:space="0" w:color="auto"/>
            </w:tcBorders>
            <w:shd w:val="clear" w:color="auto" w:fill="F2F2F2"/>
          </w:tcPr>
          <w:p w14:paraId="461B8538" w14:textId="77777777" w:rsidR="00F63E61" w:rsidRPr="002C0E12" w:rsidRDefault="00F63E61" w:rsidP="00D6763C">
            <w:pPr>
              <w:rPr>
                <w:b/>
                <w:i/>
                <w:smallCaps/>
                <w:sz w:val="18"/>
                <w:szCs w:val="16"/>
              </w:rPr>
            </w:pPr>
          </w:p>
        </w:tc>
      </w:tr>
      <w:tr w:rsidR="00F63E61" w14:paraId="6E4F601B" w14:textId="77777777" w:rsidTr="00D6763C">
        <w:trPr>
          <w:trHeight w:val="103"/>
        </w:trPr>
        <w:tc>
          <w:tcPr>
            <w:tcW w:w="10795" w:type="dxa"/>
            <w:gridSpan w:val="13"/>
            <w:tcBorders>
              <w:top w:val="nil"/>
              <w:left w:val="single" w:sz="4" w:space="0" w:color="auto"/>
              <w:bottom w:val="thinThickSmallGap" w:sz="24" w:space="0" w:color="auto"/>
              <w:right w:val="single" w:sz="4" w:space="0" w:color="auto"/>
            </w:tcBorders>
          </w:tcPr>
          <w:p w14:paraId="32331F95" w14:textId="5C6A126E" w:rsidR="00F63E61" w:rsidRDefault="00F63E61" w:rsidP="00D6763C">
            <w:pPr>
              <w:rPr>
                <w:b/>
              </w:rPr>
            </w:pPr>
          </w:p>
        </w:tc>
      </w:tr>
      <w:tr w:rsidR="00F63E61" w14:paraId="4DC04645" w14:textId="77777777" w:rsidTr="00D6763C">
        <w:trPr>
          <w:trHeight w:val="135"/>
        </w:trPr>
        <w:tc>
          <w:tcPr>
            <w:tcW w:w="10795" w:type="dxa"/>
            <w:gridSpan w:val="13"/>
            <w:tcBorders>
              <w:top w:val="thinThickSmallGap" w:sz="24" w:space="0" w:color="auto"/>
              <w:left w:val="thinThickSmallGap" w:sz="24" w:space="0" w:color="auto"/>
              <w:bottom w:val="thinThickSmallGap" w:sz="24" w:space="0" w:color="auto"/>
              <w:right w:val="thickThinSmallGap" w:sz="24" w:space="0" w:color="auto"/>
            </w:tcBorders>
            <w:shd w:val="clear" w:color="auto" w:fill="F2F2F2"/>
            <w:hideMark/>
          </w:tcPr>
          <w:p w14:paraId="7626E8DC" w14:textId="77777777" w:rsidR="00F63E61" w:rsidRDefault="00F63E61" w:rsidP="00D6763C">
            <w:pPr>
              <w:jc w:val="center"/>
              <w:rPr>
                <w:b/>
              </w:rPr>
            </w:pPr>
            <w:r>
              <w:rPr>
                <w:b/>
                <w:smallCaps/>
                <w:sz w:val="22"/>
                <w:szCs w:val="16"/>
              </w:rPr>
              <w:t>Wage Rate Decision(s)</w:t>
            </w:r>
          </w:p>
        </w:tc>
      </w:tr>
      <w:tr w:rsidR="00F63E61" w14:paraId="5937E8F4" w14:textId="77777777" w:rsidTr="00D6763C">
        <w:trPr>
          <w:trHeight w:val="312"/>
        </w:trPr>
        <w:tc>
          <w:tcPr>
            <w:tcW w:w="1170" w:type="dxa"/>
            <w:tcBorders>
              <w:top w:val="thinThickSmallGap" w:sz="24" w:space="0" w:color="auto"/>
              <w:left w:val="thinThickSmallGap" w:sz="24" w:space="0" w:color="auto"/>
              <w:bottom w:val="single" w:sz="4" w:space="0" w:color="auto"/>
              <w:right w:val="single" w:sz="4" w:space="0" w:color="auto"/>
            </w:tcBorders>
            <w:shd w:val="clear" w:color="auto" w:fill="auto"/>
          </w:tcPr>
          <w:p w14:paraId="645492C4" w14:textId="77777777" w:rsidR="00F63E61" w:rsidRDefault="00F63E61" w:rsidP="00D6763C">
            <w:pPr>
              <w:jc w:val="center"/>
              <w:rPr>
                <w:b/>
              </w:rPr>
            </w:pPr>
            <w:r>
              <w:rPr>
                <w:b/>
              </w:rPr>
              <w:t>Type</w:t>
            </w:r>
          </w:p>
        </w:tc>
        <w:tc>
          <w:tcPr>
            <w:tcW w:w="1350" w:type="dxa"/>
            <w:gridSpan w:val="2"/>
            <w:tcBorders>
              <w:top w:val="thinThickSmallGap" w:sz="24" w:space="0" w:color="auto"/>
              <w:left w:val="single" w:sz="4" w:space="0" w:color="auto"/>
              <w:bottom w:val="single" w:sz="4" w:space="0" w:color="auto"/>
              <w:right w:val="single" w:sz="4" w:space="0" w:color="auto"/>
            </w:tcBorders>
            <w:shd w:val="clear" w:color="auto" w:fill="auto"/>
          </w:tcPr>
          <w:p w14:paraId="1B8F50E8" w14:textId="77777777" w:rsidR="00F63E61" w:rsidRDefault="00F63E61" w:rsidP="00D6763C">
            <w:pPr>
              <w:jc w:val="center"/>
              <w:rPr>
                <w:b/>
              </w:rPr>
            </w:pPr>
            <w:r>
              <w:rPr>
                <w:b/>
              </w:rPr>
              <w:t>WD #</w:t>
            </w:r>
          </w:p>
        </w:tc>
        <w:tc>
          <w:tcPr>
            <w:tcW w:w="1253" w:type="dxa"/>
            <w:tcBorders>
              <w:top w:val="thinThickSmallGap" w:sz="24" w:space="0" w:color="auto"/>
              <w:left w:val="single" w:sz="4" w:space="0" w:color="auto"/>
              <w:bottom w:val="single" w:sz="4" w:space="0" w:color="auto"/>
              <w:right w:val="single" w:sz="4" w:space="0" w:color="auto"/>
            </w:tcBorders>
            <w:shd w:val="clear" w:color="auto" w:fill="auto"/>
          </w:tcPr>
          <w:p w14:paraId="641F96BE" w14:textId="77777777" w:rsidR="00F63E61" w:rsidRDefault="00F63E61" w:rsidP="00D6763C">
            <w:pPr>
              <w:jc w:val="center"/>
              <w:rPr>
                <w:b/>
              </w:rPr>
            </w:pPr>
            <w:r>
              <w:rPr>
                <w:b/>
              </w:rPr>
              <w:t>Modif #</w:t>
            </w:r>
          </w:p>
        </w:tc>
        <w:tc>
          <w:tcPr>
            <w:tcW w:w="1522" w:type="dxa"/>
            <w:gridSpan w:val="2"/>
            <w:tcBorders>
              <w:top w:val="thinThickSmallGap" w:sz="24" w:space="0" w:color="auto"/>
              <w:left w:val="single" w:sz="4" w:space="0" w:color="auto"/>
              <w:bottom w:val="single" w:sz="4" w:space="0" w:color="auto"/>
              <w:right w:val="thickThinSmallGap" w:sz="24" w:space="0" w:color="auto"/>
            </w:tcBorders>
            <w:shd w:val="clear" w:color="auto" w:fill="auto"/>
          </w:tcPr>
          <w:p w14:paraId="2AE6D549" w14:textId="77777777" w:rsidR="00F63E61" w:rsidRDefault="00F63E61" w:rsidP="00D6763C">
            <w:pPr>
              <w:jc w:val="center"/>
              <w:rPr>
                <w:b/>
              </w:rPr>
            </w:pPr>
            <w:r>
              <w:rPr>
                <w:b/>
              </w:rPr>
              <w:t>Pub Date</w:t>
            </w:r>
          </w:p>
        </w:tc>
        <w:tc>
          <w:tcPr>
            <w:tcW w:w="1354" w:type="dxa"/>
            <w:gridSpan w:val="2"/>
            <w:tcBorders>
              <w:top w:val="thinThickSmallGap" w:sz="24" w:space="0" w:color="auto"/>
              <w:left w:val="thinThickSmallGap" w:sz="24" w:space="0" w:color="auto"/>
              <w:bottom w:val="single" w:sz="4" w:space="0" w:color="auto"/>
              <w:right w:val="thickThinSmallGap" w:sz="24" w:space="0" w:color="auto"/>
            </w:tcBorders>
            <w:shd w:val="clear" w:color="auto" w:fill="auto"/>
          </w:tcPr>
          <w:p w14:paraId="74911853" w14:textId="77777777" w:rsidR="00F63E61" w:rsidRDefault="00F63E61" w:rsidP="00D6763C">
            <w:pPr>
              <w:jc w:val="center"/>
              <w:rPr>
                <w:b/>
              </w:rPr>
            </w:pPr>
            <w:r>
              <w:rPr>
                <w:b/>
              </w:rPr>
              <w:t>Type</w:t>
            </w:r>
          </w:p>
        </w:tc>
        <w:tc>
          <w:tcPr>
            <w:tcW w:w="1248" w:type="dxa"/>
            <w:gridSpan w:val="2"/>
            <w:tcBorders>
              <w:top w:val="thinThickSmallGap" w:sz="24" w:space="0" w:color="auto"/>
              <w:left w:val="thinThickSmallGap" w:sz="24" w:space="0" w:color="auto"/>
              <w:bottom w:val="single" w:sz="4" w:space="0" w:color="auto"/>
              <w:right w:val="thickThinSmallGap" w:sz="24" w:space="0" w:color="auto"/>
            </w:tcBorders>
            <w:shd w:val="clear" w:color="auto" w:fill="auto"/>
          </w:tcPr>
          <w:p w14:paraId="7D5F1AF0" w14:textId="77777777" w:rsidR="00F63E61" w:rsidRDefault="00F63E61" w:rsidP="00D6763C">
            <w:pPr>
              <w:jc w:val="center"/>
              <w:rPr>
                <w:b/>
              </w:rPr>
            </w:pPr>
            <w:r>
              <w:rPr>
                <w:b/>
              </w:rPr>
              <w:t>WD #</w:t>
            </w:r>
          </w:p>
        </w:tc>
        <w:tc>
          <w:tcPr>
            <w:tcW w:w="1306" w:type="dxa"/>
            <w:gridSpan w:val="2"/>
            <w:tcBorders>
              <w:top w:val="thinThickSmallGap" w:sz="24" w:space="0" w:color="auto"/>
              <w:left w:val="thinThickSmallGap" w:sz="24" w:space="0" w:color="auto"/>
              <w:bottom w:val="single" w:sz="4" w:space="0" w:color="auto"/>
              <w:right w:val="thickThinSmallGap" w:sz="24" w:space="0" w:color="auto"/>
            </w:tcBorders>
            <w:shd w:val="clear" w:color="auto" w:fill="auto"/>
          </w:tcPr>
          <w:p w14:paraId="449973E1" w14:textId="77777777" w:rsidR="00F63E61" w:rsidRDefault="00F63E61" w:rsidP="00D6763C">
            <w:pPr>
              <w:jc w:val="center"/>
              <w:rPr>
                <w:b/>
              </w:rPr>
            </w:pPr>
            <w:r>
              <w:rPr>
                <w:b/>
              </w:rPr>
              <w:t>Modif #</w:t>
            </w:r>
          </w:p>
        </w:tc>
        <w:tc>
          <w:tcPr>
            <w:tcW w:w="1592" w:type="dxa"/>
            <w:tcBorders>
              <w:top w:val="thinThickSmallGap" w:sz="24" w:space="0" w:color="auto"/>
              <w:left w:val="thinThickSmallGap" w:sz="24" w:space="0" w:color="auto"/>
              <w:bottom w:val="single" w:sz="4" w:space="0" w:color="auto"/>
              <w:right w:val="thickThinSmallGap" w:sz="24" w:space="0" w:color="auto"/>
            </w:tcBorders>
            <w:shd w:val="clear" w:color="auto" w:fill="auto"/>
          </w:tcPr>
          <w:p w14:paraId="4DFF60F8" w14:textId="77777777" w:rsidR="00F63E61" w:rsidRDefault="00F63E61" w:rsidP="00D6763C">
            <w:pPr>
              <w:jc w:val="center"/>
              <w:rPr>
                <w:b/>
              </w:rPr>
            </w:pPr>
            <w:r>
              <w:rPr>
                <w:b/>
              </w:rPr>
              <w:t>Pub Date</w:t>
            </w:r>
          </w:p>
        </w:tc>
      </w:tr>
      <w:tr w:rsidR="00F63E61" w14:paraId="45CA0C3A" w14:textId="77777777" w:rsidTr="00D6763C">
        <w:trPr>
          <w:trHeight w:val="312"/>
        </w:trPr>
        <w:tc>
          <w:tcPr>
            <w:tcW w:w="1170" w:type="dxa"/>
            <w:tcBorders>
              <w:top w:val="single" w:sz="4" w:space="0" w:color="auto"/>
              <w:left w:val="thinThickSmallGap" w:sz="24" w:space="0" w:color="auto"/>
              <w:bottom w:val="thinThickSmallGap" w:sz="24" w:space="0" w:color="auto"/>
              <w:right w:val="single" w:sz="4" w:space="0" w:color="auto"/>
            </w:tcBorders>
            <w:shd w:val="clear" w:color="auto" w:fill="auto"/>
          </w:tcPr>
          <w:p w14:paraId="50F0B0D5" w14:textId="77777777" w:rsidR="00F63E61" w:rsidRPr="000C47EF" w:rsidRDefault="00F63E61" w:rsidP="00D6763C">
            <w:pPr>
              <w:jc w:val="center"/>
            </w:pPr>
          </w:p>
        </w:tc>
        <w:tc>
          <w:tcPr>
            <w:tcW w:w="1350" w:type="dxa"/>
            <w:gridSpan w:val="2"/>
            <w:tcBorders>
              <w:top w:val="single" w:sz="4" w:space="0" w:color="auto"/>
              <w:left w:val="single" w:sz="4" w:space="0" w:color="auto"/>
              <w:bottom w:val="thinThickSmallGap" w:sz="24" w:space="0" w:color="auto"/>
              <w:right w:val="single" w:sz="4" w:space="0" w:color="auto"/>
            </w:tcBorders>
            <w:shd w:val="clear" w:color="auto" w:fill="auto"/>
            <w:vAlign w:val="bottom"/>
          </w:tcPr>
          <w:p w14:paraId="3CBCAD33" w14:textId="77777777" w:rsidR="00F63E61" w:rsidRPr="00BE54F4" w:rsidRDefault="00F63E61" w:rsidP="00D6763C">
            <w:pPr>
              <w:jc w:val="center"/>
              <w:rPr>
                <w:sz w:val="20"/>
                <w:szCs w:val="20"/>
              </w:rPr>
            </w:pPr>
          </w:p>
        </w:tc>
        <w:tc>
          <w:tcPr>
            <w:tcW w:w="1253" w:type="dxa"/>
            <w:tcBorders>
              <w:top w:val="single" w:sz="4" w:space="0" w:color="auto"/>
              <w:left w:val="single" w:sz="4" w:space="0" w:color="auto"/>
              <w:bottom w:val="thinThickSmallGap" w:sz="24" w:space="0" w:color="auto"/>
              <w:right w:val="single" w:sz="4" w:space="0" w:color="auto"/>
            </w:tcBorders>
            <w:shd w:val="clear" w:color="auto" w:fill="auto"/>
            <w:vAlign w:val="bottom"/>
          </w:tcPr>
          <w:p w14:paraId="2D4D64DB" w14:textId="77777777" w:rsidR="00F63E61" w:rsidRPr="000C47EF" w:rsidRDefault="00F63E61" w:rsidP="00D6763C">
            <w:pPr>
              <w:jc w:val="center"/>
            </w:pPr>
          </w:p>
        </w:tc>
        <w:tc>
          <w:tcPr>
            <w:tcW w:w="1522" w:type="dxa"/>
            <w:gridSpan w:val="2"/>
            <w:tcBorders>
              <w:top w:val="single" w:sz="4" w:space="0" w:color="auto"/>
              <w:left w:val="single" w:sz="4" w:space="0" w:color="auto"/>
              <w:bottom w:val="thinThickSmallGap" w:sz="24" w:space="0" w:color="auto"/>
              <w:right w:val="thickThinSmallGap" w:sz="24" w:space="0" w:color="auto"/>
            </w:tcBorders>
            <w:shd w:val="clear" w:color="auto" w:fill="auto"/>
            <w:vAlign w:val="bottom"/>
          </w:tcPr>
          <w:p w14:paraId="0D22EB8C" w14:textId="77777777" w:rsidR="00F63E61" w:rsidRPr="000C47EF" w:rsidRDefault="00F63E61" w:rsidP="00D6763C">
            <w:pPr>
              <w:jc w:val="center"/>
            </w:pPr>
          </w:p>
        </w:tc>
        <w:tc>
          <w:tcPr>
            <w:tcW w:w="1354" w:type="dxa"/>
            <w:gridSpan w:val="2"/>
            <w:tcBorders>
              <w:top w:val="single" w:sz="4" w:space="0" w:color="auto"/>
              <w:left w:val="thinThickSmallGap" w:sz="24" w:space="0" w:color="auto"/>
              <w:bottom w:val="thinThickSmallGap" w:sz="24" w:space="0" w:color="auto"/>
              <w:right w:val="thickThinSmallGap" w:sz="24" w:space="0" w:color="auto"/>
            </w:tcBorders>
            <w:shd w:val="clear" w:color="auto" w:fill="auto"/>
            <w:vAlign w:val="bottom"/>
          </w:tcPr>
          <w:p w14:paraId="0FB30000" w14:textId="77777777" w:rsidR="00F63E61" w:rsidRPr="000C47EF" w:rsidRDefault="00F63E61" w:rsidP="00D6763C">
            <w:pPr>
              <w:jc w:val="center"/>
            </w:pPr>
          </w:p>
        </w:tc>
        <w:tc>
          <w:tcPr>
            <w:tcW w:w="1248" w:type="dxa"/>
            <w:gridSpan w:val="2"/>
            <w:tcBorders>
              <w:top w:val="single" w:sz="4" w:space="0" w:color="auto"/>
              <w:left w:val="thinThickSmallGap" w:sz="24" w:space="0" w:color="auto"/>
              <w:bottom w:val="thinThickSmallGap" w:sz="24" w:space="0" w:color="auto"/>
              <w:right w:val="thickThinSmallGap" w:sz="24" w:space="0" w:color="auto"/>
            </w:tcBorders>
            <w:shd w:val="clear" w:color="auto" w:fill="auto"/>
            <w:vAlign w:val="bottom"/>
          </w:tcPr>
          <w:p w14:paraId="6113C4EF" w14:textId="77777777" w:rsidR="00F63E61" w:rsidRPr="00BE54F4" w:rsidRDefault="00F63E61" w:rsidP="00D6763C">
            <w:pPr>
              <w:jc w:val="center"/>
              <w:rPr>
                <w:sz w:val="18"/>
                <w:szCs w:val="18"/>
              </w:rPr>
            </w:pPr>
          </w:p>
        </w:tc>
        <w:tc>
          <w:tcPr>
            <w:tcW w:w="1306" w:type="dxa"/>
            <w:gridSpan w:val="2"/>
            <w:tcBorders>
              <w:top w:val="single" w:sz="4" w:space="0" w:color="auto"/>
              <w:left w:val="thinThickSmallGap" w:sz="24" w:space="0" w:color="auto"/>
              <w:bottom w:val="thinThickSmallGap" w:sz="24" w:space="0" w:color="auto"/>
              <w:right w:val="thickThinSmallGap" w:sz="24" w:space="0" w:color="auto"/>
            </w:tcBorders>
            <w:shd w:val="clear" w:color="auto" w:fill="auto"/>
            <w:vAlign w:val="bottom"/>
          </w:tcPr>
          <w:p w14:paraId="4E76E2DC" w14:textId="77777777" w:rsidR="00F63E61" w:rsidRPr="000C47EF" w:rsidRDefault="00F63E61" w:rsidP="00D6763C">
            <w:pPr>
              <w:jc w:val="center"/>
            </w:pPr>
          </w:p>
        </w:tc>
        <w:tc>
          <w:tcPr>
            <w:tcW w:w="1592" w:type="dxa"/>
            <w:tcBorders>
              <w:top w:val="single" w:sz="4" w:space="0" w:color="auto"/>
              <w:left w:val="thinThickSmallGap" w:sz="24" w:space="0" w:color="auto"/>
              <w:bottom w:val="thinThickSmallGap" w:sz="24" w:space="0" w:color="auto"/>
              <w:right w:val="thickThinSmallGap" w:sz="24" w:space="0" w:color="auto"/>
            </w:tcBorders>
            <w:shd w:val="clear" w:color="auto" w:fill="auto"/>
            <w:vAlign w:val="bottom"/>
          </w:tcPr>
          <w:p w14:paraId="41E9EA30" w14:textId="77777777" w:rsidR="00F63E61" w:rsidRPr="000C47EF" w:rsidRDefault="00F63E61" w:rsidP="00D6763C">
            <w:pPr>
              <w:jc w:val="center"/>
            </w:pPr>
          </w:p>
        </w:tc>
      </w:tr>
    </w:tbl>
    <w:p w14:paraId="7343F046" w14:textId="77777777" w:rsidR="00F63E61" w:rsidRDefault="00F63E61" w:rsidP="00F63E61">
      <w:pPr>
        <w:jc w:val="center"/>
      </w:pPr>
    </w:p>
    <w:p w14:paraId="10659A27" w14:textId="77777777" w:rsidR="00F63E61" w:rsidRDefault="00F63E61" w:rsidP="00F63E61">
      <w:pPr>
        <w:rPr>
          <w:b/>
          <w:u w:val="single"/>
        </w:rPr>
      </w:pPr>
    </w:p>
    <w:p w14:paraId="24D7933A" w14:textId="77777777" w:rsidR="00F63E61" w:rsidRPr="007B7A03" w:rsidRDefault="00F63E61" w:rsidP="00F63E61">
      <w:pPr>
        <w:jc w:val="both"/>
        <w:rPr>
          <w:b/>
          <w:sz w:val="28"/>
          <w:szCs w:val="28"/>
        </w:rPr>
      </w:pPr>
      <w:r w:rsidRPr="007B7A03">
        <w:rPr>
          <w:b/>
          <w:iCs/>
          <w:sz w:val="28"/>
          <w:szCs w:val="28"/>
          <w:u w:val="single"/>
        </w:rPr>
        <w:t>Equal Employment Opportunity (EEO)</w:t>
      </w:r>
    </w:p>
    <w:p w14:paraId="7D37CF5D" w14:textId="77777777" w:rsidR="00F63E61" w:rsidRPr="005D2FE0" w:rsidRDefault="00F63E61" w:rsidP="00F63E61">
      <w:pPr>
        <w:jc w:val="both"/>
      </w:pPr>
    </w:p>
    <w:p w14:paraId="611B24EF" w14:textId="77777777" w:rsidR="00F63E61" w:rsidRDefault="00F63E61" w:rsidP="00F63E61">
      <w:pPr>
        <w:numPr>
          <w:ilvl w:val="0"/>
          <w:numId w:val="2"/>
        </w:numPr>
        <w:jc w:val="both"/>
        <w:rPr>
          <w:i/>
          <w:iCs/>
          <w:u w:val="single"/>
        </w:rPr>
      </w:pPr>
      <w:r>
        <w:rPr>
          <w:i/>
          <w:iCs/>
          <w:u w:val="single"/>
        </w:rPr>
        <w:t>REGULATIONS</w:t>
      </w:r>
    </w:p>
    <w:p w14:paraId="6964D24B" w14:textId="77777777" w:rsidR="00F63E61" w:rsidRDefault="00F63E61" w:rsidP="00F63E61">
      <w:pPr>
        <w:ind w:left="720"/>
        <w:jc w:val="both"/>
        <w:rPr>
          <w:i/>
          <w:iCs/>
          <w:u w:val="single"/>
        </w:rPr>
      </w:pPr>
    </w:p>
    <w:p w14:paraId="5BE46F8B" w14:textId="3528393B" w:rsidR="00F63E61" w:rsidRDefault="00F63E61" w:rsidP="00F63E61">
      <w:pPr>
        <w:ind w:left="720"/>
        <w:jc w:val="both"/>
      </w:pPr>
      <w:r>
        <w:t xml:space="preserve">All Federal EEO requirements are applicable to this project, including the provisions of FHWA 1273.  </w:t>
      </w:r>
      <w:r w:rsidR="00D17147">
        <w:t xml:space="preserve">Contracts awarded after October 23, 2023 must include the revised FHWA 1273. </w:t>
      </w:r>
    </w:p>
    <w:p w14:paraId="659821B4" w14:textId="77777777" w:rsidR="00F63E61" w:rsidRDefault="00F63E61" w:rsidP="00F63E61">
      <w:pPr>
        <w:ind w:left="720"/>
        <w:jc w:val="both"/>
      </w:pPr>
    </w:p>
    <w:p w14:paraId="1851DA0C" w14:textId="7F29C5BE" w:rsidR="00F63E61" w:rsidRDefault="00F63E61" w:rsidP="00F63E61">
      <w:pPr>
        <w:rPr>
          <w:i/>
        </w:rPr>
      </w:pPr>
      <w:r w:rsidRPr="00117965">
        <w:rPr>
          <w:bCs/>
          <w:i/>
          <w:iCs/>
        </w:rPr>
        <w:t>NOTE</w:t>
      </w:r>
      <w:r w:rsidRPr="00117965">
        <w:rPr>
          <w:i/>
        </w:rPr>
        <w:t xml:space="preserve">:  All forms listed in this document are available for download at the FDOT website </w:t>
      </w:r>
      <w:hyperlink r:id="rId8" w:history="1">
        <w:r w:rsidR="00047F74" w:rsidRPr="003E1C12">
          <w:rPr>
            <w:i/>
            <w:iCs/>
            <w:color w:val="0000FF"/>
            <w:u w:val="single"/>
          </w:rPr>
          <w:t>Procedural Document Library (fdot.gov)</w:t>
        </w:r>
      </w:hyperlink>
      <w:r>
        <w:rPr>
          <w:i/>
        </w:rPr>
        <w:t xml:space="preserve"> or from the project Compliance Specialist.  Additionally, the Florida Department of Transportation Equal Employment Opportunity Construction Contract Compliance Manual is available online at </w:t>
      </w:r>
      <w:hyperlink r:id="rId9" w:history="1">
        <w:r>
          <w:rPr>
            <w:rStyle w:val="Hyperlink"/>
            <w:i/>
            <w:iCs/>
          </w:rPr>
          <w:t>https://www.fdot.gov/equalopportunity/contractcompliancemanual.shtm</w:t>
        </w:r>
      </w:hyperlink>
      <w:r>
        <w:rPr>
          <w:i/>
        </w:rPr>
        <w:t xml:space="preserve">. </w:t>
      </w:r>
    </w:p>
    <w:p w14:paraId="1726C82B" w14:textId="77777777" w:rsidR="00F63E61" w:rsidRDefault="00F63E61" w:rsidP="00F63E61">
      <w:pPr>
        <w:ind w:left="720"/>
        <w:jc w:val="both"/>
        <w:rPr>
          <w:i/>
          <w:iCs/>
          <w:u w:val="single"/>
        </w:rPr>
      </w:pPr>
    </w:p>
    <w:p w14:paraId="45D9C9E0" w14:textId="77777777" w:rsidR="00F63E61" w:rsidRDefault="00F63E61" w:rsidP="00F63E61">
      <w:pPr>
        <w:numPr>
          <w:ilvl w:val="0"/>
          <w:numId w:val="2"/>
        </w:numPr>
        <w:jc w:val="both"/>
        <w:rPr>
          <w:i/>
          <w:iCs/>
          <w:u w:val="single"/>
        </w:rPr>
      </w:pPr>
      <w:r>
        <w:rPr>
          <w:i/>
          <w:iCs/>
          <w:u w:val="single"/>
        </w:rPr>
        <w:t>COMPANY EEO REQUIREMENTS</w:t>
      </w:r>
    </w:p>
    <w:p w14:paraId="4F226F50" w14:textId="77777777" w:rsidR="00F63E61" w:rsidRDefault="00F63E61" w:rsidP="00F63E61">
      <w:pPr>
        <w:ind w:left="720"/>
        <w:jc w:val="both"/>
        <w:rPr>
          <w:i/>
          <w:iCs/>
          <w:u w:val="single"/>
        </w:rPr>
      </w:pPr>
    </w:p>
    <w:p w14:paraId="77154134" w14:textId="77777777" w:rsidR="00F63E61" w:rsidRPr="00471AF1" w:rsidRDefault="00F63E61" w:rsidP="00F63E61">
      <w:pPr>
        <w:jc w:val="both"/>
        <w:rPr>
          <w:rFonts w:ascii="Arial" w:hAnsi="Arial" w:cs="Arial"/>
          <w:b/>
          <w:color w:val="C45911"/>
        </w:rPr>
      </w:pPr>
      <w:r w:rsidRPr="000F1202">
        <w:rPr>
          <w:rFonts w:ascii="Arial" w:hAnsi="Arial" w:cs="Arial"/>
          <w:b/>
        </w:rPr>
        <w:t>The following EEO/AA requi</w:t>
      </w:r>
      <w:r>
        <w:rPr>
          <w:rFonts w:ascii="Arial" w:hAnsi="Arial" w:cs="Arial"/>
          <w:b/>
        </w:rPr>
        <w:t>rements apply to primes and subcontracts with a contract of $10,000 or more</w:t>
      </w:r>
      <w:r w:rsidRPr="000F1202">
        <w:rPr>
          <w:rFonts w:ascii="Arial" w:hAnsi="Arial" w:cs="Arial"/>
          <w:b/>
        </w:rPr>
        <w:t xml:space="preserve"> on Federally Assisted construction contracts. Contractors have few required data submissions regarding these requirements. Contractors are directed to maintain records evidencing compliance</w:t>
      </w:r>
      <w:r>
        <w:rPr>
          <w:rFonts w:ascii="Arial" w:hAnsi="Arial" w:cs="Arial"/>
          <w:b/>
        </w:rPr>
        <w:t>:</w:t>
      </w:r>
      <w:r w:rsidRPr="00F4447D">
        <w:rPr>
          <w:b/>
          <w:u w:val="single"/>
        </w:rPr>
        <w:t xml:space="preserve"> </w:t>
      </w:r>
      <w:r w:rsidRPr="00471AF1">
        <w:rPr>
          <w:b/>
          <w:color w:val="C45911"/>
          <w:u w:val="single"/>
        </w:rPr>
        <w:t>Construction Contract Compliance Manual section 3.2</w:t>
      </w:r>
    </w:p>
    <w:p w14:paraId="05734C60" w14:textId="77777777" w:rsidR="00F63E61" w:rsidRPr="005D2FE0" w:rsidRDefault="00F63E61" w:rsidP="00F63E61">
      <w:pPr>
        <w:jc w:val="both"/>
      </w:pPr>
    </w:p>
    <w:p w14:paraId="3345A251" w14:textId="77777777" w:rsidR="00F63E61" w:rsidRPr="00117965" w:rsidRDefault="00F63E61" w:rsidP="00F63E61">
      <w:pPr>
        <w:numPr>
          <w:ilvl w:val="1"/>
          <w:numId w:val="2"/>
        </w:numPr>
        <w:spacing w:line="228" w:lineRule="auto"/>
        <w:jc w:val="both"/>
        <w:rPr>
          <w:u w:val="single"/>
        </w:rPr>
      </w:pPr>
      <w:r w:rsidRPr="005D2FE0">
        <w:rPr>
          <w:b/>
        </w:rPr>
        <w:t xml:space="preserve">EEO/AA Policy Plan - </w:t>
      </w:r>
      <w:r w:rsidRPr="005D2FE0">
        <w:t>A company must have a policy and plan established and implemented before the 1</w:t>
      </w:r>
      <w:r w:rsidRPr="005D2FE0">
        <w:rPr>
          <w:vertAlign w:val="superscript"/>
        </w:rPr>
        <w:t>st</w:t>
      </w:r>
      <w:r w:rsidRPr="005D2FE0">
        <w:t xml:space="preserve"> workday of the project and made available upon request.  </w:t>
      </w:r>
      <w:r w:rsidRPr="000D1469">
        <w:rPr>
          <w:b/>
          <w:u w:val="single"/>
        </w:rPr>
        <w:t xml:space="preserve">If a contractor does not have </w:t>
      </w:r>
      <w:r>
        <w:rPr>
          <w:b/>
          <w:u w:val="single"/>
        </w:rPr>
        <w:t xml:space="preserve">one, </w:t>
      </w:r>
      <w:r w:rsidRPr="000D1469">
        <w:rPr>
          <w:b/>
          <w:u w:val="single"/>
        </w:rPr>
        <w:t>procedures &amp; information for implementing a policy can be found in the EEO Construction Contract Compliance Work Book</w:t>
      </w:r>
      <w:r>
        <w:rPr>
          <w:b/>
          <w:u w:val="single"/>
        </w:rPr>
        <w:t xml:space="preserve">/Manual section 3.2 as well </w:t>
      </w:r>
      <w:proofErr w:type="gramStart"/>
      <w:r>
        <w:rPr>
          <w:b/>
          <w:u w:val="single"/>
        </w:rPr>
        <w:t xml:space="preserve">as </w:t>
      </w:r>
      <w:r w:rsidRPr="000D1469">
        <w:rPr>
          <w:b/>
          <w:u w:val="single"/>
        </w:rPr>
        <w:t xml:space="preserve"> on</w:t>
      </w:r>
      <w:proofErr w:type="gramEnd"/>
      <w:r w:rsidRPr="000D1469">
        <w:rPr>
          <w:b/>
          <w:u w:val="single"/>
        </w:rPr>
        <w:t xml:space="preserve"> the Department’s</w:t>
      </w:r>
      <w:r>
        <w:rPr>
          <w:b/>
          <w:u w:val="single"/>
        </w:rPr>
        <w:t xml:space="preserve"> </w:t>
      </w:r>
      <w:r w:rsidRPr="000D1469">
        <w:rPr>
          <w:b/>
          <w:u w:val="single"/>
        </w:rPr>
        <w:t>website</w:t>
      </w:r>
      <w:r>
        <w:rPr>
          <w:b/>
          <w:u w:val="single"/>
        </w:rPr>
        <w:t xml:space="preserve">  at </w:t>
      </w:r>
    </w:p>
    <w:p w14:paraId="1170D40C" w14:textId="77777777" w:rsidR="00F63E61" w:rsidRDefault="00141D93" w:rsidP="00F63E61">
      <w:pPr>
        <w:spacing w:line="228" w:lineRule="auto"/>
        <w:ind w:left="1440"/>
        <w:jc w:val="both"/>
      </w:pPr>
      <w:hyperlink r:id="rId10" w:history="1">
        <w:r w:rsidR="00F63E61">
          <w:rPr>
            <w:rStyle w:val="Hyperlink"/>
            <w:i/>
            <w:iCs/>
          </w:rPr>
          <w:t>https://www.fdot.gov/equalopportunity/contractcompliancemanual.shtm</w:t>
        </w:r>
      </w:hyperlink>
      <w:r w:rsidR="00F63E61">
        <w:t xml:space="preserve"> The Plan must be on the Contractor’s company</w:t>
      </w:r>
      <w:r w:rsidR="00F63E61" w:rsidRPr="00ED7537">
        <w:t xml:space="preserve"> letterhead, signed by a company official, dated and contain </w:t>
      </w:r>
      <w:r w:rsidR="00F63E61">
        <w:t>all elements of an effective EEO/</w:t>
      </w:r>
      <w:r w:rsidR="00F63E61" w:rsidRPr="00ED7537">
        <w:t>AA Plan</w:t>
      </w:r>
      <w:r w:rsidR="00F63E61">
        <w:t>.</w:t>
      </w:r>
    </w:p>
    <w:p w14:paraId="308382F0" w14:textId="77777777" w:rsidR="00F63E61" w:rsidRDefault="00F63E61" w:rsidP="00F63E61">
      <w:pPr>
        <w:spacing w:line="228" w:lineRule="auto"/>
        <w:ind w:left="1440"/>
        <w:jc w:val="both"/>
        <w:rPr>
          <w:u w:val="single"/>
        </w:rPr>
      </w:pPr>
    </w:p>
    <w:p w14:paraId="4042FBF7" w14:textId="77777777" w:rsidR="00F63E61" w:rsidRDefault="00F63E61" w:rsidP="00F63E61">
      <w:pPr>
        <w:spacing w:line="228" w:lineRule="auto"/>
        <w:ind w:left="1440"/>
        <w:jc w:val="both"/>
        <w:rPr>
          <w:u w:val="single"/>
        </w:rPr>
      </w:pPr>
    </w:p>
    <w:p w14:paraId="64C91735" w14:textId="77777777" w:rsidR="00F63E61" w:rsidRDefault="00F63E61" w:rsidP="00F63E61">
      <w:pPr>
        <w:spacing w:line="228" w:lineRule="auto"/>
        <w:ind w:left="1440"/>
        <w:jc w:val="both"/>
        <w:rPr>
          <w:u w:val="single"/>
        </w:rPr>
      </w:pPr>
    </w:p>
    <w:p w14:paraId="118C3C5A" w14:textId="77777777" w:rsidR="00F63E61" w:rsidRDefault="00F63E61" w:rsidP="00F63E61">
      <w:pPr>
        <w:spacing w:line="228" w:lineRule="auto"/>
        <w:ind w:left="1440"/>
        <w:jc w:val="both"/>
        <w:rPr>
          <w:u w:val="single"/>
        </w:rPr>
      </w:pPr>
    </w:p>
    <w:p w14:paraId="4BF3F1FB" w14:textId="77777777" w:rsidR="00F63E61" w:rsidRDefault="00F63E61" w:rsidP="00F63E61">
      <w:pPr>
        <w:spacing w:line="228" w:lineRule="auto"/>
        <w:ind w:left="1440"/>
        <w:jc w:val="both"/>
        <w:rPr>
          <w:u w:val="single"/>
        </w:rPr>
      </w:pPr>
    </w:p>
    <w:p w14:paraId="6897073E" w14:textId="77777777" w:rsidR="00F63E61" w:rsidRDefault="00F63E61" w:rsidP="00F63E61">
      <w:pPr>
        <w:spacing w:line="228" w:lineRule="auto"/>
        <w:ind w:left="1440"/>
        <w:jc w:val="both"/>
        <w:rPr>
          <w:u w:val="single"/>
        </w:rPr>
      </w:pPr>
    </w:p>
    <w:p w14:paraId="04FDC64B" w14:textId="77777777" w:rsidR="00F63E61" w:rsidRDefault="00F63E61" w:rsidP="001B32A8">
      <w:pPr>
        <w:numPr>
          <w:ilvl w:val="1"/>
          <w:numId w:val="2"/>
        </w:numPr>
      </w:pPr>
      <w:r>
        <w:rPr>
          <w:b/>
        </w:rPr>
        <w:t xml:space="preserve">EEO Officer Identification (FDOT Form No. 275-021-13) </w:t>
      </w:r>
      <w:r w:rsidRPr="005D2FE0">
        <w:rPr>
          <w:b/>
        </w:rPr>
        <w:t>-</w:t>
      </w:r>
      <w:r w:rsidRPr="005D2FE0">
        <w:t xml:space="preserve"> The Prime Contractor and subcontractors are required to communicate their EEO Officer’s appointment</w:t>
      </w:r>
      <w:r>
        <w:t xml:space="preserve"> to FDOT in </w:t>
      </w:r>
      <w:r>
        <w:lastRenderedPageBreak/>
        <w:t>writing.  FDOT should be notified of a</w:t>
      </w:r>
      <w:r w:rsidRPr="005D2FE0">
        <w:t>ny changes to officer appointment, officer name or officer contact information</w:t>
      </w:r>
      <w:r>
        <w:t xml:space="preserve">.  Complete Notification of EEO Officer and remit by email submission to FDOT Equal Opportunity Office in Tallahassee at </w:t>
      </w:r>
      <w:r w:rsidRPr="0020355F">
        <w:rPr>
          <w:b/>
          <w:u w:val="single"/>
        </w:rPr>
        <w:t>EEOforms@dot.state.fl.us</w:t>
      </w:r>
      <w:r>
        <w:t xml:space="preserve"> as the form instructs, with a copy provided to the RCS.  EEO Officer Information should also be posted on the project bulletin board.  </w:t>
      </w:r>
      <w:r>
        <w:rPr>
          <w:b/>
        </w:rPr>
        <w:t xml:space="preserve">FDOT Form No. 275-020-28 </w:t>
      </w:r>
      <w:r>
        <w:t>can be used to post multiple EEO Officer names on the bulletin board.</w:t>
      </w:r>
    </w:p>
    <w:p w14:paraId="16ACECE3" w14:textId="77777777" w:rsidR="00F63E61" w:rsidRPr="0061619B" w:rsidRDefault="00F63E61" w:rsidP="00F63E61">
      <w:pPr>
        <w:spacing w:line="228" w:lineRule="auto"/>
        <w:ind w:left="1440"/>
        <w:jc w:val="both"/>
      </w:pPr>
    </w:p>
    <w:p w14:paraId="03087871" w14:textId="77777777" w:rsidR="00F63E61" w:rsidRPr="00471AF1" w:rsidRDefault="00F63E61" w:rsidP="00F63E61">
      <w:pPr>
        <w:numPr>
          <w:ilvl w:val="1"/>
          <w:numId w:val="2"/>
        </w:numPr>
        <w:spacing w:line="228" w:lineRule="auto"/>
        <w:jc w:val="both"/>
        <w:rPr>
          <w:color w:val="C45911"/>
        </w:rPr>
      </w:pPr>
      <w:r w:rsidRPr="005D2FE0">
        <w:rPr>
          <w:b/>
        </w:rPr>
        <w:t>Supervisory &amp; Office Personnel Meeting Minutes</w:t>
      </w:r>
      <w:r>
        <w:rPr>
          <w:b/>
        </w:rPr>
        <w:t xml:space="preserve"> (FDOT Form No. 275-021-05)</w:t>
      </w:r>
      <w:r w:rsidRPr="005D2FE0">
        <w:rPr>
          <w:b/>
        </w:rPr>
        <w:t xml:space="preserve"> </w:t>
      </w:r>
      <w:r>
        <w:rPr>
          <w:b/>
        </w:rPr>
        <w:t>–</w:t>
      </w:r>
      <w:r w:rsidRPr="005D2FE0">
        <w:rPr>
          <w:b/>
          <w:bCs/>
        </w:rPr>
        <w:t xml:space="preserve"> </w:t>
      </w:r>
      <w:r>
        <w:rPr>
          <w:bCs/>
        </w:rPr>
        <w:t xml:space="preserve">The prime contractor, subcontractors, and rental agents must hold a Supervisory and Office Personnel EEO Meeting prior to the first workday.  Subsequent meetings will be conducted at 6-month intervals or if inactive, within 30 days of resuming work.  </w:t>
      </w:r>
      <w:r w:rsidRPr="005D2FE0">
        <w:t>Within 30 days of hire or appointment, supervisory personnel and others involved in personnel matters are to be oriented in the required major topics and a record of that orientation (inclusive of date, top</w:t>
      </w:r>
      <w:r>
        <w:t>ics, etc.) is to be maintained.</w:t>
      </w:r>
      <w:r w:rsidRPr="00F4447D">
        <w:rPr>
          <w:b/>
          <w:u w:val="single"/>
        </w:rPr>
        <w:t xml:space="preserve"> </w:t>
      </w:r>
      <w:r w:rsidRPr="00471AF1">
        <w:rPr>
          <w:b/>
          <w:color w:val="C45911"/>
          <w:u w:val="single"/>
        </w:rPr>
        <w:t>Construction Contract Compliance Manual section 3.3</w:t>
      </w:r>
    </w:p>
    <w:p w14:paraId="77012E76" w14:textId="77777777" w:rsidR="00F63E61" w:rsidRDefault="00F63E61" w:rsidP="00F63E61">
      <w:pPr>
        <w:spacing w:line="228" w:lineRule="auto"/>
        <w:ind w:left="1080"/>
        <w:jc w:val="both"/>
      </w:pPr>
    </w:p>
    <w:p w14:paraId="0360538B" w14:textId="14B49DB2" w:rsidR="00F63E61" w:rsidRDefault="00F63E61" w:rsidP="00F63E61">
      <w:pPr>
        <w:numPr>
          <w:ilvl w:val="1"/>
          <w:numId w:val="2"/>
        </w:numPr>
        <w:spacing w:line="228" w:lineRule="auto"/>
        <w:jc w:val="both"/>
        <w:rPr>
          <w:u w:val="single"/>
        </w:rPr>
      </w:pPr>
      <w:r w:rsidRPr="005D2FE0">
        <w:rPr>
          <w:b/>
        </w:rPr>
        <w:t>EEO Information to Project Personnel</w:t>
      </w:r>
      <w:r>
        <w:rPr>
          <w:b/>
        </w:rPr>
        <w:t xml:space="preserve"> (FDOT Form No. 275-021-06)</w:t>
      </w:r>
      <w:r w:rsidRPr="005D2FE0">
        <w:rPr>
          <w:b/>
        </w:rPr>
        <w:t xml:space="preserve"> - </w:t>
      </w:r>
      <w:r w:rsidRPr="005D2FE0">
        <w:t xml:space="preserve">Contractors are to routinely inform their project employees of their equal employment opportunity civil rights, the contractor’s policies, </w:t>
      </w:r>
      <w:r w:rsidR="001B32A8" w:rsidRPr="005D2FE0">
        <w:t>procedures,</w:t>
      </w:r>
      <w:r w:rsidRPr="005D2FE0">
        <w:t xml:space="preserve"> and various wage/payroll protections.  This information can be presented in meetings or through other appropriate means such as employee handbooks, </w:t>
      </w:r>
      <w:r w:rsidR="001B32A8" w:rsidRPr="005D2FE0">
        <w:t>notices,</w:t>
      </w:r>
      <w:r w:rsidRPr="005D2FE0">
        <w:t xml:space="preserve"> and posters.</w:t>
      </w:r>
      <w:r>
        <w:t xml:space="preserve">  It should be communicated to project personnel before the 1</w:t>
      </w:r>
      <w:r w:rsidRPr="007D3751">
        <w:rPr>
          <w:vertAlign w:val="superscript"/>
        </w:rPr>
        <w:t>st</w:t>
      </w:r>
      <w:r>
        <w:t xml:space="preserve"> day on the project and in at least six-month intervals thereafter.  </w:t>
      </w:r>
      <w:r w:rsidRPr="00471AF1">
        <w:rPr>
          <w:b/>
          <w:color w:val="C45911"/>
          <w:u w:val="single"/>
        </w:rPr>
        <w:t>Construction Contract Compliance Manual section 4.3</w:t>
      </w:r>
      <w:r w:rsidRPr="005D2FE0">
        <w:t xml:space="preserve"> </w:t>
      </w:r>
    </w:p>
    <w:p w14:paraId="2171AA7A" w14:textId="77777777" w:rsidR="00F63E61" w:rsidRPr="00542CAF" w:rsidRDefault="00F63E61" w:rsidP="00F63E61">
      <w:pPr>
        <w:spacing w:line="228" w:lineRule="auto"/>
        <w:ind w:left="1440"/>
        <w:jc w:val="both"/>
        <w:rPr>
          <w:u w:val="single"/>
        </w:rPr>
      </w:pPr>
    </w:p>
    <w:p w14:paraId="20A5DFE4" w14:textId="77777777" w:rsidR="00F63E61" w:rsidRPr="00471AF1" w:rsidRDefault="00F63E61" w:rsidP="001B32A8">
      <w:pPr>
        <w:numPr>
          <w:ilvl w:val="1"/>
          <w:numId w:val="2"/>
        </w:numPr>
        <w:rPr>
          <w:color w:val="C45911"/>
        </w:rPr>
      </w:pPr>
      <w:r w:rsidRPr="0020355F">
        <w:rPr>
          <w:b/>
        </w:rPr>
        <w:t>Contractor’s Company Wide EEO Report (FDOT Form No. 275-021-07)–</w:t>
      </w:r>
      <w:r>
        <w:t xml:space="preserve"> The Prime Contractor shall make available upon request a complete Company Wide EEO Report in the format shown on the Contractor’s Company Wide EEO Report.  </w:t>
      </w:r>
      <w:r w:rsidRPr="00471AF1">
        <w:rPr>
          <w:b/>
          <w:color w:val="C45911"/>
          <w:u w:val="single"/>
        </w:rPr>
        <w:t>Construction Contract Compliance Manual section 3.4</w:t>
      </w:r>
    </w:p>
    <w:p w14:paraId="168AF1F1" w14:textId="77777777" w:rsidR="00F63E61" w:rsidRDefault="00F63E61" w:rsidP="00F63E61">
      <w:pPr>
        <w:ind w:left="1440"/>
        <w:jc w:val="both"/>
      </w:pPr>
    </w:p>
    <w:p w14:paraId="6B70624C" w14:textId="77777777" w:rsidR="00F63E61" w:rsidRDefault="00F63E61" w:rsidP="00F63E61">
      <w:pPr>
        <w:numPr>
          <w:ilvl w:val="0"/>
          <w:numId w:val="2"/>
        </w:numPr>
        <w:jc w:val="both"/>
        <w:rPr>
          <w:i/>
          <w:iCs/>
          <w:u w:val="single"/>
        </w:rPr>
      </w:pPr>
      <w:r>
        <w:rPr>
          <w:i/>
          <w:iCs/>
          <w:u w:val="single"/>
        </w:rPr>
        <w:t>PROJECT EEO REQUIREMENTS</w:t>
      </w:r>
    </w:p>
    <w:p w14:paraId="5177DCD8" w14:textId="77777777" w:rsidR="00F63E61" w:rsidRDefault="00F63E61" w:rsidP="00F63E61">
      <w:pPr>
        <w:ind w:left="720"/>
        <w:jc w:val="both"/>
        <w:rPr>
          <w:i/>
          <w:iCs/>
          <w:u w:val="single"/>
        </w:rPr>
      </w:pPr>
    </w:p>
    <w:p w14:paraId="7E601F36" w14:textId="77777777" w:rsidR="00F63E61" w:rsidRDefault="00F63E61" w:rsidP="00F63E61">
      <w:pPr>
        <w:numPr>
          <w:ilvl w:val="1"/>
          <w:numId w:val="2"/>
        </w:numPr>
        <w:rPr>
          <w:sz w:val="22"/>
          <w:szCs w:val="22"/>
        </w:rPr>
      </w:pPr>
      <w:r w:rsidRPr="0020355F">
        <w:rPr>
          <w:b/>
          <w:bCs/>
        </w:rPr>
        <w:t>Jobsite Bulletin Board</w:t>
      </w:r>
      <w:r w:rsidRPr="005D2FE0">
        <w:t xml:space="preserve"> – </w:t>
      </w:r>
      <w:r w:rsidRPr="0020355F">
        <w:rPr>
          <w:b/>
          <w:u w:val="single"/>
        </w:rPr>
        <w:t>Only one project bulletin board is required and must be in place on or before the first day workers are on the project.</w:t>
      </w:r>
      <w:r>
        <w:t xml:space="preserve">  </w:t>
      </w:r>
      <w:r w:rsidRPr="005D2FE0">
        <w:t xml:space="preserve">The </w:t>
      </w:r>
      <w:r>
        <w:t xml:space="preserve">posting of the following documents is required to be in place on or before workers first appear on the project and must be kept in a presentable manner for the life of the project.  Documents should be made weatherproof and accessible to all FDOT, project personnel and potential applicants.  The documents will remain in place until workers are no longer present on the project.  The following documentation must be posted on the project site and may be retrieved from the Departments Equal Opportunity website and forms library. For forms go to: </w:t>
      </w:r>
      <w:hyperlink r:id="rId11" w:history="1">
        <w:r>
          <w:rPr>
            <w:rStyle w:val="Hyperlink"/>
          </w:rPr>
          <w:t>https://www.fdot.gov/equalopportunity/ccposters.shtm</w:t>
        </w:r>
      </w:hyperlink>
    </w:p>
    <w:p w14:paraId="489A452A" w14:textId="77777777" w:rsidR="00F63E61" w:rsidRDefault="00F63E61" w:rsidP="00F63E61">
      <w:pPr>
        <w:ind w:left="1440"/>
        <w:jc w:val="both"/>
      </w:pPr>
      <w:r>
        <w:t xml:space="preserve">Periodic inspections of the bulletin board will be done to ensure compliance with these requirements.  </w:t>
      </w:r>
      <w:r w:rsidRPr="0020355F">
        <w:rPr>
          <w:b/>
        </w:rPr>
        <w:t xml:space="preserve">FDOT Form No. 275-021-10 ‘Inspection Report for Job Site Bulletin Board’ </w:t>
      </w:r>
      <w:r>
        <w:t>will be used to perform these bulletin board inspections.</w:t>
      </w:r>
    </w:p>
    <w:p w14:paraId="615C417C" w14:textId="77777777" w:rsidR="00F63E61" w:rsidRDefault="00F63E61" w:rsidP="00F63E61">
      <w:pPr>
        <w:ind w:left="1080"/>
        <w:jc w:val="both"/>
      </w:pPr>
    </w:p>
    <w:p w14:paraId="2B491B19" w14:textId="77777777" w:rsidR="00F63E61" w:rsidRDefault="00F63E61" w:rsidP="00F63E61">
      <w:pPr>
        <w:ind w:left="1440"/>
        <w:jc w:val="both"/>
        <w:rPr>
          <w:b/>
          <w:bCs/>
        </w:rPr>
      </w:pPr>
      <w:r>
        <w:rPr>
          <w:b/>
          <w:bCs/>
        </w:rPr>
        <w:t>Project bulletin board location on project site?</w:t>
      </w:r>
    </w:p>
    <w:p w14:paraId="7F2870E8" w14:textId="77777777" w:rsidR="00F63E61" w:rsidRDefault="00F63E61" w:rsidP="00F63E61">
      <w:pPr>
        <w:ind w:left="1440"/>
        <w:jc w:val="both"/>
        <w:rPr>
          <w:b/>
          <w:bCs/>
        </w:rPr>
      </w:pPr>
    </w:p>
    <w:p w14:paraId="4D806832" w14:textId="77777777" w:rsidR="00F63E61" w:rsidRDefault="00F63E61" w:rsidP="00F63E61">
      <w:pPr>
        <w:ind w:left="1440"/>
        <w:jc w:val="both"/>
        <w:rPr>
          <w:b/>
          <w:bCs/>
        </w:rPr>
      </w:pPr>
    </w:p>
    <w:p w14:paraId="522A2001" w14:textId="77777777" w:rsidR="00F63E61" w:rsidRDefault="00F63E61" w:rsidP="00F63E61">
      <w:pPr>
        <w:ind w:left="1440"/>
        <w:jc w:val="both"/>
        <w:rPr>
          <w:b/>
          <w:bCs/>
        </w:rPr>
      </w:pPr>
      <w:r>
        <w:rPr>
          <w:b/>
          <w:bCs/>
        </w:rPr>
        <w:t>The following information should be displayed on the bulletin board.  Each document must be placed directly on the board for viewing.  Documents cannot be stapled together and attached to the board.</w:t>
      </w:r>
    </w:p>
    <w:p w14:paraId="351A9809" w14:textId="77777777" w:rsidR="00F63E61" w:rsidRPr="00471AF1" w:rsidRDefault="00F63E61" w:rsidP="00F63E61">
      <w:pPr>
        <w:ind w:left="2160"/>
        <w:jc w:val="both"/>
        <w:rPr>
          <w:b/>
          <w:color w:val="C45911"/>
          <w:u w:val="single"/>
        </w:rPr>
      </w:pPr>
      <w:r>
        <w:rPr>
          <w:b/>
          <w:color w:val="C45911"/>
          <w:u w:val="single"/>
        </w:rPr>
        <w:t>C</w:t>
      </w:r>
      <w:r w:rsidRPr="00471AF1">
        <w:rPr>
          <w:b/>
          <w:color w:val="C45911"/>
          <w:u w:val="single"/>
        </w:rPr>
        <w:t>onstruction Contract Compliance Manual section 4.2</w:t>
      </w:r>
    </w:p>
    <w:p w14:paraId="58476AA8" w14:textId="77777777" w:rsidR="00F63E61" w:rsidRDefault="00F63E61" w:rsidP="00F63E61">
      <w:pPr>
        <w:ind w:left="1440"/>
        <w:jc w:val="both"/>
        <w:rPr>
          <w:b/>
          <w:bCs/>
        </w:rPr>
      </w:pPr>
    </w:p>
    <w:p w14:paraId="46D3A39F" w14:textId="77777777" w:rsidR="00F63E61" w:rsidRDefault="00F63E61" w:rsidP="00F63E61">
      <w:pPr>
        <w:ind w:left="1080"/>
        <w:jc w:val="both"/>
        <w:rPr>
          <w:b/>
          <w:bCs/>
        </w:rPr>
      </w:pPr>
    </w:p>
    <w:p w14:paraId="4038D684" w14:textId="77777777" w:rsidR="00F63E61" w:rsidRPr="009B45B2" w:rsidRDefault="00F63E61" w:rsidP="00F63E61">
      <w:pPr>
        <w:ind w:left="720" w:firstLine="720"/>
        <w:rPr>
          <w:rFonts w:ascii="Arial" w:hAnsi="Arial" w:cs="Arial"/>
          <w:color w:val="000000"/>
          <w:sz w:val="18"/>
          <w:szCs w:val="18"/>
          <w:lang w:val="en"/>
        </w:rPr>
      </w:pPr>
      <w:r w:rsidRPr="009B45B2">
        <w:rPr>
          <w:rFonts w:ascii="Arial" w:hAnsi="Arial" w:cs="Arial"/>
          <w:b/>
          <w:bCs/>
          <w:color w:val="000000"/>
          <w:sz w:val="18"/>
          <w:szCs w:val="18"/>
          <w:lang w:val="en"/>
        </w:rPr>
        <w:lastRenderedPageBreak/>
        <w:t>POSTERS</w:t>
      </w:r>
      <w:r w:rsidRPr="009B45B2">
        <w:rPr>
          <w:rFonts w:ascii="Arial" w:hAnsi="Arial" w:cs="Arial"/>
          <w:color w:val="000000"/>
          <w:sz w:val="18"/>
          <w:szCs w:val="18"/>
          <w:lang w:val="en"/>
        </w:rPr>
        <w:t xml:space="preserve"> </w:t>
      </w:r>
    </w:p>
    <w:p w14:paraId="006733B6" w14:textId="18303B7F" w:rsidR="00EB6092" w:rsidRPr="00C44980" w:rsidRDefault="00141D93" w:rsidP="003823C9">
      <w:pPr>
        <w:numPr>
          <w:ilvl w:val="0"/>
          <w:numId w:val="6"/>
        </w:numPr>
        <w:tabs>
          <w:tab w:val="num" w:pos="720"/>
        </w:tabs>
        <w:spacing w:before="100" w:beforeAutospacing="1" w:after="100" w:afterAutospacing="1"/>
        <w:rPr>
          <w:rFonts w:ascii="Arial" w:hAnsi="Arial" w:cs="Arial"/>
          <w:color w:val="0070C0"/>
          <w:sz w:val="18"/>
          <w:szCs w:val="18"/>
          <w:lang w:val="en"/>
        </w:rPr>
      </w:pPr>
      <w:hyperlink r:id="rId12" w:history="1">
        <w:r w:rsidR="003823C9" w:rsidRPr="00C44980">
          <w:rPr>
            <w:rStyle w:val="Hyperlink"/>
            <w:rFonts w:ascii="Arial" w:hAnsi="Arial" w:cs="Arial"/>
            <w:color w:val="0070C0"/>
            <w:sz w:val="18"/>
            <w:szCs w:val="18"/>
            <w:u w:val="none"/>
            <w:lang w:val="en"/>
          </w:rPr>
          <w:t>Know Your Rights. English Version</w:t>
        </w:r>
      </w:hyperlink>
    </w:p>
    <w:p w14:paraId="3C33BEA3" w14:textId="657419EE" w:rsidR="00831927" w:rsidRPr="00C44980" w:rsidRDefault="00141D93" w:rsidP="00ED5A45">
      <w:pPr>
        <w:numPr>
          <w:ilvl w:val="0"/>
          <w:numId w:val="6"/>
        </w:numPr>
        <w:tabs>
          <w:tab w:val="num" w:pos="720"/>
        </w:tabs>
        <w:spacing w:before="100" w:beforeAutospacing="1" w:after="100" w:afterAutospacing="1"/>
        <w:rPr>
          <w:rFonts w:ascii="Arial" w:hAnsi="Arial" w:cs="Arial"/>
          <w:color w:val="0070C0"/>
          <w:sz w:val="18"/>
          <w:szCs w:val="18"/>
          <w:lang w:val="en"/>
        </w:rPr>
      </w:pPr>
      <w:hyperlink r:id="rId13" w:history="1">
        <w:r w:rsidR="00831927" w:rsidRPr="00C44980">
          <w:rPr>
            <w:rStyle w:val="Hyperlink"/>
            <w:rFonts w:ascii="Arial" w:hAnsi="Arial" w:cs="Arial"/>
            <w:color w:val="0070C0"/>
            <w:sz w:val="18"/>
            <w:szCs w:val="18"/>
            <w:u w:val="none"/>
            <w:lang w:val="en"/>
          </w:rPr>
          <w:t>Know Your Rights. Spanish Version</w:t>
        </w:r>
      </w:hyperlink>
    </w:p>
    <w:p w14:paraId="697B8D29"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14" w:history="1">
        <w:r w:rsidR="00F63E61" w:rsidRPr="00C44980">
          <w:rPr>
            <w:rFonts w:ascii="Arial" w:hAnsi="Arial" w:cs="Arial"/>
            <w:color w:val="0070C0"/>
            <w:sz w:val="18"/>
            <w:szCs w:val="18"/>
            <w:lang w:val="en"/>
          </w:rPr>
          <w:t>Florida Law Prohibits</w:t>
        </w:r>
      </w:hyperlink>
    </w:p>
    <w:p w14:paraId="43E35E3F"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15" w:tooltip="Employee Rights under Davis Bacon Act" w:history="1">
        <w:r w:rsidR="00F63E61" w:rsidRPr="00C44980">
          <w:rPr>
            <w:rFonts w:ascii="Arial" w:hAnsi="Arial" w:cs="Arial"/>
            <w:color w:val="0070C0"/>
            <w:sz w:val="18"/>
            <w:szCs w:val="18"/>
            <w:lang w:val="en"/>
          </w:rPr>
          <w:t>Employee Rights under Davis Bacon Act</w:t>
        </w:r>
      </w:hyperlink>
    </w:p>
    <w:p w14:paraId="04A37680"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16" w:tooltip="Employee Rights under Davis Bacon Act (Spanish Version)" w:history="1">
        <w:r w:rsidR="00F63E61" w:rsidRPr="00C44980">
          <w:rPr>
            <w:rFonts w:ascii="Arial" w:hAnsi="Arial" w:cs="Arial"/>
            <w:color w:val="0070C0"/>
            <w:sz w:val="18"/>
            <w:szCs w:val="18"/>
            <w:lang w:val="en"/>
          </w:rPr>
          <w:t>Employee Rights under Davis Bacon Act (Spanish Version)</w:t>
        </w:r>
      </w:hyperlink>
    </w:p>
    <w:p w14:paraId="0E05B74A"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17" w:tooltip="Family and Medical Leave Act" w:history="1">
        <w:r w:rsidR="00F63E61" w:rsidRPr="00C44980">
          <w:rPr>
            <w:rFonts w:ascii="Arial" w:hAnsi="Arial" w:cs="Arial"/>
            <w:color w:val="0070C0"/>
            <w:sz w:val="18"/>
            <w:szCs w:val="18"/>
            <w:lang w:val="en"/>
          </w:rPr>
          <w:t>Rights and Responsibilities under the Family Act</w:t>
        </w:r>
      </w:hyperlink>
    </w:p>
    <w:p w14:paraId="0C553A7F"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18" w:tooltip="Family and Medical Leave Act" w:history="1">
        <w:r w:rsidR="00F63E61" w:rsidRPr="00C44980">
          <w:rPr>
            <w:rFonts w:ascii="Arial" w:hAnsi="Arial" w:cs="Arial"/>
            <w:color w:val="0070C0"/>
            <w:sz w:val="18"/>
            <w:szCs w:val="18"/>
            <w:lang w:val="en"/>
          </w:rPr>
          <w:t>Rights and Responsibilities under the Family Act Spanish Version</w:t>
        </w:r>
      </w:hyperlink>
      <w:r w:rsidR="00F63E61" w:rsidRPr="00C44980">
        <w:rPr>
          <w:rFonts w:ascii="Arial" w:hAnsi="Arial" w:cs="Arial"/>
          <w:color w:val="0070C0"/>
          <w:sz w:val="18"/>
          <w:szCs w:val="18"/>
          <w:lang w:val="en"/>
        </w:rPr>
        <w:t xml:space="preserve"> </w:t>
      </w:r>
    </w:p>
    <w:p w14:paraId="3CB1DED9"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19" w:tooltip="Wage Appeals" w:history="1">
        <w:r w:rsidR="00F63E61" w:rsidRPr="00C44980">
          <w:rPr>
            <w:rFonts w:ascii="Arial" w:hAnsi="Arial" w:cs="Arial"/>
            <w:color w:val="0070C0"/>
            <w:sz w:val="18"/>
            <w:szCs w:val="18"/>
            <w:lang w:val="en"/>
          </w:rPr>
          <w:t>Wage Appeals</w:t>
        </w:r>
      </w:hyperlink>
      <w:r w:rsidR="00F63E61" w:rsidRPr="00C44980">
        <w:rPr>
          <w:rFonts w:ascii="Arial" w:hAnsi="Arial" w:cs="Arial"/>
          <w:color w:val="0070C0"/>
          <w:sz w:val="18"/>
          <w:szCs w:val="18"/>
          <w:lang w:val="en"/>
        </w:rPr>
        <w:t xml:space="preserve"> </w:t>
      </w:r>
    </w:p>
    <w:p w14:paraId="0EBEF3F7"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20" w:tooltip="OSHA English" w:history="1">
        <w:r w:rsidR="00F63E61" w:rsidRPr="00C44980">
          <w:rPr>
            <w:rFonts w:ascii="Arial" w:hAnsi="Arial" w:cs="Arial"/>
            <w:color w:val="0070C0"/>
            <w:sz w:val="18"/>
            <w:szCs w:val="18"/>
            <w:lang w:val="en"/>
          </w:rPr>
          <w:t>OSHA Job Safety and Health</w:t>
        </w:r>
      </w:hyperlink>
    </w:p>
    <w:p w14:paraId="4EA208FF" w14:textId="575CCAB2"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21" w:tooltip="OSHA English" w:history="1">
        <w:r w:rsidR="00F63E61" w:rsidRPr="00C44980">
          <w:rPr>
            <w:rFonts w:ascii="Arial" w:hAnsi="Arial" w:cs="Arial"/>
            <w:color w:val="0070C0"/>
            <w:sz w:val="18"/>
            <w:szCs w:val="18"/>
            <w:lang w:val="en"/>
          </w:rPr>
          <w:t>OSHA Job Safety and Health Spanish Version</w:t>
        </w:r>
      </w:hyperlink>
    </w:p>
    <w:p w14:paraId="393FF64E" w14:textId="26F65A51" w:rsidR="00F63E61" w:rsidRPr="00C44980" w:rsidRDefault="00141D93" w:rsidP="000A2FFA">
      <w:pPr>
        <w:numPr>
          <w:ilvl w:val="0"/>
          <w:numId w:val="6"/>
        </w:numPr>
        <w:tabs>
          <w:tab w:val="num" w:pos="720"/>
        </w:tabs>
        <w:spacing w:before="100" w:beforeAutospacing="1" w:after="100" w:afterAutospacing="1"/>
        <w:rPr>
          <w:rFonts w:ascii="Arial" w:hAnsi="Arial" w:cs="Arial"/>
          <w:color w:val="0070C0"/>
          <w:sz w:val="18"/>
          <w:szCs w:val="18"/>
          <w:lang w:val="en"/>
        </w:rPr>
      </w:pPr>
      <w:hyperlink r:id="rId22" w:history="1">
        <w:r w:rsidR="000A2FFA" w:rsidRPr="00C44980">
          <w:rPr>
            <w:rStyle w:val="Hyperlink"/>
            <w:rFonts w:ascii="Arial" w:hAnsi="Arial" w:cs="Arial"/>
            <w:color w:val="0070C0"/>
            <w:sz w:val="18"/>
            <w:szCs w:val="18"/>
            <w:u w:val="none"/>
            <w:lang w:val="en"/>
          </w:rPr>
          <w:t>FHWA Notice</w:t>
        </w:r>
      </w:hyperlink>
    </w:p>
    <w:p w14:paraId="65D8D5BE"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23" w:tgtFrame="_blank" w:tooltip="Polygraph" w:history="1">
        <w:r w:rsidR="00F63E61" w:rsidRPr="00C44980">
          <w:rPr>
            <w:rFonts w:ascii="Arial" w:hAnsi="Arial" w:cs="Arial"/>
            <w:color w:val="0070C0"/>
            <w:sz w:val="18"/>
            <w:szCs w:val="18"/>
            <w:lang w:val="en"/>
          </w:rPr>
          <w:t>Polygraph</w:t>
        </w:r>
      </w:hyperlink>
    </w:p>
    <w:p w14:paraId="4A8CB7D5"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24" w:tgtFrame="_blank" w:tooltip="Polygraph Spanish Version" w:history="1">
        <w:r w:rsidR="00F63E61" w:rsidRPr="00C44980">
          <w:rPr>
            <w:rFonts w:ascii="Arial" w:hAnsi="Arial" w:cs="Arial"/>
            <w:color w:val="0070C0"/>
            <w:sz w:val="18"/>
            <w:szCs w:val="18"/>
            <w:lang w:val="en"/>
          </w:rPr>
          <w:t>Polygraph Spanish Version</w:t>
        </w:r>
      </w:hyperlink>
      <w:r w:rsidR="00F63E61" w:rsidRPr="00C44980">
        <w:rPr>
          <w:rFonts w:ascii="Arial" w:hAnsi="Arial" w:cs="Arial"/>
          <w:color w:val="0070C0"/>
          <w:sz w:val="18"/>
          <w:szCs w:val="18"/>
          <w:lang w:val="en"/>
        </w:rPr>
        <w:t> </w:t>
      </w:r>
    </w:p>
    <w:p w14:paraId="168EDA9A" w14:textId="77777777" w:rsidR="00F63E61" w:rsidRPr="00C44980" w:rsidRDefault="00141D93" w:rsidP="00F63E61">
      <w:pPr>
        <w:numPr>
          <w:ilvl w:val="0"/>
          <w:numId w:val="6"/>
        </w:numPr>
        <w:tabs>
          <w:tab w:val="num" w:pos="720"/>
        </w:tabs>
        <w:spacing w:before="100" w:beforeAutospacing="1" w:after="100" w:afterAutospacing="1"/>
        <w:rPr>
          <w:rFonts w:ascii="Arial" w:hAnsi="Arial" w:cs="Arial"/>
          <w:color w:val="0070C0"/>
          <w:sz w:val="18"/>
          <w:szCs w:val="18"/>
          <w:lang w:val="en"/>
        </w:rPr>
      </w:pPr>
      <w:hyperlink r:id="rId25" w:tgtFrame="_blank" w:history="1">
        <w:r w:rsidR="00F63E61" w:rsidRPr="00C44980">
          <w:rPr>
            <w:rFonts w:ascii="Arial" w:hAnsi="Arial" w:cs="Arial"/>
            <w:color w:val="0070C0"/>
            <w:sz w:val="18"/>
            <w:szCs w:val="18"/>
            <w:lang w:val="en"/>
          </w:rPr>
          <w:t>E-Verify Poster</w:t>
        </w:r>
      </w:hyperlink>
    </w:p>
    <w:p w14:paraId="016501AB" w14:textId="629CE722" w:rsidR="00F63E61" w:rsidRPr="00C44980" w:rsidRDefault="00141D93" w:rsidP="00F63E61">
      <w:pPr>
        <w:numPr>
          <w:ilvl w:val="0"/>
          <w:numId w:val="6"/>
        </w:numPr>
        <w:spacing w:before="100" w:beforeAutospacing="1" w:after="100" w:afterAutospacing="1"/>
        <w:rPr>
          <w:rFonts w:ascii="Arial" w:hAnsi="Arial" w:cs="Arial"/>
          <w:color w:val="0070C0"/>
          <w:sz w:val="18"/>
          <w:szCs w:val="18"/>
          <w:lang w:val="en"/>
        </w:rPr>
      </w:pPr>
      <w:hyperlink r:id="rId26" w:tooltip="Florida Law Prohibits Discrimination (Eng. and Esp.)" w:history="1">
        <w:r w:rsidR="00F63E61" w:rsidRPr="00C44980">
          <w:rPr>
            <w:rFonts w:ascii="Arial" w:hAnsi="Arial" w:cs="Arial"/>
            <w:color w:val="0070C0"/>
            <w:sz w:val="18"/>
            <w:szCs w:val="18"/>
            <w:lang w:val="en"/>
          </w:rPr>
          <w:t>Florida Law Prohibits Discrimination (Eng. and Esp.)</w:t>
        </w:r>
      </w:hyperlink>
    </w:p>
    <w:p w14:paraId="1AFDA7AF" w14:textId="77777777" w:rsidR="00F63E61" w:rsidRDefault="00F63E61" w:rsidP="00F63E61">
      <w:pPr>
        <w:ind w:left="2160"/>
        <w:jc w:val="both"/>
      </w:pPr>
    </w:p>
    <w:p w14:paraId="10169EA6" w14:textId="77777777" w:rsidR="00F63E61" w:rsidRPr="00471AF1" w:rsidRDefault="00F63E61" w:rsidP="00F63E61">
      <w:pPr>
        <w:numPr>
          <w:ilvl w:val="1"/>
          <w:numId w:val="2"/>
        </w:numPr>
        <w:jc w:val="both"/>
        <w:rPr>
          <w:color w:val="C45911"/>
        </w:rPr>
      </w:pPr>
      <w:r>
        <w:rPr>
          <w:b/>
          <w:bCs/>
        </w:rPr>
        <w:t xml:space="preserve">Contractor’s </w:t>
      </w:r>
      <w:r w:rsidRPr="00725A6D">
        <w:rPr>
          <w:b/>
          <w:bCs/>
        </w:rPr>
        <w:t>Annual July EEO Report (</w:t>
      </w:r>
      <w:r>
        <w:rPr>
          <w:b/>
        </w:rPr>
        <w:t>FDOT</w:t>
      </w:r>
      <w:r w:rsidRPr="00725A6D">
        <w:rPr>
          <w:b/>
          <w:bCs/>
        </w:rPr>
        <w:t xml:space="preserve"> Form No. 275-021-08)</w:t>
      </w:r>
      <w:r w:rsidRPr="00725A6D">
        <w:t xml:space="preserve"> – The purpose of this report is to accumulate total employment on all federal aid highway projects in </w:t>
      </w:r>
      <w:smartTag w:uri="urn:schemas-microsoft-com:office:smarttags" w:element="State">
        <w:smartTag w:uri="urn:schemas-microsoft-com:office:smarttags" w:element="place">
          <w:r w:rsidRPr="00725A6D">
            <w:t>Florida</w:t>
          </w:r>
        </w:smartTag>
      </w:smartTag>
      <w:r w:rsidRPr="00725A6D">
        <w:t xml:space="preserve"> as of July 31</w:t>
      </w:r>
      <w:r w:rsidRPr="00725A6D">
        <w:rPr>
          <w:vertAlign w:val="superscript"/>
        </w:rPr>
        <w:t>st</w:t>
      </w:r>
      <w:r w:rsidRPr="00725A6D">
        <w:t>.  All full-time and part-time employees employed on the specific federal aid project (FAP) during the last “FULL” pay period in July must be accounted for by sex and race for each of the 15 job categories.  This report is due to the FDOT by August 20</w:t>
      </w:r>
      <w:r w:rsidRPr="00725A6D">
        <w:rPr>
          <w:vertAlign w:val="superscript"/>
        </w:rPr>
        <w:t>th</w:t>
      </w:r>
      <w:r w:rsidRPr="00725A6D">
        <w:t xml:space="preserve">.  Submit this report to the </w:t>
      </w:r>
      <w:r>
        <w:t>RCS</w:t>
      </w:r>
      <w:r w:rsidRPr="00725A6D">
        <w:t xml:space="preserve"> who will then forward to FDOT.</w:t>
      </w:r>
      <w:r>
        <w:t xml:space="preserve">  Each Contractor and Subcontractor with contracts &gt; $10,000 should report project this project information. </w:t>
      </w:r>
      <w:r w:rsidRPr="00471AF1">
        <w:rPr>
          <w:b/>
          <w:color w:val="C45911"/>
          <w:u w:val="single"/>
        </w:rPr>
        <w:t>Construction Contract Compliance Manual section 4.4</w:t>
      </w:r>
    </w:p>
    <w:p w14:paraId="4ED0FC84" w14:textId="77777777" w:rsidR="00F63E61" w:rsidRDefault="00F63E61" w:rsidP="00F63E61">
      <w:pPr>
        <w:spacing w:line="228" w:lineRule="auto"/>
        <w:ind w:left="1080"/>
        <w:jc w:val="both"/>
      </w:pPr>
    </w:p>
    <w:p w14:paraId="42742A9C" w14:textId="77777777" w:rsidR="00F63E61" w:rsidRDefault="00F63E61" w:rsidP="00F63E61">
      <w:pPr>
        <w:jc w:val="both"/>
        <w:rPr>
          <w:i/>
          <w:iCs/>
          <w:u w:val="single"/>
        </w:rPr>
      </w:pPr>
      <w:r>
        <w:rPr>
          <w:i/>
          <w:iCs/>
          <w:u w:val="single"/>
        </w:rPr>
        <w:t>ON-THE-JOB TRAINING REQUIREMENTS</w:t>
      </w:r>
    </w:p>
    <w:p w14:paraId="7D936BF3" w14:textId="77777777" w:rsidR="00F63E61" w:rsidRDefault="00F63E61" w:rsidP="00F63E61">
      <w:pPr>
        <w:ind w:left="720"/>
        <w:jc w:val="both"/>
      </w:pPr>
    </w:p>
    <w:p w14:paraId="1BA13BD8" w14:textId="77777777" w:rsidR="00F63E61" w:rsidRDefault="00F63E61" w:rsidP="00F63E61">
      <w:pPr>
        <w:ind w:left="720"/>
        <w:jc w:val="both"/>
      </w:pPr>
      <w:r w:rsidRPr="008674F2">
        <w:t xml:space="preserve">On-The-Job (OJT) Training Requirements </w:t>
      </w:r>
      <w:r>
        <w:t xml:space="preserve">are </w:t>
      </w:r>
      <w:r w:rsidRPr="008674F2">
        <w:t>applicable</w:t>
      </w:r>
      <w:r>
        <w:t xml:space="preserve"> to this project.  </w:t>
      </w:r>
    </w:p>
    <w:p w14:paraId="13819CF9" w14:textId="77777777" w:rsidR="00F63E61" w:rsidRDefault="00F63E61" w:rsidP="00F63E61">
      <w:pPr>
        <w:autoSpaceDE w:val="0"/>
        <w:autoSpaceDN w:val="0"/>
        <w:ind w:left="720"/>
        <w:rPr>
          <w:b/>
          <w:color w:val="C45911"/>
          <w:u w:val="single"/>
        </w:rPr>
      </w:pPr>
      <w:r>
        <w:t xml:space="preserve">Based on the Contract days and Contract amount, </w:t>
      </w:r>
      <w:r>
        <w:rPr>
          <w:u w:val="single"/>
        </w:rPr>
        <w:t xml:space="preserve">_________  </w:t>
      </w:r>
      <w:r>
        <w:t xml:space="preserve"> trainees are required on this project. A </w:t>
      </w:r>
      <w:r>
        <w:rPr>
          <w:i/>
        </w:rPr>
        <w:t xml:space="preserve">(Trainee Evaluation Meeting) TEM </w:t>
      </w:r>
      <w:r>
        <w:t xml:space="preserve">will be scheduled to finalize the required number of trainees for the project, identify training classifications, develop proficiencies to be performed for graduation, and establish the initial OJT schedule.  </w:t>
      </w:r>
      <w:r w:rsidRPr="00471AF1">
        <w:rPr>
          <w:b/>
          <w:color w:val="C45911"/>
          <w:u w:val="single"/>
        </w:rPr>
        <w:t xml:space="preserve">Construction Contract Compliance Manual </w:t>
      </w:r>
      <w:r>
        <w:rPr>
          <w:b/>
          <w:color w:val="C45911"/>
          <w:u w:val="single"/>
        </w:rPr>
        <w:t>Chapter 5</w:t>
      </w:r>
      <w:r w:rsidRPr="00471AF1">
        <w:rPr>
          <w:b/>
          <w:color w:val="C45911"/>
          <w:u w:val="single"/>
        </w:rPr>
        <w:t xml:space="preserve"> </w:t>
      </w:r>
    </w:p>
    <w:p w14:paraId="6E6FA537" w14:textId="77777777" w:rsidR="00F63E61" w:rsidRDefault="00F63E61" w:rsidP="00F63E61">
      <w:pPr>
        <w:autoSpaceDE w:val="0"/>
        <w:autoSpaceDN w:val="0"/>
        <w:ind w:left="720"/>
        <w:rPr>
          <w:b/>
          <w:color w:val="C45911"/>
          <w:u w:val="single"/>
        </w:rPr>
      </w:pPr>
    </w:p>
    <w:p w14:paraId="4C2227FD" w14:textId="77777777" w:rsidR="00F63E61" w:rsidRDefault="00F63E61" w:rsidP="00F63E61">
      <w:pPr>
        <w:numPr>
          <w:ilvl w:val="0"/>
          <w:numId w:val="2"/>
        </w:numPr>
        <w:jc w:val="both"/>
        <w:rPr>
          <w:i/>
          <w:iCs/>
          <w:u w:val="single"/>
        </w:rPr>
      </w:pPr>
      <w:r>
        <w:rPr>
          <w:i/>
          <w:iCs/>
          <w:u w:val="single"/>
        </w:rPr>
        <w:t>PAYROLL AND WAGE REQUIREMENTS</w:t>
      </w:r>
    </w:p>
    <w:p w14:paraId="5564FC3C" w14:textId="77777777" w:rsidR="00F63E61" w:rsidRDefault="00F63E61" w:rsidP="00F63E61">
      <w:pPr>
        <w:ind w:left="720"/>
        <w:jc w:val="both"/>
        <w:rPr>
          <w:iCs/>
        </w:rPr>
      </w:pPr>
    </w:p>
    <w:p w14:paraId="1E2D7625" w14:textId="3BB5B5A3" w:rsidR="00F63E61" w:rsidRDefault="00F63E61" w:rsidP="00F63E61">
      <w:pPr>
        <w:ind w:left="720"/>
        <w:jc w:val="both"/>
        <w:rPr>
          <w:iCs/>
        </w:rPr>
      </w:pPr>
      <w:r w:rsidRPr="004B5B2A">
        <w:rPr>
          <w:iCs/>
        </w:rPr>
        <w:t xml:space="preserve">These requirements are applicable to all </w:t>
      </w:r>
      <w:r w:rsidR="001B32A8" w:rsidRPr="004B5B2A">
        <w:rPr>
          <w:iCs/>
        </w:rPr>
        <w:t>sub-contractors</w:t>
      </w:r>
      <w:r>
        <w:rPr>
          <w:iCs/>
        </w:rPr>
        <w:t xml:space="preserve">, </w:t>
      </w:r>
      <w:r w:rsidRPr="004B5B2A">
        <w:rPr>
          <w:iCs/>
        </w:rPr>
        <w:t>rental agreements w/ operator</w:t>
      </w:r>
      <w:r>
        <w:rPr>
          <w:iCs/>
        </w:rPr>
        <w:t>, and temporary employment agencies regardless of the subcontract dollar amount</w:t>
      </w:r>
      <w:r w:rsidRPr="004B5B2A">
        <w:rPr>
          <w:iCs/>
        </w:rPr>
        <w:t>.</w:t>
      </w:r>
    </w:p>
    <w:p w14:paraId="511A35F1" w14:textId="77777777" w:rsidR="00F63E61" w:rsidRDefault="00F63E61" w:rsidP="00F63E61">
      <w:pPr>
        <w:ind w:left="720"/>
        <w:jc w:val="both"/>
        <w:rPr>
          <w:iCs/>
        </w:rPr>
      </w:pPr>
    </w:p>
    <w:p w14:paraId="759449D8" w14:textId="77777777" w:rsidR="00F63E61" w:rsidRPr="001B32A8" w:rsidRDefault="00F63E61" w:rsidP="00F63E61">
      <w:pPr>
        <w:numPr>
          <w:ilvl w:val="1"/>
          <w:numId w:val="2"/>
        </w:numPr>
        <w:spacing w:line="228" w:lineRule="auto"/>
        <w:jc w:val="both"/>
        <w:rPr>
          <w:iCs/>
        </w:rPr>
      </w:pPr>
      <w:r w:rsidRPr="00725A6D">
        <w:rPr>
          <w:b/>
          <w:bCs/>
        </w:rPr>
        <w:t>Certified Weekly Payrolls (</w:t>
      </w:r>
      <w:r>
        <w:rPr>
          <w:b/>
        </w:rPr>
        <w:t>FDOT</w:t>
      </w:r>
      <w:r w:rsidRPr="00725A6D">
        <w:rPr>
          <w:b/>
          <w:bCs/>
        </w:rPr>
        <w:t xml:space="preserve"> Form </w:t>
      </w:r>
      <w:r>
        <w:rPr>
          <w:b/>
          <w:bCs/>
        </w:rPr>
        <w:t xml:space="preserve">No. </w:t>
      </w:r>
      <w:r w:rsidRPr="00725A6D">
        <w:rPr>
          <w:b/>
          <w:bCs/>
        </w:rPr>
        <w:t>700-010-69) –</w:t>
      </w:r>
      <w:r w:rsidRPr="00725A6D">
        <w:t xml:space="preserve"> Each </w:t>
      </w:r>
      <w:r w:rsidRPr="00927378">
        <w:rPr>
          <w:u w:val="single"/>
        </w:rPr>
        <w:t>contractor</w:t>
      </w:r>
      <w:r w:rsidRPr="00725A6D">
        <w:t xml:space="preserve"> and </w:t>
      </w:r>
      <w:r w:rsidRPr="00927378">
        <w:rPr>
          <w:u w:val="single"/>
        </w:rPr>
        <w:t>subcontractor</w:t>
      </w:r>
      <w:r w:rsidRPr="00725A6D">
        <w:t xml:space="preserve"> shall furnish certified payroll weekly</w:t>
      </w:r>
      <w:r>
        <w:t xml:space="preserve"> using FDOT Form</w:t>
      </w:r>
      <w:r w:rsidRPr="00725A6D">
        <w:t xml:space="preserve"> 700-010-69.</w:t>
      </w:r>
      <w:r>
        <w:t xml:space="preserve">  </w:t>
      </w:r>
      <w:r w:rsidRPr="001B32A8">
        <w:rPr>
          <w:iCs/>
          <w:sz w:val="22"/>
          <w:szCs w:val="22"/>
        </w:rPr>
        <w:t>FDOT will accept the submission of certified payrolls electronically.  Contractors’ certified payrolls may be received by Resident Compliance Specialist via email.  The certified payrolls must be legible.</w:t>
      </w:r>
      <w:r w:rsidRPr="001B32A8">
        <w:rPr>
          <w:rFonts w:ascii="Century Gothic" w:hAnsi="Century Gothic"/>
          <w:b/>
          <w:iCs/>
          <w:sz w:val="22"/>
          <w:szCs w:val="22"/>
        </w:rPr>
        <w:t xml:space="preserve">  </w:t>
      </w:r>
    </w:p>
    <w:p w14:paraId="54E1E7DE" w14:textId="77777777" w:rsidR="00F63E61" w:rsidRDefault="00F63E61" w:rsidP="00F63E61">
      <w:pPr>
        <w:spacing w:line="228" w:lineRule="auto"/>
        <w:ind w:left="1440"/>
        <w:jc w:val="both"/>
      </w:pPr>
      <w:r>
        <w:t>Foreman and Supervisors are not required to be reported unless considered “Working Foreman” (performing skilled labor &gt;20% of time).</w:t>
      </w:r>
      <w:r w:rsidRPr="00725A6D">
        <w:t xml:space="preserve">  </w:t>
      </w:r>
    </w:p>
    <w:p w14:paraId="798907FC" w14:textId="77777777" w:rsidR="00F63E61" w:rsidRDefault="00F63E61" w:rsidP="00F63E61">
      <w:pPr>
        <w:spacing w:line="228" w:lineRule="auto"/>
        <w:ind w:left="1440"/>
        <w:jc w:val="both"/>
      </w:pPr>
    </w:p>
    <w:p w14:paraId="190454AC" w14:textId="77777777" w:rsidR="00F63E61" w:rsidRDefault="00F63E61" w:rsidP="00F63E61">
      <w:pPr>
        <w:spacing w:line="228" w:lineRule="auto"/>
        <w:ind w:left="1440"/>
        <w:jc w:val="both"/>
      </w:pPr>
      <w:r>
        <w:t xml:space="preserve">(a) </w:t>
      </w:r>
      <w:r w:rsidRPr="00725A6D">
        <w:t>This form</w:t>
      </w:r>
      <w:r>
        <w:t xml:space="preserve"> has two required parts: </w:t>
      </w:r>
    </w:p>
    <w:p w14:paraId="5631035B" w14:textId="77777777" w:rsidR="00F63E61" w:rsidRDefault="00F63E61" w:rsidP="00F63E61">
      <w:pPr>
        <w:spacing w:line="228" w:lineRule="auto"/>
        <w:ind w:left="2160"/>
        <w:jc w:val="both"/>
      </w:pPr>
    </w:p>
    <w:p w14:paraId="315A8EBB" w14:textId="77777777" w:rsidR="00F63E61" w:rsidRDefault="00F63E61" w:rsidP="00F63E61">
      <w:pPr>
        <w:spacing w:line="228" w:lineRule="auto"/>
        <w:ind w:left="2160"/>
        <w:jc w:val="both"/>
      </w:pPr>
      <w:r>
        <w:t>(1) Statement of C</w:t>
      </w:r>
      <w:r w:rsidRPr="00725A6D">
        <w:t xml:space="preserve">ompliance </w:t>
      </w:r>
      <w:r>
        <w:t>- which includes a</w:t>
      </w:r>
      <w:r w:rsidRPr="00725A6D">
        <w:t xml:space="preserve"> signature of the contractor or their agent who pays or supervises the payment of the persons employed u</w:t>
      </w:r>
      <w:r>
        <w:t>nder the contract.</w:t>
      </w:r>
    </w:p>
    <w:p w14:paraId="7A225926" w14:textId="77777777" w:rsidR="00F63E61" w:rsidRDefault="00F63E61" w:rsidP="00F63E61">
      <w:pPr>
        <w:spacing w:line="228" w:lineRule="auto"/>
        <w:ind w:left="2160"/>
        <w:jc w:val="both"/>
      </w:pPr>
    </w:p>
    <w:p w14:paraId="12C2F002" w14:textId="77777777" w:rsidR="00F63E61" w:rsidRDefault="00F63E61" w:rsidP="00F63E61">
      <w:pPr>
        <w:spacing w:line="228" w:lineRule="auto"/>
        <w:ind w:left="2160"/>
        <w:jc w:val="both"/>
      </w:pPr>
      <w:r>
        <w:t>(2) Wage and Hour R</w:t>
      </w:r>
      <w:r w:rsidRPr="00725A6D">
        <w:t>ecord</w:t>
      </w:r>
      <w:r>
        <w:t xml:space="preserve"> – actual payroll record</w:t>
      </w:r>
      <w:r w:rsidRPr="00725A6D">
        <w:t>.</w:t>
      </w:r>
    </w:p>
    <w:p w14:paraId="5B7E311A" w14:textId="77777777" w:rsidR="00F63E61" w:rsidRDefault="00F63E61" w:rsidP="00F63E61">
      <w:pPr>
        <w:spacing w:line="228" w:lineRule="auto"/>
        <w:ind w:left="2160"/>
        <w:jc w:val="both"/>
      </w:pPr>
    </w:p>
    <w:p w14:paraId="132E8B03" w14:textId="77777777" w:rsidR="00F63E61" w:rsidRDefault="00F63E61" w:rsidP="00F63E61">
      <w:pPr>
        <w:spacing w:line="228" w:lineRule="auto"/>
        <w:ind w:left="1440"/>
        <w:jc w:val="both"/>
      </w:pPr>
      <w:r>
        <w:t xml:space="preserve">(b) </w:t>
      </w:r>
      <w:r w:rsidRPr="00B46B16">
        <w:rPr>
          <w:b/>
        </w:rPr>
        <w:t>Subcontractor Payrolls</w:t>
      </w:r>
      <w:r>
        <w:t xml:space="preserve"> - </w:t>
      </w:r>
      <w:r w:rsidRPr="00725A6D">
        <w:t>The contractor is responsible for the submission of certified payrolls by all subcontractors.</w:t>
      </w:r>
    </w:p>
    <w:p w14:paraId="7B97C063" w14:textId="77777777" w:rsidR="00F63E61" w:rsidRDefault="00F63E61" w:rsidP="00F63E61">
      <w:pPr>
        <w:spacing w:line="228" w:lineRule="auto"/>
        <w:ind w:left="1440"/>
        <w:jc w:val="both"/>
      </w:pPr>
      <w:r w:rsidRPr="00725A6D">
        <w:t xml:space="preserve">  </w:t>
      </w:r>
    </w:p>
    <w:p w14:paraId="07BC8F0D" w14:textId="77777777" w:rsidR="00F63E61" w:rsidRDefault="00F63E61" w:rsidP="00F63E61">
      <w:pPr>
        <w:spacing w:line="228" w:lineRule="auto"/>
        <w:ind w:left="1440"/>
        <w:jc w:val="both"/>
      </w:pPr>
      <w:r w:rsidRPr="008674F2">
        <w:t xml:space="preserve">(C) </w:t>
      </w:r>
      <w:r w:rsidRPr="008674F2">
        <w:rPr>
          <w:b/>
        </w:rPr>
        <w:t>Due Date</w:t>
      </w:r>
      <w:r w:rsidRPr="008674F2">
        <w:t xml:space="preserve"> - The certified payroll is due to the </w:t>
      </w:r>
      <w:r>
        <w:t>RCS</w:t>
      </w:r>
      <w:r w:rsidRPr="008674F2">
        <w:t xml:space="preserve"> within seven (7) calendar days from regular payment date.  </w:t>
      </w:r>
    </w:p>
    <w:p w14:paraId="67C8AD94" w14:textId="77777777" w:rsidR="00F63E61" w:rsidRDefault="00F63E61" w:rsidP="00F63E61">
      <w:pPr>
        <w:spacing w:line="228" w:lineRule="auto"/>
        <w:ind w:left="1440"/>
        <w:jc w:val="both"/>
      </w:pPr>
      <w:r w:rsidRPr="00725A6D">
        <w:t xml:space="preserve">  </w:t>
      </w:r>
    </w:p>
    <w:p w14:paraId="18B7E806" w14:textId="77777777" w:rsidR="00F63E61" w:rsidRDefault="00F63E61" w:rsidP="00F63E61">
      <w:pPr>
        <w:spacing w:line="228" w:lineRule="auto"/>
        <w:ind w:left="1440"/>
        <w:jc w:val="both"/>
      </w:pPr>
      <w:r>
        <w:t xml:space="preserve">(d) </w:t>
      </w:r>
      <w:r w:rsidRPr="00B46B16">
        <w:rPr>
          <w:b/>
        </w:rPr>
        <w:t>Race and Sex Annotation</w:t>
      </w:r>
      <w:r>
        <w:t xml:space="preserve"> - </w:t>
      </w:r>
      <w:r w:rsidRPr="002D068A">
        <w:t>FDOT additionally would like to have the race and gender annotated on the payroll records. See Table 6.5.2 for race and gender abbreviations. However, if race and gender are not provided on the payroll, then the contractor shall maintain records that document the race and gender of every covered worker and shall provide them upon request to the Department.</w:t>
      </w:r>
    </w:p>
    <w:p w14:paraId="624CFF2D" w14:textId="77777777" w:rsidR="00F63E61" w:rsidRDefault="00F63E61" w:rsidP="00F63E61">
      <w:pPr>
        <w:spacing w:line="228" w:lineRule="auto"/>
        <w:ind w:left="1440"/>
        <w:jc w:val="both"/>
      </w:pPr>
      <w:r w:rsidRPr="00725A6D">
        <w:t xml:space="preserve">  </w:t>
      </w:r>
    </w:p>
    <w:p w14:paraId="3EE648C0" w14:textId="56E8711E" w:rsidR="00F63E61" w:rsidRPr="00471AF1" w:rsidRDefault="00F63E61" w:rsidP="00F63E61">
      <w:pPr>
        <w:spacing w:line="228" w:lineRule="auto"/>
        <w:ind w:left="1440"/>
        <w:jc w:val="both"/>
        <w:rPr>
          <w:b/>
          <w:color w:val="C45911"/>
          <w:u w:val="single"/>
        </w:rPr>
      </w:pPr>
      <w:r w:rsidRPr="008674F2">
        <w:t xml:space="preserve">(e) </w:t>
      </w:r>
      <w:r w:rsidRPr="008674F2">
        <w:rPr>
          <w:b/>
        </w:rPr>
        <w:t>Wage Decision</w:t>
      </w:r>
      <w:r w:rsidRPr="008674F2">
        <w:t xml:space="preserve"> - All submitted wage classifications should be in accordance with the applicable Federal Wage </w:t>
      </w:r>
      <w:r w:rsidRPr="008674F2">
        <w:rPr>
          <w:color w:val="000000"/>
        </w:rPr>
        <w:t>Decision</w:t>
      </w:r>
      <w:r>
        <w:rPr>
          <w:color w:val="000000"/>
        </w:rPr>
        <w:t xml:space="preserve">  </w:t>
      </w:r>
      <w:r w:rsidR="001B32A8">
        <w:rPr>
          <w:color w:val="000000"/>
        </w:rPr>
        <w:t>_______</w:t>
      </w:r>
      <w:r w:rsidRPr="008674F2">
        <w:rPr>
          <w:color w:val="000000"/>
        </w:rPr>
        <w:t xml:space="preserve"> for this</w:t>
      </w:r>
      <w:r w:rsidRPr="00725A6D">
        <w:t xml:space="preserve"> project.  </w:t>
      </w:r>
      <w:r>
        <w:t xml:space="preserve"> </w:t>
      </w:r>
      <w:r w:rsidRPr="00471AF1">
        <w:rPr>
          <w:b/>
          <w:color w:val="C45911"/>
          <w:u w:val="single"/>
        </w:rPr>
        <w:t>Construction Contract Compliance Manual section 6.5</w:t>
      </w:r>
      <w:r>
        <w:rPr>
          <w:b/>
          <w:color w:val="C45911"/>
          <w:u w:val="single"/>
        </w:rPr>
        <w:t xml:space="preserve">           </w:t>
      </w:r>
    </w:p>
    <w:p w14:paraId="2381BAB4" w14:textId="77777777" w:rsidR="00F63E61" w:rsidRDefault="00F63E61" w:rsidP="00F63E61">
      <w:pPr>
        <w:tabs>
          <w:tab w:val="left" w:pos="3585"/>
        </w:tabs>
      </w:pPr>
    </w:p>
    <w:p w14:paraId="42E453C6" w14:textId="77777777" w:rsidR="00F63E61" w:rsidRPr="009826A3" w:rsidRDefault="00F63E61" w:rsidP="009826A3">
      <w:r>
        <w:t xml:space="preserve">                      </w:t>
      </w:r>
      <w:r w:rsidRPr="009826A3">
        <w:t xml:space="preserve">(g) </w:t>
      </w:r>
      <w:r w:rsidRPr="009826A3">
        <w:rPr>
          <w:b/>
        </w:rPr>
        <w:t>Additional Wage Classifications</w:t>
      </w:r>
      <w:r w:rsidRPr="009826A3">
        <w:t xml:space="preserve"> - Beginning Monday, October 12, 2015, the Florida</w:t>
      </w:r>
    </w:p>
    <w:p w14:paraId="4C6E983D" w14:textId="77777777" w:rsidR="00F63E61" w:rsidRPr="009826A3" w:rsidRDefault="00F63E61" w:rsidP="009826A3">
      <w:r w:rsidRPr="009826A3">
        <w:t xml:space="preserve">                      Department of Transportation has launched a new process for the submittal of additional </w:t>
      </w:r>
    </w:p>
    <w:p w14:paraId="49D336AC" w14:textId="77777777" w:rsidR="00F63E61" w:rsidRPr="009826A3" w:rsidRDefault="00F63E61" w:rsidP="009826A3">
      <w:r w:rsidRPr="009826A3">
        <w:t xml:space="preserve">                      wage classification requests. The Classification Request Manager is a new system that</w:t>
      </w:r>
    </w:p>
    <w:p w14:paraId="46E54E82" w14:textId="77777777" w:rsidR="00F63E61" w:rsidRPr="009826A3" w:rsidRDefault="00F63E61" w:rsidP="009826A3">
      <w:r w:rsidRPr="009826A3">
        <w:t xml:space="preserve">                      will allow for classification request to be submitted through a web site, this process will</w:t>
      </w:r>
    </w:p>
    <w:p w14:paraId="6601ABE3" w14:textId="77777777" w:rsidR="00F63E61" w:rsidRPr="009826A3" w:rsidRDefault="00F63E61" w:rsidP="009826A3">
      <w:r w:rsidRPr="009826A3">
        <w:t xml:space="preserve">                      greatly expedited request(s) and allow Prime contractors to closely monitor the status of </w:t>
      </w:r>
    </w:p>
    <w:p w14:paraId="692C1B6C" w14:textId="77777777" w:rsidR="00F63E61" w:rsidRPr="009826A3" w:rsidRDefault="00F63E61" w:rsidP="009826A3">
      <w:r w:rsidRPr="009826A3">
        <w:t xml:space="preserve">                      their request(s).  Prime contractors are still responsible for the submittal of additional </w:t>
      </w:r>
    </w:p>
    <w:p w14:paraId="5C24F704" w14:textId="77777777" w:rsidR="00F63E61" w:rsidRPr="009826A3" w:rsidRDefault="00F63E61" w:rsidP="009826A3">
      <w:pPr>
        <w:rPr>
          <w:iCs/>
        </w:rPr>
      </w:pPr>
      <w:r w:rsidRPr="009826A3">
        <w:t xml:space="preserve">                      wage requests for their firm and for their subcontractor(s). </w:t>
      </w:r>
      <w:r w:rsidRPr="009826A3">
        <w:rPr>
          <w:iCs/>
        </w:rPr>
        <w:t xml:space="preserve">In order for the Prime </w:t>
      </w:r>
    </w:p>
    <w:p w14:paraId="11254D2A" w14:textId="77777777" w:rsidR="00F63E61" w:rsidRPr="009826A3" w:rsidRDefault="00F63E61" w:rsidP="009826A3">
      <w:pPr>
        <w:rPr>
          <w:iCs/>
        </w:rPr>
      </w:pPr>
      <w:r w:rsidRPr="009826A3">
        <w:rPr>
          <w:iCs/>
        </w:rPr>
        <w:t xml:space="preserve">                      contractor to access the system they must first have an Internet Subscriber Account (ISA);</w:t>
      </w:r>
    </w:p>
    <w:p w14:paraId="5F0E0FA2" w14:textId="77777777" w:rsidR="00F63E61" w:rsidRPr="009826A3" w:rsidRDefault="00F63E61" w:rsidP="009826A3">
      <w:pPr>
        <w:rPr>
          <w:iCs/>
        </w:rPr>
      </w:pPr>
      <w:r w:rsidRPr="009826A3">
        <w:rPr>
          <w:iCs/>
        </w:rPr>
        <w:t xml:space="preserve">                      the process for acquiring an ISA account and logging on to the system for the first time is </w:t>
      </w:r>
    </w:p>
    <w:p w14:paraId="397AAFB7" w14:textId="77777777" w:rsidR="00F63E61" w:rsidRPr="009826A3" w:rsidRDefault="00F63E61" w:rsidP="009826A3">
      <w:pPr>
        <w:rPr>
          <w:iCs/>
        </w:rPr>
      </w:pPr>
      <w:r w:rsidRPr="009826A3">
        <w:rPr>
          <w:iCs/>
        </w:rPr>
        <w:t xml:space="preserve">                      explained on page 7 of the attached User Guide.   Please note, user’s internet explorer </w:t>
      </w:r>
    </w:p>
    <w:p w14:paraId="32B3CE9B" w14:textId="77777777" w:rsidR="00F63E61" w:rsidRPr="009826A3" w:rsidRDefault="00F63E61" w:rsidP="009826A3">
      <w:r w:rsidRPr="009826A3">
        <w:rPr>
          <w:iCs/>
        </w:rPr>
        <w:t xml:space="preserve">                      browser must be an 8 or above in order to download the application.  </w:t>
      </w:r>
      <w:r w:rsidRPr="009826A3">
        <w:t>Here is the link to</w:t>
      </w:r>
    </w:p>
    <w:p w14:paraId="3709E2F5" w14:textId="16B1F061" w:rsidR="00F63E61" w:rsidRPr="009826A3" w:rsidRDefault="00F63E61" w:rsidP="009826A3">
      <w:pPr>
        <w:ind w:left="1440"/>
        <w:jc w:val="both"/>
      </w:pPr>
      <w:r w:rsidRPr="009826A3">
        <w:t xml:space="preserve">the Classification Request Manager, </w:t>
      </w:r>
      <w:hyperlink r:id="rId27" w:history="1">
        <w:r w:rsidRPr="009826A3">
          <w:rPr>
            <w:rStyle w:val="Hyperlink"/>
          </w:rPr>
          <w:t>https://www.fdot.gov/construction/wage.shtm</w:t>
        </w:r>
      </w:hyperlink>
      <w:r w:rsidRPr="009826A3">
        <w:rPr>
          <w:color w:val="2E75B6"/>
        </w:rPr>
        <w:t xml:space="preserve"> </w:t>
      </w:r>
      <w:r w:rsidR="00EC2A24" w:rsidRPr="009826A3">
        <w:t>and then click on Classification Request Manager (link to application).</w:t>
      </w:r>
      <w:r w:rsidR="00EC2A24" w:rsidRPr="009826A3">
        <w:rPr>
          <w:iCs/>
        </w:rPr>
        <w:t xml:space="preserve">  Select email-internet subscriber. Scroll down to “create an account” button. </w:t>
      </w:r>
      <w:r w:rsidR="00EC2A24" w:rsidRPr="009826A3">
        <w:t>Once your company has registered an ISA account you may then submit your additional wage classification</w:t>
      </w:r>
      <w:r w:rsidRPr="009826A3">
        <w:t xml:space="preserve">             </w:t>
      </w:r>
    </w:p>
    <w:p w14:paraId="115491E5" w14:textId="4A9F2FD3" w:rsidR="00F63E61" w:rsidRPr="009826A3" w:rsidRDefault="00F63E61" w:rsidP="009826A3">
      <w:pPr>
        <w:jc w:val="both"/>
      </w:pPr>
      <w:r w:rsidRPr="009826A3">
        <w:t xml:space="preserve">                     </w:t>
      </w:r>
      <w:r w:rsidR="009826A3" w:rsidRPr="009826A3">
        <w:t xml:space="preserve">   </w:t>
      </w:r>
      <w:r w:rsidRPr="009826A3">
        <w:t xml:space="preserve">request for the </w:t>
      </w:r>
      <w:proofErr w:type="gramStart"/>
      <w:r w:rsidRPr="009826A3">
        <w:t>District</w:t>
      </w:r>
      <w:proofErr w:type="gramEnd"/>
      <w:r w:rsidRPr="009826A3">
        <w:t xml:space="preserve"> to review.  Upon the District's validation of your request this will</w:t>
      </w:r>
    </w:p>
    <w:p w14:paraId="4D3E8EA9" w14:textId="77777777" w:rsidR="009826A3" w:rsidRPr="009826A3" w:rsidRDefault="00F63E61" w:rsidP="009826A3">
      <w:pPr>
        <w:ind w:left="1170" w:firstLine="270"/>
        <w:contextualSpacing/>
        <w:jc w:val="both"/>
      </w:pPr>
      <w:r w:rsidRPr="009826A3">
        <w:t>immediately be forwarded to the USDOL for their review and response.</w:t>
      </w:r>
    </w:p>
    <w:p w14:paraId="34B5DC5F" w14:textId="591FFF0C" w:rsidR="009826A3" w:rsidRPr="00D52454" w:rsidRDefault="009826A3" w:rsidP="009826A3">
      <w:pPr>
        <w:ind w:left="1440"/>
        <w:contextualSpacing/>
      </w:pPr>
      <w:r w:rsidRPr="00D52454">
        <w:t xml:space="preserve">An additional classification request for Erosion Control Specialist is no longer required for construction only purposes. The General Labor classification is acceptable for the task to install the temporary silt fences for construction.   </w:t>
      </w:r>
    </w:p>
    <w:p w14:paraId="746DBD34" w14:textId="3FD3EDF8" w:rsidR="00F63E61" w:rsidRPr="00AF07F4" w:rsidRDefault="00F63E61" w:rsidP="009826A3">
      <w:pPr>
        <w:jc w:val="both"/>
        <w:rPr>
          <w:iCs/>
        </w:rPr>
      </w:pPr>
    </w:p>
    <w:p w14:paraId="31006AE1" w14:textId="2BD32BE2" w:rsidR="00F63E61" w:rsidRPr="00471AF1" w:rsidRDefault="00F63E61" w:rsidP="00F63E61">
      <w:pPr>
        <w:rPr>
          <w:color w:val="C45911"/>
        </w:rPr>
      </w:pPr>
      <w:r>
        <w:rPr>
          <w:i/>
          <w:iCs/>
        </w:rPr>
        <w:t xml:space="preserve">                     </w:t>
      </w:r>
      <w:r>
        <w:t xml:space="preserve"> </w:t>
      </w:r>
      <w:r w:rsidRPr="00471AF1">
        <w:rPr>
          <w:b/>
          <w:color w:val="C45911"/>
          <w:u w:val="single"/>
        </w:rPr>
        <w:t>Construction Contract Compliance Manual section 6.3</w:t>
      </w:r>
    </w:p>
    <w:p w14:paraId="7810FE4B" w14:textId="77777777" w:rsidR="00F63E61" w:rsidRPr="002B5B03" w:rsidRDefault="00F63E61" w:rsidP="00F63E61">
      <w:pPr>
        <w:spacing w:line="228" w:lineRule="auto"/>
        <w:ind w:left="1440"/>
        <w:jc w:val="both"/>
      </w:pPr>
    </w:p>
    <w:p w14:paraId="3EF88B2B" w14:textId="77777777" w:rsidR="00F63E61" w:rsidRDefault="00F63E61" w:rsidP="00F63E61">
      <w:pPr>
        <w:spacing w:line="228" w:lineRule="auto"/>
        <w:ind w:left="1440"/>
        <w:jc w:val="both"/>
        <w:rPr>
          <w:b/>
          <w:color w:val="C45911"/>
          <w:u w:val="single"/>
        </w:rPr>
      </w:pPr>
      <w:r>
        <w:t xml:space="preserve">(h) </w:t>
      </w:r>
      <w:r w:rsidRPr="00B46B16">
        <w:rPr>
          <w:b/>
        </w:rPr>
        <w:t>Wage Deductions</w:t>
      </w:r>
      <w:r>
        <w:t xml:space="preserve"> - </w:t>
      </w:r>
      <w:r w:rsidRPr="00725A6D">
        <w:t>All wage deductions should be within those authorized by the U.S. D</w:t>
      </w:r>
      <w:r>
        <w:t xml:space="preserve">ept. of Labor.  Contractors are responsible for requesting U.S. Department of Labor permission for deductions which do not fall within the parameters of those deductions generally allowed without USDOL permission.  </w:t>
      </w:r>
      <w:r w:rsidRPr="002B5B03">
        <w:rPr>
          <w:b/>
          <w:u w:val="single"/>
        </w:rPr>
        <w:t xml:space="preserve">Wage deductions </w:t>
      </w:r>
      <w:r>
        <w:rPr>
          <w:b/>
          <w:u w:val="single"/>
        </w:rPr>
        <w:t>permission is to be obtained before taking the deduction</w:t>
      </w:r>
      <w:r w:rsidRPr="002B5B03">
        <w:rPr>
          <w:b/>
          <w:u w:val="single"/>
        </w:rPr>
        <w:t>.</w:t>
      </w:r>
      <w:r>
        <w:rPr>
          <w:b/>
          <w:u w:val="single"/>
        </w:rPr>
        <w:t xml:space="preserve">  </w:t>
      </w:r>
      <w:r w:rsidRPr="00471AF1">
        <w:rPr>
          <w:b/>
          <w:color w:val="C45911"/>
          <w:u w:val="single"/>
        </w:rPr>
        <w:t>Construction Contract Compliance Manual section 6.5.4</w:t>
      </w:r>
    </w:p>
    <w:p w14:paraId="5FFFB747" w14:textId="77777777" w:rsidR="00F63E61" w:rsidRDefault="00F63E61" w:rsidP="00F63E61">
      <w:pPr>
        <w:spacing w:line="228" w:lineRule="auto"/>
        <w:ind w:left="1440"/>
        <w:jc w:val="both"/>
        <w:rPr>
          <w:b/>
          <w:color w:val="C45911"/>
          <w:u w:val="single"/>
        </w:rPr>
      </w:pPr>
    </w:p>
    <w:p w14:paraId="702703A5" w14:textId="77777777" w:rsidR="00F63E61" w:rsidRPr="002C0FAD" w:rsidRDefault="00F63E61" w:rsidP="00F63E61">
      <w:pPr>
        <w:spacing w:line="228" w:lineRule="auto"/>
        <w:ind w:left="1440"/>
        <w:jc w:val="both"/>
      </w:pPr>
      <w:r>
        <w:t>(</w:t>
      </w:r>
      <w:proofErr w:type="spellStart"/>
      <w:r>
        <w:t>i</w:t>
      </w:r>
      <w:proofErr w:type="spellEnd"/>
      <w:r>
        <w:t xml:space="preserve">) </w:t>
      </w:r>
      <w:r>
        <w:rPr>
          <w:b/>
        </w:rPr>
        <w:t>Address and Social Security Numbers</w:t>
      </w:r>
      <w:r>
        <w:t xml:space="preserve"> – FULL ADDRESSES AND SOCIAL SECURITY NUMBERS are not required to be reported on the certified weekly payrolls.  </w:t>
      </w:r>
      <w:r>
        <w:lastRenderedPageBreak/>
        <w:t xml:space="preserve">However, an employee identifier (such as the last four digits of the social security number or a unique Employee ID #) IS REQUIRED.  </w:t>
      </w:r>
    </w:p>
    <w:p w14:paraId="23C3BD84" w14:textId="77777777" w:rsidR="00F63E61" w:rsidRDefault="00F63E61" w:rsidP="00F63E61">
      <w:pPr>
        <w:spacing w:line="228" w:lineRule="auto"/>
        <w:ind w:left="1080"/>
        <w:jc w:val="both"/>
      </w:pPr>
    </w:p>
    <w:p w14:paraId="274A2C13" w14:textId="77777777" w:rsidR="00F63E61" w:rsidRPr="0060705A" w:rsidRDefault="00F63E61" w:rsidP="00F63E61">
      <w:pPr>
        <w:numPr>
          <w:ilvl w:val="1"/>
          <w:numId w:val="2"/>
        </w:numPr>
        <w:ind w:left="1440"/>
        <w:jc w:val="both"/>
        <w:rPr>
          <w:b/>
          <w:bCs/>
          <w:color w:val="C45911"/>
        </w:rPr>
      </w:pPr>
      <w:r w:rsidRPr="0060705A">
        <w:rPr>
          <w:b/>
          <w:bCs/>
        </w:rPr>
        <w:t>Employee Labor/</w:t>
      </w:r>
      <w:r w:rsidRPr="0060705A">
        <w:rPr>
          <w:b/>
        </w:rPr>
        <w:t>EEO Compliance Interviews (FDOT Form No. 700-010-63) –</w:t>
      </w:r>
      <w:r w:rsidRPr="0060705A">
        <w:rPr>
          <w:bCs/>
        </w:rPr>
        <w:t xml:space="preserve"> These interviews will be conducted in accordance with the Employee Interview Report – Labor/EEO Compliance form.</w:t>
      </w:r>
      <w:r w:rsidRPr="005D2FE0">
        <w:t xml:space="preserve">  </w:t>
      </w:r>
      <w:r>
        <w:t xml:space="preserve">Project employees </w:t>
      </w:r>
      <w:r w:rsidRPr="00CD28FA">
        <w:t xml:space="preserve">should be made aware of these interviews and we ask for their cooperation. A minimum of </w:t>
      </w:r>
      <w:r>
        <w:rPr>
          <w:b/>
          <w:u w:val="single"/>
        </w:rPr>
        <w:t>_______</w:t>
      </w:r>
      <w:r w:rsidRPr="00CD28FA">
        <w:t xml:space="preserve"> interviews</w:t>
      </w:r>
      <w:r>
        <w:t xml:space="preserve"> a month will be conducted.  All personnel on the project (including contractor, subcontractors and rental agencies are subject to the interview process). </w:t>
      </w:r>
      <w:r w:rsidRPr="0060705A">
        <w:rPr>
          <w:b/>
          <w:color w:val="C45911"/>
          <w:u w:val="single"/>
        </w:rPr>
        <w:t>Construction Contract Compliance Manual section 6.4</w:t>
      </w:r>
    </w:p>
    <w:p w14:paraId="63899471" w14:textId="77777777" w:rsidR="00F63E61" w:rsidRPr="00141496" w:rsidRDefault="00F63E61" w:rsidP="00F63E61">
      <w:pPr>
        <w:jc w:val="both"/>
        <w:rPr>
          <w:bCs/>
        </w:rPr>
      </w:pPr>
    </w:p>
    <w:p w14:paraId="30108E17" w14:textId="77777777" w:rsidR="00F63E61" w:rsidRPr="00471AF1" w:rsidRDefault="00F63E61" w:rsidP="00F63E61">
      <w:pPr>
        <w:numPr>
          <w:ilvl w:val="1"/>
          <w:numId w:val="2"/>
        </w:numPr>
        <w:jc w:val="both"/>
        <w:rPr>
          <w:bCs/>
          <w:color w:val="C45911"/>
        </w:rPr>
      </w:pPr>
      <w:r w:rsidRPr="00141496">
        <w:rPr>
          <w:b/>
          <w:bCs/>
        </w:rPr>
        <w:t>Independent Contractors</w:t>
      </w:r>
      <w:r w:rsidRPr="00141496">
        <w:rPr>
          <w:bCs/>
        </w:rPr>
        <w:t xml:space="preserve"> – Owners of independent contracting businesses may be exempt from t</w:t>
      </w:r>
      <w:r>
        <w:rPr>
          <w:bCs/>
        </w:rPr>
        <w:t>he prevailing wage requirements if</w:t>
      </w:r>
      <w:r w:rsidRPr="00141496">
        <w:rPr>
          <w:bCs/>
        </w:rPr>
        <w:t xml:space="preserve"> they (1) own a 20% company equity interest and (2) participate in the management of the business.  The owner must file a statement attesting to their ownership interest and management activities.  The statement must be on company letterhead, with an original signature and on file for each project.  Weekly certified payrolls are still required and </w:t>
      </w:r>
      <w:r>
        <w:rPr>
          <w:bCs/>
        </w:rPr>
        <w:t>should include (1) s</w:t>
      </w:r>
      <w:r w:rsidRPr="00141496">
        <w:rPr>
          <w:bCs/>
        </w:rPr>
        <w:t xml:space="preserve">tatement of </w:t>
      </w:r>
      <w:r>
        <w:rPr>
          <w:bCs/>
        </w:rPr>
        <w:t>certification and (2) p</w:t>
      </w:r>
      <w:r w:rsidRPr="00141496">
        <w:rPr>
          <w:bCs/>
        </w:rPr>
        <w:t>ayroll record indicating the name, employee ID # and “Owner-541 Excluded”.  Other information need not be shown.</w:t>
      </w:r>
      <w:r>
        <w:rPr>
          <w:bCs/>
        </w:rPr>
        <w:t xml:space="preserve"> </w:t>
      </w:r>
      <w:r w:rsidRPr="00471AF1">
        <w:rPr>
          <w:b/>
          <w:color w:val="C45911"/>
          <w:u w:val="single"/>
        </w:rPr>
        <w:t>Construction Contract Compliance Manual section 6.5.9</w:t>
      </w:r>
    </w:p>
    <w:p w14:paraId="0627D66F" w14:textId="77777777" w:rsidR="00F63E61" w:rsidRPr="00141496" w:rsidRDefault="00F63E61" w:rsidP="00F63E61">
      <w:pPr>
        <w:pStyle w:val="ListParagraph"/>
        <w:rPr>
          <w:bCs/>
        </w:rPr>
      </w:pPr>
    </w:p>
    <w:p w14:paraId="415A1E24" w14:textId="77777777" w:rsidR="00F63E61" w:rsidRPr="00141496" w:rsidRDefault="00F63E61" w:rsidP="00F63E61">
      <w:pPr>
        <w:numPr>
          <w:ilvl w:val="1"/>
          <w:numId w:val="2"/>
        </w:numPr>
        <w:jc w:val="both"/>
        <w:rPr>
          <w:bCs/>
        </w:rPr>
      </w:pPr>
      <w:r w:rsidRPr="00141496">
        <w:rPr>
          <w:b/>
          <w:bCs/>
        </w:rPr>
        <w:t>Truck Owner-Operator</w:t>
      </w:r>
      <w:r w:rsidRPr="00141496">
        <w:rPr>
          <w:bCs/>
        </w:rPr>
        <w:t xml:space="preserve"> – An owner-operator of a truck is one who owns and drives their own truck.  Not routinely subject to EEO Reporting but FDOT’s non-discrimination requirements do apply.  They are required to submit “Abbreviated certified payrolls’ on a weekly basis. </w:t>
      </w:r>
      <w:r>
        <w:rPr>
          <w:bCs/>
        </w:rPr>
        <w:t xml:space="preserve"> Payrolls should include (1) statement of certification and (2) p</w:t>
      </w:r>
      <w:r w:rsidRPr="00141496">
        <w:rPr>
          <w:bCs/>
        </w:rPr>
        <w:t>ayroll record indicating the name, employee ID # and “Owner-</w:t>
      </w:r>
      <w:r>
        <w:rPr>
          <w:bCs/>
        </w:rPr>
        <w:t>Operator</w:t>
      </w:r>
      <w:r w:rsidRPr="00141496">
        <w:rPr>
          <w:bCs/>
        </w:rPr>
        <w:t xml:space="preserve">”.  Other information </w:t>
      </w:r>
      <w:r>
        <w:rPr>
          <w:bCs/>
        </w:rPr>
        <w:t xml:space="preserve">(hours, rates, deductions, etc.) </w:t>
      </w:r>
      <w:r w:rsidRPr="00141496">
        <w:rPr>
          <w:bCs/>
        </w:rPr>
        <w:t>need not be shown.</w:t>
      </w:r>
    </w:p>
    <w:p w14:paraId="39431F4C" w14:textId="77777777" w:rsidR="00F63E61" w:rsidRPr="00141496" w:rsidRDefault="00F63E61" w:rsidP="00F63E61">
      <w:pPr>
        <w:ind w:left="1440"/>
        <w:jc w:val="both"/>
        <w:rPr>
          <w:b/>
          <w:bCs/>
        </w:rPr>
      </w:pPr>
    </w:p>
    <w:p w14:paraId="5F1486BE" w14:textId="77777777" w:rsidR="00F63E61" w:rsidRPr="00471AF1" w:rsidRDefault="00F63E61" w:rsidP="00F63E61">
      <w:pPr>
        <w:numPr>
          <w:ilvl w:val="1"/>
          <w:numId w:val="2"/>
        </w:numPr>
        <w:jc w:val="both"/>
        <w:rPr>
          <w:b/>
          <w:bCs/>
          <w:color w:val="C45911"/>
        </w:rPr>
      </w:pPr>
      <w:r>
        <w:rPr>
          <w:b/>
          <w:bCs/>
        </w:rPr>
        <w:t xml:space="preserve">Trucker Observation and Verification (FDOT Form No. 700-010-61) – </w:t>
      </w:r>
      <w:r>
        <w:rPr>
          <w:bCs/>
        </w:rPr>
        <w:t xml:space="preserve">Periodically, truck drivers who perform on-site hauling are subject to job-site interviews.  The primary purpose of the interview is to confirm job site authorization and eligibility for claiming owner-operator status (if applicable).  The interview includes a review of Motor Vehicle Registration and the driver’s license.  A Trucker Interview may be conducted on any truck associated with the project in order to affirm that unauthorized firms are not operating on the project.  A payroll violation is issued when it is determined that a driver does not actually own the truck they are operating on-site, and they have previously been reported as a truck owner-operator on payrolls.  Correction requires submission of a certified payroll reflecting all required data elements and an hourly rate at least equal to that specified on the project Wage Table for the class of truck operated. </w:t>
      </w:r>
      <w:r w:rsidRPr="00471AF1">
        <w:rPr>
          <w:b/>
          <w:color w:val="C45911"/>
          <w:u w:val="single"/>
        </w:rPr>
        <w:t>Construction Contract Compliance Manual section 6.5.10</w:t>
      </w:r>
    </w:p>
    <w:p w14:paraId="31820296" w14:textId="77777777" w:rsidR="00F63E61" w:rsidRDefault="00F63E61" w:rsidP="00F63E61">
      <w:pPr>
        <w:jc w:val="both"/>
        <w:rPr>
          <w:b/>
          <w:bCs/>
        </w:rPr>
      </w:pPr>
    </w:p>
    <w:p w14:paraId="63AA0CFB" w14:textId="77777777" w:rsidR="00F63E61" w:rsidRPr="002B5B03" w:rsidRDefault="00F63E61" w:rsidP="00F63E61">
      <w:pPr>
        <w:numPr>
          <w:ilvl w:val="0"/>
          <w:numId w:val="2"/>
        </w:numPr>
        <w:jc w:val="both"/>
        <w:rPr>
          <w:u w:val="single"/>
        </w:rPr>
      </w:pPr>
      <w:r>
        <w:rPr>
          <w:i/>
          <w:iCs/>
          <w:u w:val="single"/>
        </w:rPr>
        <w:t>SUBCONTRACTORS</w:t>
      </w:r>
    </w:p>
    <w:p w14:paraId="0DC0E6E2" w14:textId="77777777" w:rsidR="00F63E61" w:rsidRPr="004B5B2A" w:rsidRDefault="00F63E61" w:rsidP="00F63E61">
      <w:pPr>
        <w:ind w:left="720"/>
        <w:jc w:val="both"/>
        <w:rPr>
          <w:u w:val="single"/>
        </w:rPr>
      </w:pPr>
    </w:p>
    <w:p w14:paraId="3C661C95" w14:textId="77777777" w:rsidR="00F63E61" w:rsidRDefault="00F63E61" w:rsidP="00F63E61">
      <w:pPr>
        <w:ind w:left="720"/>
        <w:jc w:val="both"/>
        <w:rPr>
          <w:iCs/>
        </w:rPr>
      </w:pPr>
      <w:r>
        <w:rPr>
          <w:iCs/>
        </w:rPr>
        <w:t>The Project Manager should be made aware of a</w:t>
      </w:r>
      <w:r w:rsidRPr="004B5B2A">
        <w:rPr>
          <w:iCs/>
        </w:rPr>
        <w:t>ll subco</w:t>
      </w:r>
      <w:r>
        <w:rPr>
          <w:iCs/>
        </w:rPr>
        <w:t xml:space="preserve">ntractors </w:t>
      </w:r>
      <w:r w:rsidRPr="006D6DA3">
        <w:rPr>
          <w:b/>
          <w:bCs/>
          <w:iCs/>
          <w:u w:val="single"/>
        </w:rPr>
        <w:t>before</w:t>
      </w:r>
      <w:r w:rsidRPr="004B5B2A">
        <w:rPr>
          <w:iCs/>
        </w:rPr>
        <w:t xml:space="preserve"> </w:t>
      </w:r>
      <w:r>
        <w:rPr>
          <w:iCs/>
        </w:rPr>
        <w:t xml:space="preserve">they begin </w:t>
      </w:r>
      <w:r w:rsidRPr="004B5B2A">
        <w:rPr>
          <w:iCs/>
        </w:rPr>
        <w:t xml:space="preserve">working on this project.  </w:t>
      </w:r>
    </w:p>
    <w:p w14:paraId="3463479D" w14:textId="77777777" w:rsidR="00F63E61" w:rsidRPr="004B5B2A" w:rsidRDefault="00F63E61" w:rsidP="00F63E61">
      <w:pPr>
        <w:ind w:left="720"/>
        <w:jc w:val="both"/>
      </w:pPr>
    </w:p>
    <w:p w14:paraId="5FBF1073" w14:textId="77777777" w:rsidR="00F63E61" w:rsidRPr="00471AF1" w:rsidRDefault="00F63E61" w:rsidP="00F63E61">
      <w:pPr>
        <w:numPr>
          <w:ilvl w:val="1"/>
          <w:numId w:val="2"/>
        </w:numPr>
        <w:jc w:val="both"/>
        <w:rPr>
          <w:color w:val="C45911"/>
        </w:rPr>
      </w:pPr>
      <w:r>
        <w:rPr>
          <w:b/>
        </w:rPr>
        <w:t xml:space="preserve">Certification of Sublet Work </w:t>
      </w:r>
      <w:r w:rsidRPr="007148AD">
        <w:rPr>
          <w:b/>
        </w:rPr>
        <w:t>(</w:t>
      </w:r>
      <w:r>
        <w:rPr>
          <w:b/>
        </w:rPr>
        <w:t>FDOT</w:t>
      </w:r>
      <w:r w:rsidRPr="007148AD">
        <w:rPr>
          <w:b/>
        </w:rPr>
        <w:t xml:space="preserve"> Form </w:t>
      </w:r>
      <w:r>
        <w:rPr>
          <w:b/>
        </w:rPr>
        <w:t xml:space="preserve">No. </w:t>
      </w:r>
      <w:r w:rsidRPr="007148AD">
        <w:rPr>
          <w:b/>
        </w:rPr>
        <w:t>700-010-36)</w:t>
      </w:r>
      <w:r>
        <w:t xml:space="preserve"> - Prime contractor must submit this form to the Project Manager to advise and obtain approval of the subletting of work and the nature of the work.  Updates to this form should be made and submitted as the information changes.  </w:t>
      </w:r>
      <w:r w:rsidRPr="00471AF1">
        <w:rPr>
          <w:b/>
          <w:color w:val="C45911"/>
          <w:u w:val="single"/>
        </w:rPr>
        <w:t>Construction Contract Compliance Manual section 1.7.4</w:t>
      </w:r>
    </w:p>
    <w:p w14:paraId="3FE6F161" w14:textId="77777777" w:rsidR="00F63E61" w:rsidRDefault="00F63E61" w:rsidP="00F63E61">
      <w:pPr>
        <w:ind w:left="1080"/>
        <w:jc w:val="both"/>
      </w:pPr>
    </w:p>
    <w:p w14:paraId="19C6FBC5" w14:textId="77777777" w:rsidR="00F63E61" w:rsidRPr="002B5B03" w:rsidRDefault="00F63E61" w:rsidP="00F63E61">
      <w:pPr>
        <w:numPr>
          <w:ilvl w:val="1"/>
          <w:numId w:val="2"/>
        </w:numPr>
        <w:jc w:val="both"/>
      </w:pPr>
      <w:r w:rsidRPr="005D2FE0">
        <w:rPr>
          <w:b/>
        </w:rPr>
        <w:lastRenderedPageBreak/>
        <w:t>Subcontract Rental Agreements (</w:t>
      </w:r>
      <w:r>
        <w:rPr>
          <w:b/>
        </w:rPr>
        <w:t>FDOT</w:t>
      </w:r>
      <w:r w:rsidRPr="005D2FE0">
        <w:rPr>
          <w:b/>
        </w:rPr>
        <w:t xml:space="preserve"> Form </w:t>
      </w:r>
      <w:r>
        <w:rPr>
          <w:b/>
        </w:rPr>
        <w:t xml:space="preserve">No. </w:t>
      </w:r>
      <w:r w:rsidRPr="005D2FE0">
        <w:rPr>
          <w:b/>
        </w:rPr>
        <w:t xml:space="preserve">700-010-11) – </w:t>
      </w:r>
      <w:r w:rsidRPr="005D2FE0">
        <w:rPr>
          <w:bCs/>
        </w:rPr>
        <w:t xml:space="preserve">Prime contractor must submit form to the </w:t>
      </w:r>
      <w:r>
        <w:rPr>
          <w:bCs/>
        </w:rPr>
        <w:t>PM a</w:t>
      </w:r>
      <w:r w:rsidRPr="005D2FE0">
        <w:rPr>
          <w:bCs/>
        </w:rPr>
        <w:t>dvising of any rental agreement.</w:t>
      </w:r>
    </w:p>
    <w:p w14:paraId="01B56CC4" w14:textId="77777777" w:rsidR="00F63E61" w:rsidRDefault="00F63E61" w:rsidP="00F63E61">
      <w:pPr>
        <w:pStyle w:val="ListParagraph"/>
      </w:pPr>
    </w:p>
    <w:p w14:paraId="281A5786" w14:textId="77777777" w:rsidR="00F63E61" w:rsidRDefault="00F63E61" w:rsidP="00F63E61">
      <w:pPr>
        <w:numPr>
          <w:ilvl w:val="1"/>
          <w:numId w:val="2"/>
        </w:numPr>
        <w:jc w:val="both"/>
      </w:pPr>
      <w:r>
        <w:rPr>
          <w:b/>
        </w:rPr>
        <w:t>Notification of Temporary Employment Agency (FDOT Form No. 275</w:t>
      </w:r>
      <w:r w:rsidRPr="007C15B4">
        <w:rPr>
          <w:b/>
        </w:rPr>
        <w:t>-021-15)</w:t>
      </w:r>
      <w:r>
        <w:t xml:space="preserve"> – This form is to be used by each contractor or subcontractor who employees project workers through a Temporary Employment Agency or Day Labor Agency.  This form is due before any workers report to the project site.  The project wage decision shall apply to employee wages.  Project employees are subject to the EEO policy and plan of the contractor. </w:t>
      </w:r>
      <w:r w:rsidRPr="00471AF1">
        <w:rPr>
          <w:b/>
          <w:color w:val="C45911"/>
          <w:u w:val="single"/>
        </w:rPr>
        <w:t>Construction Contract Compliance Manual section 1.7.5</w:t>
      </w:r>
    </w:p>
    <w:p w14:paraId="159C6BA1" w14:textId="77777777" w:rsidR="00F63E61" w:rsidRDefault="00F63E61" w:rsidP="00F63E61">
      <w:pPr>
        <w:ind w:left="720"/>
        <w:jc w:val="both"/>
      </w:pPr>
    </w:p>
    <w:p w14:paraId="2CD9AF98" w14:textId="74CFD4EF" w:rsidR="00F63E61" w:rsidRPr="00471AF1" w:rsidRDefault="00F63E61" w:rsidP="00F63E61">
      <w:pPr>
        <w:ind w:left="720"/>
        <w:jc w:val="both"/>
        <w:rPr>
          <w:color w:val="C45911"/>
        </w:rPr>
      </w:pPr>
      <w:r>
        <w:t>The prime contractor shall be responsible for ensuring that Federal Highway Administration 1273 (FHWA 1273 – Revised May 1, 2012)</w:t>
      </w:r>
      <w:r w:rsidR="00AF488F">
        <w:t xml:space="preserve"> </w:t>
      </w:r>
      <w:r w:rsidR="00AF488F" w:rsidRPr="00A078D7">
        <w:rPr>
          <w:b/>
          <w:bCs/>
        </w:rPr>
        <w:t>(Effective 9/6/22 FHWA1273 – Revised July 5, 2022, is required to be implemented)</w:t>
      </w:r>
      <w:r w:rsidR="00AF488F">
        <w:rPr>
          <w:b/>
          <w:bCs/>
        </w:rPr>
        <w:t>.</w:t>
      </w:r>
      <w:r w:rsidR="00AF488F">
        <w:t xml:space="preserve"> </w:t>
      </w:r>
      <w:r>
        <w:t xml:space="preserve"> Required Contract Provisions for Federal Aid Construction is inserted, in its entirety, in all contractor agreements including each subcontract and any lower tier subcontract (including purchase orders and rental agreements though only by reference) that may in turn be made.  </w:t>
      </w:r>
      <w:r w:rsidRPr="00471AF1">
        <w:rPr>
          <w:b/>
          <w:color w:val="C45911"/>
          <w:u w:val="single"/>
        </w:rPr>
        <w:t>Construction Contract Compliance Manual section 1.1.6</w:t>
      </w:r>
    </w:p>
    <w:p w14:paraId="36322539" w14:textId="77777777" w:rsidR="00F63E61" w:rsidRPr="007148AD" w:rsidRDefault="00F63E61" w:rsidP="00F63E61">
      <w:pPr>
        <w:ind w:left="1440"/>
        <w:jc w:val="both"/>
      </w:pPr>
    </w:p>
    <w:p w14:paraId="3CCACEBA" w14:textId="77777777" w:rsidR="00F63E61" w:rsidRDefault="00F63E61" w:rsidP="00F63E61">
      <w:pPr>
        <w:numPr>
          <w:ilvl w:val="0"/>
          <w:numId w:val="2"/>
        </w:numPr>
        <w:jc w:val="both"/>
        <w:rPr>
          <w:i/>
          <w:iCs/>
          <w:u w:val="single"/>
        </w:rPr>
      </w:pPr>
      <w:r>
        <w:rPr>
          <w:i/>
          <w:iCs/>
          <w:u w:val="single"/>
        </w:rPr>
        <w:t>DISADVANTAGED BUSINESS ENTERPRISE (DBE)</w:t>
      </w:r>
    </w:p>
    <w:p w14:paraId="4B69994D" w14:textId="77777777" w:rsidR="00F63E61" w:rsidRDefault="00F63E61" w:rsidP="00F63E61">
      <w:pPr>
        <w:ind w:left="720"/>
        <w:jc w:val="both"/>
        <w:rPr>
          <w:i/>
          <w:iCs/>
          <w:u w:val="single"/>
        </w:rPr>
      </w:pPr>
    </w:p>
    <w:p w14:paraId="2D2AEFBF" w14:textId="6BF315EF" w:rsidR="00F63E61" w:rsidRPr="00471AF1" w:rsidRDefault="00F63E61" w:rsidP="00F63E61">
      <w:pPr>
        <w:numPr>
          <w:ilvl w:val="1"/>
          <w:numId w:val="2"/>
        </w:numPr>
        <w:jc w:val="both"/>
        <w:rPr>
          <w:color w:val="C45911"/>
        </w:rPr>
      </w:pPr>
      <w:r w:rsidRPr="005D2FE0">
        <w:rPr>
          <w:b/>
          <w:bCs/>
        </w:rPr>
        <w:t>DBE UTILIZATION</w:t>
      </w:r>
      <w:r w:rsidRPr="005D2FE0">
        <w:t xml:space="preserve"> - </w:t>
      </w:r>
      <w:smartTag w:uri="urn:schemas-microsoft-com:office:smarttags" w:element="State">
        <w:r w:rsidRPr="005D2FE0">
          <w:rPr>
            <w:bCs/>
          </w:rPr>
          <w:t>Florida</w:t>
        </w:r>
      </w:smartTag>
      <w:r w:rsidRPr="005D2FE0">
        <w:rPr>
          <w:bCs/>
        </w:rPr>
        <w:t xml:space="preserve"> has a voluntary DBE program and</w:t>
      </w:r>
      <w:r w:rsidRPr="005D2FE0">
        <w:rPr>
          <w:b/>
          <w:bCs/>
        </w:rPr>
        <w:t xml:space="preserve"> </w:t>
      </w:r>
      <w:r w:rsidRPr="005D2FE0">
        <w:rPr>
          <w:bCs/>
        </w:rPr>
        <w:t>w</w:t>
      </w:r>
      <w:r w:rsidRPr="005D2FE0">
        <w:t xml:space="preserve">hile DBE utilization is not mandatory continued utilization of DBE Firms supports the success of </w:t>
      </w:r>
      <w:smartTag w:uri="urn:schemas-microsoft-com:office:smarttags" w:element="place">
        <w:smartTag w:uri="urn:schemas-microsoft-com:office:smarttags" w:element="State">
          <w:r w:rsidRPr="005D2FE0">
            <w:t>Florida</w:t>
          </w:r>
        </w:smartTag>
      </w:smartTag>
      <w:r w:rsidRPr="005D2FE0">
        <w:t xml:space="preserve">’s voluntary DBE program and the contractor’s EEO and DBE Affirmative Action Programs.  </w:t>
      </w:r>
      <w:r w:rsidR="00D52454">
        <w:t xml:space="preserve">As of Oct. 1, 2023 </w:t>
      </w:r>
      <w:r>
        <w:t xml:space="preserve">Florida has a current goal of </w:t>
      </w:r>
      <w:r>
        <w:rPr>
          <w:u w:val="single"/>
        </w:rPr>
        <w:t>10.6</w:t>
      </w:r>
      <w:r w:rsidR="00D52454">
        <w:rPr>
          <w:u w:val="single"/>
        </w:rPr>
        <w:t>7</w:t>
      </w:r>
      <w:r w:rsidRPr="001E5091">
        <w:rPr>
          <w:u w:val="single"/>
        </w:rPr>
        <w:t>%</w:t>
      </w:r>
      <w:r>
        <w:t xml:space="preserve"> DBE participation. </w:t>
      </w:r>
      <w:r w:rsidRPr="005D2FE0">
        <w:t>Contractors are urged to utilize DBE’s whenever possible.</w:t>
      </w:r>
      <w:r>
        <w:t xml:space="preserve"> </w:t>
      </w:r>
      <w:r w:rsidRPr="00471AF1">
        <w:rPr>
          <w:b/>
          <w:color w:val="C45911"/>
          <w:u w:val="single"/>
        </w:rPr>
        <w:t>Construction Contract Compliance Manual section 2.1</w:t>
      </w:r>
    </w:p>
    <w:p w14:paraId="633C44E2" w14:textId="77777777" w:rsidR="00F63E61" w:rsidRDefault="00F63E61" w:rsidP="00F63E61">
      <w:pPr>
        <w:jc w:val="both"/>
      </w:pPr>
    </w:p>
    <w:p w14:paraId="1A2B6B6B" w14:textId="77777777" w:rsidR="00F63E61" w:rsidRDefault="00F63E61" w:rsidP="00F63E61">
      <w:pPr>
        <w:numPr>
          <w:ilvl w:val="1"/>
          <w:numId w:val="2"/>
        </w:numPr>
        <w:jc w:val="both"/>
      </w:pPr>
      <w:r>
        <w:rPr>
          <w:b/>
        </w:rPr>
        <w:t xml:space="preserve">Disadvantaged Business Enterprise (DBE)/Affirmative Action (AA) Policy and Plan – </w:t>
      </w:r>
      <w:r>
        <w:t xml:space="preserve">The prime contractor is required to have in place a DBE/AA Policy and Plan </w:t>
      </w:r>
      <w:r w:rsidRPr="002B5B03">
        <w:rPr>
          <w:b/>
          <w:u w:val="single"/>
        </w:rPr>
        <w:t>AND MUST BE FDOT APPROVED PRIOR TO THE AWARD OF THE CONTRACT</w:t>
      </w:r>
      <w:r>
        <w:t>.  If this plan is not currently in place a sample plan is available online at</w:t>
      </w:r>
    </w:p>
    <w:p w14:paraId="0EC4AF22" w14:textId="6192581E" w:rsidR="00F63E61" w:rsidRPr="00471AF1" w:rsidRDefault="00141D93" w:rsidP="00F63E61">
      <w:pPr>
        <w:ind w:left="1440"/>
        <w:jc w:val="both"/>
        <w:rPr>
          <w:color w:val="C45911"/>
        </w:rPr>
      </w:pPr>
      <w:hyperlink r:id="rId28" w:history="1">
        <w:r w:rsidR="004D2013" w:rsidRPr="009A0061">
          <w:rPr>
            <w:rStyle w:val="Hyperlink"/>
          </w:rPr>
          <w:t>https://www.fdot.gov/equalopportunity/ContractCompliance.shtm</w:t>
        </w:r>
      </w:hyperlink>
      <w:r w:rsidR="004D2013">
        <w:t xml:space="preserve"> (use Microsoft Edge to open this link) </w:t>
      </w:r>
      <w:r w:rsidR="00F63E61">
        <w:t xml:space="preserve">Approvals are for a three-year period and should be updated prior to expiration or when there is a change in the DBE Liaison Officer and/or the company official who signs the plan.  The Plan must be on company letterhead, signed by a company official, dated and contain all elements of an effective DBE AA Plan. </w:t>
      </w:r>
      <w:r w:rsidR="00F63E61" w:rsidRPr="00471AF1">
        <w:rPr>
          <w:b/>
          <w:color w:val="C45911"/>
          <w:u w:val="single"/>
        </w:rPr>
        <w:t>Construction Contract Compliance Manual section 2.3</w:t>
      </w:r>
    </w:p>
    <w:p w14:paraId="2A7F54DD" w14:textId="77777777" w:rsidR="00F63E61" w:rsidRDefault="00F63E61" w:rsidP="00F63E61">
      <w:pPr>
        <w:jc w:val="both"/>
        <w:rPr>
          <w:b/>
          <w:bCs/>
        </w:rPr>
      </w:pPr>
    </w:p>
    <w:p w14:paraId="71E76DE3" w14:textId="1604D068" w:rsidR="00F63E61" w:rsidRPr="00471AF1" w:rsidRDefault="00F63E61" w:rsidP="00790149">
      <w:pPr>
        <w:numPr>
          <w:ilvl w:val="1"/>
          <w:numId w:val="2"/>
        </w:numPr>
        <w:rPr>
          <w:b/>
          <w:color w:val="C45911"/>
        </w:rPr>
      </w:pPr>
      <w:r w:rsidRPr="00551201">
        <w:rPr>
          <w:b/>
        </w:rPr>
        <w:t>PRIME CONTRACTORS EQUAL OPPORTUNITY COMPLIANCE SYSTEM</w:t>
      </w:r>
      <w:r>
        <w:rPr>
          <w:b/>
        </w:rPr>
        <w:t xml:space="preserve"> (EOC) </w:t>
      </w:r>
      <w:r w:rsidRPr="00551201">
        <w:rPr>
          <w:b/>
        </w:rPr>
        <w:t>ACCESS</w:t>
      </w:r>
      <w:r>
        <w:rPr>
          <w:b/>
        </w:rPr>
        <w:t xml:space="preserve"> </w:t>
      </w:r>
      <w:r>
        <w:t>– the EOC system is an internet-based system that currently supports the departments DBE data collection and reporting requirement.  This is a password secured application used by FDOT prime contractors to log in and submit Bidder Opportunity, DBE commitments, and DBE monthly payment data electronically.  Individual users can obtain access to the EOC system by referring to EOC website page</w:t>
      </w:r>
      <w:r w:rsidR="00D20034">
        <w:t xml:space="preserve"> </w:t>
      </w:r>
      <w:r>
        <w:t xml:space="preserve"> </w:t>
      </w:r>
      <w:hyperlink r:id="rId29" w:history="1">
        <w:r w:rsidR="00D20034" w:rsidRPr="009A0061">
          <w:rPr>
            <w:rStyle w:val="Hyperlink"/>
          </w:rPr>
          <w:t>https://www.fdot.gov/equalopportunity/default.shtml</w:t>
        </w:r>
      </w:hyperlink>
      <w:r w:rsidR="00D20034">
        <w:t xml:space="preserve"> </w:t>
      </w:r>
      <w:r>
        <w:t xml:space="preserve">to obtain the access form for completion.  This form is to </w:t>
      </w:r>
      <w:r>
        <w:rPr>
          <w:rStyle w:val="style23"/>
        </w:rPr>
        <w:t>email it to</w:t>
      </w:r>
      <w:r>
        <w:t xml:space="preserve"> </w:t>
      </w:r>
      <w:hyperlink r:id="rId30" w:history="1">
        <w:r>
          <w:rPr>
            <w:rStyle w:val="Hyperlink"/>
          </w:rPr>
          <w:t>EOOHelp@dot.state.fl.us</w:t>
        </w:r>
      </w:hyperlink>
      <w:r>
        <w:t xml:space="preserve">. FDOT security will send user a userid and password via email. </w:t>
      </w:r>
      <w:r w:rsidRPr="00471AF1">
        <w:rPr>
          <w:b/>
          <w:color w:val="C45911"/>
          <w:u w:val="single"/>
        </w:rPr>
        <w:t>Construction Contract Compliance Manual section 2.5</w:t>
      </w:r>
    </w:p>
    <w:p w14:paraId="566F81DE" w14:textId="77777777" w:rsidR="00F63E61" w:rsidRPr="00551201" w:rsidRDefault="00F63E61" w:rsidP="00F63E61">
      <w:pPr>
        <w:ind w:left="1440"/>
        <w:jc w:val="both"/>
        <w:rPr>
          <w:b/>
        </w:rPr>
      </w:pPr>
    </w:p>
    <w:p w14:paraId="0ED60AC7" w14:textId="77777777" w:rsidR="00F63E61" w:rsidRDefault="00F63E61" w:rsidP="00F63E61">
      <w:pPr>
        <w:numPr>
          <w:ilvl w:val="1"/>
          <w:numId w:val="2"/>
        </w:numPr>
        <w:jc w:val="both"/>
      </w:pPr>
      <w:r>
        <w:rPr>
          <w:b/>
          <w:bCs/>
        </w:rPr>
        <w:t xml:space="preserve">DBE Participation Commitments: Initial Submission and Revisions (EOC) </w:t>
      </w:r>
      <w:r>
        <w:t xml:space="preserve">– Prime contractors on federally and nonfederal funded construction contracts are required to report and maintain information regarding planned and actual utilization of DBEs.  In October </w:t>
      </w:r>
      <w:r>
        <w:lastRenderedPageBreak/>
        <w:t xml:space="preserve">2012, the reporting of this data transitioned from the submission of paper forms to the electronic entry of data into the department’s Equal Opportunity compliance (EOC) system.  Prime contractors are required to enter their anticipated DBE utilization data in the EOC system within three (3) business days of the Preconstruction Conference.  Data recorded includes DBE’s company name, specialty area/NAICS code that a DBE is certified in may be counted.  Primes are required to promptly report in the EOC System when DBE’s are added or removed or contracted work or utilization dollars change.  Changes and updates should not be held for end of contract submittals.  </w:t>
      </w:r>
      <w:r w:rsidRPr="005D2FE0">
        <w:t xml:space="preserve">  </w:t>
      </w:r>
    </w:p>
    <w:p w14:paraId="446821B3" w14:textId="77777777" w:rsidR="00F63E61" w:rsidRDefault="00F63E61" w:rsidP="00F63E61">
      <w:pPr>
        <w:ind w:left="1080"/>
        <w:jc w:val="both"/>
      </w:pPr>
    </w:p>
    <w:p w14:paraId="69E1ACB6" w14:textId="77777777" w:rsidR="00F63E61" w:rsidRPr="00471AF1" w:rsidRDefault="00F63E61" w:rsidP="00F63E61">
      <w:pPr>
        <w:numPr>
          <w:ilvl w:val="1"/>
          <w:numId w:val="2"/>
        </w:numPr>
        <w:jc w:val="both"/>
        <w:rPr>
          <w:color w:val="C45911"/>
        </w:rPr>
      </w:pPr>
      <w:r>
        <w:rPr>
          <w:b/>
          <w:bCs/>
        </w:rPr>
        <w:t>FDOT DBE Payment Reporting (EOC)</w:t>
      </w:r>
      <w:r>
        <w:rPr>
          <w:b/>
        </w:rPr>
        <w:t xml:space="preserve"> </w:t>
      </w:r>
      <w:r w:rsidRPr="005D2FE0">
        <w:t xml:space="preserve">– </w:t>
      </w:r>
      <w:r>
        <w:t xml:space="preserve">Prime contractors are required to report in the EOC system monies paid from each monthly estimate to each DBE for the work performed in their certified areas(s).  If no payment is made to a DBE, the prime reports in the EOC system a zero payment.  Monthly, the prime must report each DBEs actual payment or the basis for a zero payment until such time that the DBE has been ‘finalized or closed out’ the project.  </w:t>
      </w:r>
      <w:r w:rsidRPr="00471AF1">
        <w:rPr>
          <w:b/>
          <w:color w:val="C45911"/>
          <w:u w:val="single"/>
        </w:rPr>
        <w:t>Construction Contract Compliance Manual section 2.6</w:t>
      </w:r>
    </w:p>
    <w:p w14:paraId="11ABB669" w14:textId="77777777" w:rsidR="00F63E61" w:rsidRDefault="00F63E61" w:rsidP="00F63E61">
      <w:pPr>
        <w:ind w:left="1080"/>
        <w:jc w:val="both"/>
      </w:pPr>
    </w:p>
    <w:p w14:paraId="03818A07" w14:textId="77777777" w:rsidR="00F63E61" w:rsidRPr="005E24E9" w:rsidRDefault="00F63E61" w:rsidP="00F63E61">
      <w:pPr>
        <w:numPr>
          <w:ilvl w:val="1"/>
          <w:numId w:val="2"/>
        </w:numPr>
        <w:jc w:val="both"/>
        <w:rPr>
          <w:color w:val="C45911"/>
        </w:rPr>
      </w:pPr>
      <w:r>
        <w:rPr>
          <w:b/>
        </w:rPr>
        <w:t>Commercially Useful Function (CUF) DBE Monitoring Report (FDOT Form No 275-021-18)</w:t>
      </w:r>
      <w:r>
        <w:t xml:space="preserve"> – This form will be used to perform checks of all DBE Subcontractors.  The purpose is to verify that the DBE is performing a commercially useful function on the project.  Monthly CUF checks will be done during a DBE’s first three active months, at a minimum, to determine if DBE’s are performing a CUF. </w:t>
      </w:r>
      <w:r w:rsidRPr="00471AF1">
        <w:rPr>
          <w:b/>
          <w:color w:val="C45911"/>
          <w:u w:val="single"/>
        </w:rPr>
        <w:t>Construction Contract Compliance Manual section 2.7</w:t>
      </w:r>
    </w:p>
    <w:p w14:paraId="1B98E4A5" w14:textId="77777777" w:rsidR="00F63E61" w:rsidRDefault="00F63E61" w:rsidP="00F63E61">
      <w:pPr>
        <w:pStyle w:val="ListParagraph"/>
        <w:rPr>
          <w:color w:val="C45911"/>
        </w:rPr>
      </w:pPr>
    </w:p>
    <w:p w14:paraId="1CCDD272" w14:textId="442A0D23" w:rsidR="003B5B7C" w:rsidRPr="00471AF1" w:rsidRDefault="00F63E61" w:rsidP="003B5B7C">
      <w:pPr>
        <w:numPr>
          <w:ilvl w:val="1"/>
          <w:numId w:val="2"/>
        </w:numPr>
        <w:rPr>
          <w:b/>
          <w:color w:val="C45911"/>
        </w:rPr>
      </w:pPr>
      <w:r>
        <w:rPr>
          <w:b/>
          <w:bCs/>
        </w:rPr>
        <w:t>Bidders Opportunity List</w:t>
      </w:r>
      <w:r>
        <w:t xml:space="preserve"> </w:t>
      </w:r>
      <w:r w:rsidR="003B5B7C">
        <w:t>– Must be input into the EOC.</w:t>
      </w:r>
      <w:r w:rsidR="003B5B7C" w:rsidRPr="005C1081">
        <w:t xml:space="preserve"> </w:t>
      </w:r>
      <w:r w:rsidR="003B5B7C">
        <w:t xml:space="preserve">Individual users can obtain access to the EOC system by referring to EOC website page  </w:t>
      </w:r>
      <w:hyperlink r:id="rId31" w:history="1">
        <w:r w:rsidR="003B5B7C" w:rsidRPr="009A0061">
          <w:rPr>
            <w:rStyle w:val="Hyperlink"/>
          </w:rPr>
          <w:t>https://www.fdot.gov/equalopportunity/default.shtml</w:t>
        </w:r>
      </w:hyperlink>
      <w:r w:rsidR="003B5B7C">
        <w:t xml:space="preserve"> to obtain the access form for completion.  This form is to </w:t>
      </w:r>
      <w:r w:rsidR="003B5B7C">
        <w:rPr>
          <w:rStyle w:val="style23"/>
        </w:rPr>
        <w:t>email it to</w:t>
      </w:r>
      <w:r w:rsidR="003B5B7C">
        <w:t xml:space="preserve"> </w:t>
      </w:r>
      <w:hyperlink r:id="rId32" w:history="1">
        <w:r w:rsidR="003B5B7C">
          <w:rPr>
            <w:rStyle w:val="Hyperlink"/>
          </w:rPr>
          <w:t>EOOHelp@dot.state.fl.us</w:t>
        </w:r>
      </w:hyperlink>
      <w:r w:rsidR="003B5B7C">
        <w:t xml:space="preserve">. FDOT security will send user a userid and password via email. </w:t>
      </w:r>
      <w:r w:rsidR="003B5B7C" w:rsidRPr="00471AF1">
        <w:rPr>
          <w:b/>
          <w:color w:val="C45911"/>
          <w:u w:val="single"/>
        </w:rPr>
        <w:t>Construction Contract Compliance Manual section 2.5</w:t>
      </w:r>
    </w:p>
    <w:p w14:paraId="4A4B84CB" w14:textId="77777777" w:rsidR="00F63E61" w:rsidRPr="00C91780" w:rsidRDefault="00F63E61" w:rsidP="00F63E61">
      <w:pPr>
        <w:tabs>
          <w:tab w:val="left" w:pos="2580"/>
        </w:tabs>
        <w:jc w:val="both"/>
      </w:pPr>
      <w:r>
        <w:tab/>
      </w:r>
    </w:p>
    <w:p w14:paraId="4E3249B2" w14:textId="77777777" w:rsidR="00F63E61" w:rsidRPr="00307A00" w:rsidRDefault="00F63E61" w:rsidP="00F63E61">
      <w:pPr>
        <w:numPr>
          <w:ilvl w:val="0"/>
          <w:numId w:val="2"/>
        </w:numPr>
        <w:spacing w:line="228" w:lineRule="auto"/>
        <w:jc w:val="both"/>
        <w:rPr>
          <w:bCs/>
          <w:u w:val="single"/>
        </w:rPr>
      </w:pPr>
      <w:r w:rsidRPr="00307A00">
        <w:rPr>
          <w:i/>
          <w:u w:val="single"/>
        </w:rPr>
        <w:t>Non-Compliance Issues</w:t>
      </w:r>
    </w:p>
    <w:p w14:paraId="7A42055B" w14:textId="77777777" w:rsidR="00F63E61" w:rsidRDefault="00F63E61" w:rsidP="00F63E61">
      <w:pPr>
        <w:spacing w:line="228" w:lineRule="auto"/>
        <w:ind w:left="1080"/>
        <w:jc w:val="both"/>
        <w:rPr>
          <w:bCs/>
        </w:rPr>
      </w:pPr>
    </w:p>
    <w:p w14:paraId="51D47024" w14:textId="77777777" w:rsidR="00F63E61" w:rsidRDefault="00F63E61" w:rsidP="00F63E61">
      <w:pPr>
        <w:numPr>
          <w:ilvl w:val="1"/>
          <w:numId w:val="2"/>
        </w:numPr>
        <w:spacing w:line="228" w:lineRule="auto"/>
        <w:jc w:val="both"/>
        <w:rPr>
          <w:bCs/>
        </w:rPr>
      </w:pPr>
      <w:r w:rsidRPr="00166B02">
        <w:rPr>
          <w:b/>
        </w:rPr>
        <w:t>Sanctions for Non-Compliance</w:t>
      </w:r>
      <w:r w:rsidRPr="005D2FE0">
        <w:rPr>
          <w:b/>
        </w:rPr>
        <w:t xml:space="preserve"> – </w:t>
      </w:r>
      <w:r w:rsidRPr="005D2FE0">
        <w:rPr>
          <w:bCs/>
        </w:rPr>
        <w:t xml:space="preserve">Two sanctions are concurrently applied when a performance deficiency exists: </w:t>
      </w:r>
    </w:p>
    <w:p w14:paraId="5DDEE720" w14:textId="77777777" w:rsidR="00F63E61" w:rsidRDefault="00F63E61" w:rsidP="00F63E61">
      <w:pPr>
        <w:spacing w:line="228" w:lineRule="auto"/>
        <w:ind w:left="1440"/>
        <w:jc w:val="both"/>
        <w:rPr>
          <w:bCs/>
        </w:rPr>
      </w:pPr>
    </w:p>
    <w:p w14:paraId="4B558C7E" w14:textId="77777777" w:rsidR="00F63E61" w:rsidRDefault="00F63E61" w:rsidP="00F63E61">
      <w:pPr>
        <w:spacing w:line="228" w:lineRule="auto"/>
        <w:ind w:left="1440"/>
        <w:jc w:val="both"/>
        <w:rPr>
          <w:bCs/>
        </w:rPr>
      </w:pPr>
      <w:r>
        <w:rPr>
          <w:bCs/>
        </w:rPr>
        <w:t xml:space="preserve">(1) </w:t>
      </w:r>
      <w:r w:rsidRPr="00166B02">
        <w:rPr>
          <w:b/>
          <w:bCs/>
        </w:rPr>
        <w:t>Deficiency Communications</w:t>
      </w:r>
      <w:r w:rsidRPr="005D2FE0">
        <w:rPr>
          <w:bCs/>
        </w:rPr>
        <w:t xml:space="preserve"> </w:t>
      </w:r>
      <w:r>
        <w:rPr>
          <w:bCs/>
        </w:rPr>
        <w:t xml:space="preserve">– Written communication </w:t>
      </w:r>
      <w:r w:rsidRPr="005D2FE0">
        <w:rPr>
          <w:bCs/>
        </w:rPr>
        <w:t>shall be issued to the prime contractor for the prime and/or subcontractor’s non-compliance in any element of the program, including Disadvantaged Business Enterprise (DBE), Equal Employment Opportunity/Affirmative Action (EEO/AA), Wag</w:t>
      </w:r>
      <w:r>
        <w:rPr>
          <w:bCs/>
        </w:rPr>
        <w:t>e Rates and Certified Payrolls.</w:t>
      </w:r>
    </w:p>
    <w:p w14:paraId="2BFB9DC2" w14:textId="77777777" w:rsidR="00F63E61" w:rsidRDefault="00F63E61" w:rsidP="00F63E61">
      <w:pPr>
        <w:spacing w:line="228" w:lineRule="auto"/>
        <w:ind w:left="1440"/>
        <w:jc w:val="both"/>
        <w:rPr>
          <w:bCs/>
        </w:rPr>
      </w:pPr>
    </w:p>
    <w:p w14:paraId="6EDFE91A" w14:textId="77777777" w:rsidR="00F63E61" w:rsidRDefault="00F63E61" w:rsidP="00F63E61">
      <w:pPr>
        <w:spacing w:line="228" w:lineRule="auto"/>
        <w:ind w:left="1440"/>
        <w:jc w:val="both"/>
        <w:rPr>
          <w:bCs/>
        </w:rPr>
      </w:pPr>
      <w:r>
        <w:rPr>
          <w:bCs/>
        </w:rPr>
        <w:t xml:space="preserve">(2) </w:t>
      </w:r>
      <w:r w:rsidRPr="00166B02">
        <w:rPr>
          <w:b/>
          <w:bCs/>
        </w:rPr>
        <w:t>Withholding of Payment</w:t>
      </w:r>
      <w:r>
        <w:rPr>
          <w:bCs/>
          <w:i/>
        </w:rPr>
        <w:t xml:space="preserve"> –</w:t>
      </w:r>
      <w:r>
        <w:rPr>
          <w:bCs/>
        </w:rPr>
        <w:t xml:space="preserve"> If necessary, payment will be withheld until all non-compliance items are corrected.</w:t>
      </w:r>
    </w:p>
    <w:p w14:paraId="1EFE6B2E" w14:textId="77777777" w:rsidR="00F63E61" w:rsidRDefault="00F63E61" w:rsidP="00F63E61">
      <w:pPr>
        <w:spacing w:line="228" w:lineRule="auto"/>
        <w:ind w:left="1440"/>
        <w:jc w:val="both"/>
        <w:rPr>
          <w:bCs/>
        </w:rPr>
      </w:pPr>
    </w:p>
    <w:p w14:paraId="21628A5F" w14:textId="77777777" w:rsidR="00F63E61" w:rsidRPr="00D26765" w:rsidRDefault="00F63E61" w:rsidP="00F63E61">
      <w:pPr>
        <w:numPr>
          <w:ilvl w:val="1"/>
          <w:numId w:val="2"/>
        </w:numPr>
        <w:spacing w:line="228" w:lineRule="auto"/>
        <w:jc w:val="both"/>
        <w:rPr>
          <w:bCs/>
          <w:color w:val="C45911"/>
        </w:rPr>
      </w:pPr>
      <w:r w:rsidRPr="00D26765">
        <w:rPr>
          <w:b/>
          <w:bCs/>
        </w:rPr>
        <w:t>Payroll Violations</w:t>
      </w:r>
      <w:r w:rsidRPr="00D26765">
        <w:rPr>
          <w:bCs/>
        </w:rPr>
        <w:t xml:space="preserve"> - Payroll violations will be issued to the Prime Contractor using </w:t>
      </w:r>
      <w:r w:rsidRPr="00D26765">
        <w:rPr>
          <w:b/>
          <w:bCs/>
        </w:rPr>
        <w:t>FDOT Form No. 700-010-59 Notification to Contractor and Federal Highway Administration (FHWA) of Non-Compliance with the Work Hours Act of 1962 and Other Related Acts, Regulations and Contract Terms between the State of Florida Department of Transportation and Contractor</w:t>
      </w:r>
      <w:r w:rsidRPr="00D26765">
        <w:rPr>
          <w:bCs/>
        </w:rPr>
        <w:t xml:space="preserve">.  The Contractor will have 20 days to submit a supplemental payroll. </w:t>
      </w:r>
    </w:p>
    <w:p w14:paraId="5C631D00" w14:textId="77777777" w:rsidR="00F63E61" w:rsidRPr="00D26765" w:rsidRDefault="00F63E61" w:rsidP="00F63E61">
      <w:pPr>
        <w:spacing w:line="228" w:lineRule="auto"/>
        <w:ind w:left="990" w:firstLine="360"/>
        <w:jc w:val="both"/>
        <w:rPr>
          <w:bCs/>
          <w:color w:val="C45911"/>
        </w:rPr>
      </w:pPr>
      <w:r w:rsidRPr="00D26765">
        <w:rPr>
          <w:b/>
          <w:color w:val="C45911"/>
          <w:u w:val="single"/>
        </w:rPr>
        <w:t>Construction Contract Compliance Manual section 1.6.1</w:t>
      </w:r>
    </w:p>
    <w:p w14:paraId="615C7592" w14:textId="77777777" w:rsidR="00F63E61" w:rsidRPr="005D2FE0" w:rsidRDefault="00F63E61" w:rsidP="00F63E61">
      <w:pPr>
        <w:spacing w:line="228" w:lineRule="auto"/>
        <w:jc w:val="both"/>
        <w:rPr>
          <w:bCs/>
        </w:rPr>
      </w:pPr>
    </w:p>
    <w:p w14:paraId="17C65DB5" w14:textId="1C46D17B" w:rsidR="00D17147" w:rsidRDefault="00F63E61" w:rsidP="003B5B7C">
      <w:pPr>
        <w:spacing w:line="228" w:lineRule="auto"/>
        <w:jc w:val="both"/>
      </w:pPr>
      <w:r>
        <w:rPr>
          <w:b/>
          <w:sz w:val="28"/>
          <w:szCs w:val="28"/>
          <w:u w:val="single"/>
        </w:rPr>
        <w:lastRenderedPageBreak/>
        <w:t>T</w:t>
      </w:r>
      <w:r w:rsidRPr="00512071">
        <w:rPr>
          <w:b/>
          <w:sz w:val="28"/>
          <w:szCs w:val="28"/>
          <w:u w:val="single"/>
        </w:rPr>
        <w:t>hank you in advance for your cooperation and we look forward to the completion of a successful project!</w:t>
      </w:r>
    </w:p>
    <w:sectPr w:rsidR="00D17147" w:rsidSect="00F16E69">
      <w:headerReference w:type="even" r:id="rId33"/>
      <w:headerReference w:type="default" r:id="rId34"/>
      <w:footerReference w:type="even" r:id="rId35"/>
      <w:footerReference w:type="default" r:id="rId36"/>
      <w:headerReference w:type="first" r:id="rId37"/>
      <w:footerReference w:type="first" r:id="rId38"/>
      <w:pgSz w:w="12240" w:h="15840"/>
      <w:pgMar w:top="720" w:right="1080" w:bottom="72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A3A1" w14:textId="77777777" w:rsidR="00716880" w:rsidRDefault="00716880" w:rsidP="005F1124">
      <w:r>
        <w:separator/>
      </w:r>
    </w:p>
  </w:endnote>
  <w:endnote w:type="continuationSeparator" w:id="0">
    <w:p w14:paraId="4C0F13F7" w14:textId="77777777" w:rsidR="00716880" w:rsidRDefault="00716880" w:rsidP="005F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784E" w14:textId="77777777" w:rsidR="00141D93" w:rsidRDefault="0014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D37A" w14:textId="77777777" w:rsidR="00D17147" w:rsidRDefault="00D20034">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sidR="00141D93">
      <w:fldChar w:fldCharType="begin"/>
    </w:r>
    <w:r w:rsidR="00141D93">
      <w:instrText xml:space="preserve"> NUMPAGES </w:instrText>
    </w:r>
    <w:r w:rsidR="00141D93">
      <w:fldChar w:fldCharType="separate"/>
    </w:r>
    <w:r>
      <w:rPr>
        <w:noProof/>
      </w:rPr>
      <w:t>8</w:t>
    </w:r>
    <w:r w:rsidR="00141D9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34B4" w14:textId="77777777" w:rsidR="00141D93" w:rsidRDefault="0014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B7A6" w14:textId="77777777" w:rsidR="00716880" w:rsidRDefault="00716880" w:rsidP="005F1124">
      <w:r>
        <w:separator/>
      </w:r>
    </w:p>
  </w:footnote>
  <w:footnote w:type="continuationSeparator" w:id="0">
    <w:p w14:paraId="5263CFE3" w14:textId="77777777" w:rsidR="00716880" w:rsidRDefault="00716880" w:rsidP="005F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AB67" w14:textId="77777777" w:rsidR="00141D93" w:rsidRDefault="00141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B5A" w14:textId="7A93E539" w:rsidR="00D17147" w:rsidRPr="00C565F3" w:rsidRDefault="00C565F3" w:rsidP="00656451">
    <w:pPr>
      <w:pStyle w:val="Header"/>
      <w:jc w:val="right"/>
      <w:rPr>
        <w:bCs/>
        <w:sz w:val="20"/>
        <w:szCs w:val="20"/>
      </w:rPr>
    </w:pPr>
    <w:r w:rsidRPr="00C565F3">
      <w:rPr>
        <w:bCs/>
        <w:sz w:val="20"/>
        <w:szCs w:val="20"/>
      </w:rPr>
      <w:t xml:space="preserve">Rev. </w:t>
    </w:r>
    <w:r w:rsidR="00141D93">
      <w:rPr>
        <w:bCs/>
        <w:sz w:val="20"/>
        <w:szCs w:val="20"/>
      </w:rPr>
      <w:t>10/2</w:t>
    </w:r>
    <w:r w:rsidR="005274EC">
      <w:rPr>
        <w:bCs/>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AF20" w14:textId="77777777" w:rsidR="00141D93" w:rsidRDefault="00141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3BE4"/>
    <w:multiLevelType w:val="hybridMultilevel"/>
    <w:tmpl w:val="48C40818"/>
    <w:lvl w:ilvl="0" w:tplc="5E625E80">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2C6A1EC2"/>
    <w:multiLevelType w:val="hybridMultilevel"/>
    <w:tmpl w:val="C2FE42B6"/>
    <w:lvl w:ilvl="0" w:tplc="15B4E696">
      <w:start w:val="1"/>
      <w:numFmt w:val="decimal"/>
      <w:lvlText w:val="%1."/>
      <w:lvlJc w:val="left"/>
      <w:pPr>
        <w:tabs>
          <w:tab w:val="num" w:pos="720"/>
        </w:tabs>
        <w:ind w:left="720" w:hanging="360"/>
      </w:pPr>
      <w:rPr>
        <w:b w:val="0"/>
      </w:rPr>
    </w:lvl>
    <w:lvl w:ilvl="1" w:tplc="B2481BF0">
      <w:start w:val="1"/>
      <w:numFmt w:val="upperLetter"/>
      <w:lvlText w:val="%2."/>
      <w:lvlJc w:val="left"/>
      <w:pPr>
        <w:tabs>
          <w:tab w:val="num" w:pos="1350"/>
        </w:tabs>
        <w:ind w:left="1350" w:hanging="360"/>
      </w:pPr>
      <w:rPr>
        <w:b w:val="0"/>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C300503E">
      <w:start w:val="1"/>
      <w:numFmt w:val="upperLetter"/>
      <w:lvlText w:val="%6."/>
      <w:lvlJc w:val="left"/>
      <w:pPr>
        <w:tabs>
          <w:tab w:val="num" w:pos="4500"/>
        </w:tabs>
        <w:ind w:left="4500" w:hanging="360"/>
      </w:pPr>
      <w:rPr>
        <w:rFonts w:hint="default"/>
      </w:rPr>
    </w:lvl>
    <w:lvl w:ilvl="6" w:tplc="F7340CEA">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C6058"/>
    <w:multiLevelType w:val="hybridMultilevel"/>
    <w:tmpl w:val="69DC887E"/>
    <w:lvl w:ilvl="0" w:tplc="60262FEA">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7D80AC8"/>
    <w:multiLevelType w:val="hybridMultilevel"/>
    <w:tmpl w:val="B21C4EE2"/>
    <w:lvl w:ilvl="0" w:tplc="FE3AA930">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8BD6E7D"/>
    <w:multiLevelType w:val="multilevel"/>
    <w:tmpl w:val="056C5D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4CD849A9"/>
    <w:multiLevelType w:val="hybridMultilevel"/>
    <w:tmpl w:val="48C40818"/>
    <w:lvl w:ilvl="0" w:tplc="5E625E80">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EBF10E1"/>
    <w:multiLevelType w:val="multilevel"/>
    <w:tmpl w:val="117C2BD0"/>
    <w:styleLink w:val="Style1"/>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3.%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44057260">
    <w:abstractNumId w:val="6"/>
  </w:num>
  <w:num w:numId="2" w16cid:durableId="2046058922">
    <w:abstractNumId w:val="1"/>
  </w:num>
  <w:num w:numId="3" w16cid:durableId="917402225">
    <w:abstractNumId w:val="3"/>
  </w:num>
  <w:num w:numId="4" w16cid:durableId="25525308">
    <w:abstractNumId w:val="0"/>
  </w:num>
  <w:num w:numId="5" w16cid:durableId="1756778395">
    <w:abstractNumId w:val="5"/>
  </w:num>
  <w:num w:numId="6" w16cid:durableId="1979456642">
    <w:abstractNumId w:val="4"/>
  </w:num>
  <w:num w:numId="7" w16cid:durableId="204953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61"/>
    <w:rsid w:val="00047F74"/>
    <w:rsid w:val="000971FF"/>
    <w:rsid w:val="000A2FFA"/>
    <w:rsid w:val="00141D93"/>
    <w:rsid w:val="001B32A8"/>
    <w:rsid w:val="00220F33"/>
    <w:rsid w:val="002A0D7C"/>
    <w:rsid w:val="002A73F9"/>
    <w:rsid w:val="003823C9"/>
    <w:rsid w:val="003B5B7C"/>
    <w:rsid w:val="003E1C12"/>
    <w:rsid w:val="004D2013"/>
    <w:rsid w:val="004F20EC"/>
    <w:rsid w:val="005274EC"/>
    <w:rsid w:val="00561432"/>
    <w:rsid w:val="00566B17"/>
    <w:rsid w:val="005A559A"/>
    <w:rsid w:val="005F1124"/>
    <w:rsid w:val="00633716"/>
    <w:rsid w:val="00652856"/>
    <w:rsid w:val="0068537A"/>
    <w:rsid w:val="006A28ED"/>
    <w:rsid w:val="00716880"/>
    <w:rsid w:val="00790149"/>
    <w:rsid w:val="00831927"/>
    <w:rsid w:val="0088101D"/>
    <w:rsid w:val="00883EBB"/>
    <w:rsid w:val="008E1158"/>
    <w:rsid w:val="009403CB"/>
    <w:rsid w:val="009826A3"/>
    <w:rsid w:val="00A5273F"/>
    <w:rsid w:val="00AA0494"/>
    <w:rsid w:val="00AA51AD"/>
    <w:rsid w:val="00AF488F"/>
    <w:rsid w:val="00C44980"/>
    <w:rsid w:val="00C565F3"/>
    <w:rsid w:val="00C62FA9"/>
    <w:rsid w:val="00CB58F5"/>
    <w:rsid w:val="00D17147"/>
    <w:rsid w:val="00D20034"/>
    <w:rsid w:val="00D52454"/>
    <w:rsid w:val="00EA07AE"/>
    <w:rsid w:val="00EB6092"/>
    <w:rsid w:val="00EC2A24"/>
    <w:rsid w:val="00ED5A45"/>
    <w:rsid w:val="00F63E61"/>
    <w:rsid w:val="00F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4F9DB2"/>
  <w15:chartTrackingRefBased/>
  <w15:docId w15:val="{874030B9-09E4-48BB-A2A4-AE7BCF67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63E61"/>
    <w:pPr>
      <w:keepNext/>
      <w:jc w:val="center"/>
      <w:outlineLvl w:val="0"/>
    </w:pPr>
    <w:rPr>
      <w:b/>
      <w:bCs/>
    </w:rPr>
  </w:style>
  <w:style w:type="paragraph" w:styleId="Heading5">
    <w:name w:val="heading 5"/>
    <w:basedOn w:val="Normal"/>
    <w:next w:val="Normal"/>
    <w:link w:val="Heading5Char"/>
    <w:semiHidden/>
    <w:unhideWhenUsed/>
    <w:qFormat/>
    <w:rsid w:val="00F63E6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63E6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E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F63E6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F63E61"/>
    <w:rPr>
      <w:rFonts w:ascii="Calibri" w:eastAsia="Times New Roman" w:hAnsi="Calibri" w:cs="Times New Roman"/>
      <w:b/>
      <w:bCs/>
    </w:rPr>
  </w:style>
  <w:style w:type="paragraph" w:styleId="BodyTextIndent">
    <w:name w:val="Body Text Indent"/>
    <w:basedOn w:val="Normal"/>
    <w:link w:val="BodyTextIndentChar"/>
    <w:rsid w:val="00F63E61"/>
    <w:pPr>
      <w:tabs>
        <w:tab w:val="num" w:pos="360"/>
      </w:tabs>
      <w:spacing w:line="228" w:lineRule="auto"/>
      <w:ind w:left="360"/>
    </w:pPr>
  </w:style>
  <w:style w:type="character" w:customStyle="1" w:styleId="BodyTextIndentChar">
    <w:name w:val="Body Text Indent Char"/>
    <w:basedOn w:val="DefaultParagraphFont"/>
    <w:link w:val="BodyTextIndent"/>
    <w:rsid w:val="00F63E61"/>
    <w:rPr>
      <w:rFonts w:ascii="Times New Roman" w:eastAsia="Times New Roman" w:hAnsi="Times New Roman" w:cs="Times New Roman"/>
      <w:sz w:val="24"/>
      <w:szCs w:val="24"/>
    </w:rPr>
  </w:style>
  <w:style w:type="character" w:styleId="Hyperlink">
    <w:name w:val="Hyperlink"/>
    <w:rsid w:val="00F63E61"/>
    <w:rPr>
      <w:color w:val="0000FF"/>
      <w:u w:val="single"/>
    </w:rPr>
  </w:style>
  <w:style w:type="paragraph" w:styleId="Header">
    <w:name w:val="header"/>
    <w:basedOn w:val="Normal"/>
    <w:link w:val="HeaderChar"/>
    <w:rsid w:val="00F63E61"/>
    <w:pPr>
      <w:tabs>
        <w:tab w:val="center" w:pos="4320"/>
        <w:tab w:val="right" w:pos="8640"/>
      </w:tabs>
    </w:pPr>
  </w:style>
  <w:style w:type="character" w:customStyle="1" w:styleId="HeaderChar">
    <w:name w:val="Header Char"/>
    <w:basedOn w:val="DefaultParagraphFont"/>
    <w:link w:val="Header"/>
    <w:rsid w:val="00F63E61"/>
    <w:rPr>
      <w:rFonts w:ascii="Times New Roman" w:eastAsia="Times New Roman" w:hAnsi="Times New Roman" w:cs="Times New Roman"/>
      <w:sz w:val="24"/>
      <w:szCs w:val="24"/>
    </w:rPr>
  </w:style>
  <w:style w:type="numbering" w:customStyle="1" w:styleId="Style1">
    <w:name w:val="Style1"/>
    <w:rsid w:val="00F63E61"/>
    <w:pPr>
      <w:numPr>
        <w:numId w:val="1"/>
      </w:numPr>
    </w:pPr>
  </w:style>
  <w:style w:type="paragraph" w:styleId="Footer">
    <w:name w:val="footer"/>
    <w:basedOn w:val="Normal"/>
    <w:link w:val="FooterChar"/>
    <w:rsid w:val="00F63E61"/>
    <w:pPr>
      <w:tabs>
        <w:tab w:val="center" w:pos="4320"/>
        <w:tab w:val="right" w:pos="8640"/>
      </w:tabs>
    </w:pPr>
  </w:style>
  <w:style w:type="character" w:customStyle="1" w:styleId="FooterChar">
    <w:name w:val="Footer Char"/>
    <w:basedOn w:val="DefaultParagraphFont"/>
    <w:link w:val="Footer"/>
    <w:rsid w:val="00F63E61"/>
    <w:rPr>
      <w:rFonts w:ascii="Times New Roman" w:eastAsia="Times New Roman" w:hAnsi="Times New Roman" w:cs="Times New Roman"/>
      <w:sz w:val="24"/>
      <w:szCs w:val="24"/>
    </w:rPr>
  </w:style>
  <w:style w:type="paragraph" w:styleId="BalloonText">
    <w:name w:val="Balloon Text"/>
    <w:basedOn w:val="Normal"/>
    <w:link w:val="BalloonTextChar"/>
    <w:semiHidden/>
    <w:rsid w:val="00F63E61"/>
    <w:rPr>
      <w:rFonts w:ascii="Tahoma" w:hAnsi="Tahoma" w:cs="Tahoma"/>
      <w:sz w:val="16"/>
      <w:szCs w:val="16"/>
    </w:rPr>
  </w:style>
  <w:style w:type="character" w:customStyle="1" w:styleId="BalloonTextChar">
    <w:name w:val="Balloon Text Char"/>
    <w:basedOn w:val="DefaultParagraphFont"/>
    <w:link w:val="BalloonText"/>
    <w:semiHidden/>
    <w:rsid w:val="00F63E61"/>
    <w:rPr>
      <w:rFonts w:ascii="Tahoma" w:eastAsia="Times New Roman" w:hAnsi="Tahoma" w:cs="Tahoma"/>
      <w:sz w:val="16"/>
      <w:szCs w:val="16"/>
    </w:rPr>
  </w:style>
  <w:style w:type="table" w:styleId="TableGrid">
    <w:name w:val="Table Grid"/>
    <w:basedOn w:val="TableNormal"/>
    <w:rsid w:val="00F63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E61"/>
    <w:pPr>
      <w:ind w:left="720"/>
    </w:pPr>
  </w:style>
  <w:style w:type="character" w:styleId="FollowedHyperlink">
    <w:name w:val="FollowedHyperlink"/>
    <w:rsid w:val="00F63E61"/>
    <w:rPr>
      <w:color w:val="800080"/>
      <w:u w:val="single"/>
    </w:rPr>
  </w:style>
  <w:style w:type="character" w:customStyle="1" w:styleId="style23">
    <w:name w:val="style23"/>
    <w:basedOn w:val="DefaultParagraphFont"/>
    <w:rsid w:val="00F63E61"/>
  </w:style>
  <w:style w:type="paragraph" w:styleId="BodyText">
    <w:name w:val="Body Text"/>
    <w:basedOn w:val="Normal"/>
    <w:link w:val="BodyTextChar"/>
    <w:rsid w:val="00F63E61"/>
    <w:pPr>
      <w:spacing w:after="120"/>
    </w:pPr>
  </w:style>
  <w:style w:type="character" w:customStyle="1" w:styleId="BodyTextChar">
    <w:name w:val="Body Text Char"/>
    <w:basedOn w:val="DefaultParagraphFont"/>
    <w:link w:val="BodyText"/>
    <w:rsid w:val="00F63E6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63E61"/>
    <w:rPr>
      <w:rFonts w:eastAsia="Calibri"/>
      <w:i/>
      <w:iCs/>
    </w:rPr>
  </w:style>
  <w:style w:type="character" w:customStyle="1" w:styleId="PlainTextChar">
    <w:name w:val="Plain Text Char"/>
    <w:basedOn w:val="DefaultParagraphFont"/>
    <w:link w:val="PlainText"/>
    <w:uiPriority w:val="99"/>
    <w:rsid w:val="00F63E61"/>
    <w:rPr>
      <w:rFonts w:ascii="Times New Roman" w:eastAsia="Calibri" w:hAnsi="Times New Roman" w:cs="Times New Roman"/>
      <w:i/>
      <w:iCs/>
      <w:sz w:val="24"/>
      <w:szCs w:val="24"/>
    </w:rPr>
  </w:style>
  <w:style w:type="character" w:styleId="UnresolvedMention">
    <w:name w:val="Unresolved Mention"/>
    <w:uiPriority w:val="99"/>
    <w:semiHidden/>
    <w:unhideWhenUsed/>
    <w:rsid w:val="00F63E61"/>
    <w:rPr>
      <w:color w:val="605E5C"/>
      <w:shd w:val="clear" w:color="auto" w:fill="E1DFDD"/>
    </w:rPr>
  </w:style>
  <w:style w:type="character" w:styleId="CommentReference">
    <w:name w:val="annotation reference"/>
    <w:basedOn w:val="DefaultParagraphFont"/>
    <w:uiPriority w:val="99"/>
    <w:semiHidden/>
    <w:unhideWhenUsed/>
    <w:rsid w:val="004D2013"/>
    <w:rPr>
      <w:sz w:val="16"/>
      <w:szCs w:val="16"/>
    </w:rPr>
  </w:style>
  <w:style w:type="paragraph" w:styleId="CommentText">
    <w:name w:val="annotation text"/>
    <w:basedOn w:val="Normal"/>
    <w:link w:val="CommentTextChar"/>
    <w:uiPriority w:val="99"/>
    <w:semiHidden/>
    <w:unhideWhenUsed/>
    <w:rsid w:val="004D2013"/>
    <w:rPr>
      <w:sz w:val="20"/>
      <w:szCs w:val="20"/>
    </w:rPr>
  </w:style>
  <w:style w:type="character" w:customStyle="1" w:styleId="CommentTextChar">
    <w:name w:val="Comment Text Char"/>
    <w:basedOn w:val="DefaultParagraphFont"/>
    <w:link w:val="CommentText"/>
    <w:uiPriority w:val="99"/>
    <w:semiHidden/>
    <w:rsid w:val="004D2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013"/>
    <w:rPr>
      <w:b/>
      <w:bCs/>
    </w:rPr>
  </w:style>
  <w:style w:type="character" w:customStyle="1" w:styleId="CommentSubjectChar">
    <w:name w:val="Comment Subject Char"/>
    <w:basedOn w:val="CommentTextChar"/>
    <w:link w:val="CommentSubject"/>
    <w:uiPriority w:val="99"/>
    <w:semiHidden/>
    <w:rsid w:val="004D20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dotwww.blob.core.windows.net/sitefinity/docs/default-source/equalopporunity/22-088_eeoc_knowyourrightssp_10_20-span.pdf?sfvrsn=71131957_2" TargetMode="External"/><Relationship Id="rId18" Type="http://schemas.openxmlformats.org/officeDocument/2006/relationships/hyperlink" Target="https://fdotwww.blob.core.windows.net/sitefinity/docs/default-source/equalopporunity/equalopportunity/contract-compliance/posters/fmlasp.pdf?sfvrsn=d5618915_0" TargetMode="External"/><Relationship Id="rId26" Type="http://schemas.openxmlformats.org/officeDocument/2006/relationships/hyperlink" Target="https://fdotwww.blob.core.windows.net/sitefinity/docs/default-source/equalopporunity/contract-compliance/florida-law-prohibits-discrimination-(eng-and-esp-).pdf?sfvrsn=6589a531_0" TargetMode="External"/><Relationship Id="rId39" Type="http://schemas.openxmlformats.org/officeDocument/2006/relationships/fontTable" Target="fontTable.xml"/><Relationship Id="rId21" Type="http://schemas.openxmlformats.org/officeDocument/2006/relationships/hyperlink" Target="https://fdotwww.blob.core.windows.net/sitefinity/docs/default-source/equalopporunity/equalopportunity/contract-compliance/posters/osha-3167-job-safety-and-health-spanish-version.pdf?sfvrsn=ae3e6d7a_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dotwww.blob.core.windows.net/sitefinity/docs/default-source/equalopporunity/22-088_eeoc_knowyourrights_10_20-english.pdf?sfvrsn=1902c02c_2" TargetMode="External"/><Relationship Id="rId17" Type="http://schemas.openxmlformats.org/officeDocument/2006/relationships/hyperlink" Target="https://fdotwww.blob.core.windows.net/sitefinity/docs/default-source/equalopporunity/equalopportunity/contract-compliance/posters/fmlaen2016.pdf?sfvrsn=9363353c_0" TargetMode="External"/><Relationship Id="rId25" Type="http://schemas.openxmlformats.org/officeDocument/2006/relationships/hyperlink" Target="https://fdotwww.blob.core.windows.net/sitefinity/docs/default-source/equalopporunity/contract-compliance/e_verify_poster.pdf?sfvrsn=efd0fd52_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fdotwww.blob.core.windows.net/sitefinity/docs/default-source/equalopporunity/contract-compliance/employee-rights-under-davis-bacon-act-(spanish-version).pdf?sfvrsn=c8107a04_0" TargetMode="External"/><Relationship Id="rId20" Type="http://schemas.openxmlformats.org/officeDocument/2006/relationships/hyperlink" Target="https://fdotwww.blob.core.windows.net/sitefinity/docs/default-source/equalopporunity/equalopportunity/contract-compliance/posters/osha-job-safety-and-health-2015.pdf?sfvrsn=6c847006_0" TargetMode="External"/><Relationship Id="rId29" Type="http://schemas.openxmlformats.org/officeDocument/2006/relationships/hyperlink" Target="https://www.fdot.gov/equalopportunity/defaul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ot.gov/equalopportunity/ccposters.shtm" TargetMode="External"/><Relationship Id="rId24" Type="http://schemas.openxmlformats.org/officeDocument/2006/relationships/hyperlink" Target="https://fdotwww.blob.core.windows.net/sitefinity/docs/default-source/equalopporunity/contract-compliance/posters/polygraph-spanish-version.pdf?sfvrsn=c1a62db1_0" TargetMode="External"/><Relationship Id="rId32" Type="http://schemas.openxmlformats.org/officeDocument/2006/relationships/hyperlink" Target="mailto:EOOHelp@dot.state.fl.u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dotwww.blob.core.windows.net/sitefinity/docs/default-source/equalopporunity/contract-compliance/employee-rights-under-davis-bacon-act97962ec6ff3946fbada633087751c7d3.pdf?sfvrsn=5baf68ee_0" TargetMode="External"/><Relationship Id="rId23" Type="http://schemas.openxmlformats.org/officeDocument/2006/relationships/hyperlink" Target="https://fdotwww.blob.core.windows.net/sitefinity/docs/default-source/equalopporunity/contract-compliance/posters/polygraph.pdf?sfvrsn=d8e21dd1_0" TargetMode="External"/><Relationship Id="rId28" Type="http://schemas.openxmlformats.org/officeDocument/2006/relationships/hyperlink" Target="https://www.fdot.gov/equalopportunity/ContractCompliance.shtm" TargetMode="External"/><Relationship Id="rId36" Type="http://schemas.openxmlformats.org/officeDocument/2006/relationships/footer" Target="footer2.xml"/><Relationship Id="rId10" Type="http://schemas.openxmlformats.org/officeDocument/2006/relationships/hyperlink" Target="https://www.fdot.gov/equalopportunity/contractcompliancemanual.shtm" TargetMode="External"/><Relationship Id="rId19" Type="http://schemas.openxmlformats.org/officeDocument/2006/relationships/hyperlink" Target="https://fdotwww.blob.core.windows.net/sitefinity/docs/default-source/equalopporunity/contract-compliance/posters/wage-determination-appeal-dec-2013.pdf?sfvrsn=52603940_2" TargetMode="External"/><Relationship Id="rId31" Type="http://schemas.openxmlformats.org/officeDocument/2006/relationships/hyperlink" Target="https://www.fdot.gov/equalopportunity/default.shtml" TargetMode="External"/><Relationship Id="rId4" Type="http://schemas.openxmlformats.org/officeDocument/2006/relationships/settings" Target="settings.xml"/><Relationship Id="rId9" Type="http://schemas.openxmlformats.org/officeDocument/2006/relationships/hyperlink" Target="https://www.fdot.gov/equalopportunity/contractcompliancemanual.shtm" TargetMode="External"/><Relationship Id="rId14" Type="http://schemas.openxmlformats.org/officeDocument/2006/relationships/hyperlink" Target="https://fdotwww.blob.core.windows.net/sitefinity/docs/default-source/equalopporunity/equalopportunity/contract-compliance/posters/floridalawprohibitsupdate716.pdf?sfvrsn=99fb0570_0" TargetMode="External"/><Relationship Id="rId22" Type="http://schemas.openxmlformats.org/officeDocument/2006/relationships/hyperlink" Target="https://fdotwww.blob.core.windows.net/sitefinity/docs/default-source/equalopporunity/fhwa-poster-notice-typable-11-2022.pdf?sfvrsn=6bbafc64_2" TargetMode="External"/><Relationship Id="rId27" Type="http://schemas.openxmlformats.org/officeDocument/2006/relationships/hyperlink" Target="https://www.fdot.gov/construction/wage.shtm%20" TargetMode="External"/><Relationship Id="rId30" Type="http://schemas.openxmlformats.org/officeDocument/2006/relationships/hyperlink" Target="mailto:EOOHelp@dot.state.fl.us" TargetMode="External"/><Relationship Id="rId35" Type="http://schemas.openxmlformats.org/officeDocument/2006/relationships/footer" Target="footer1.xml"/><Relationship Id="rId8" Type="http://schemas.openxmlformats.org/officeDocument/2006/relationships/hyperlink" Target="https://pdl.fdot.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7FDE-B143-44AC-8566-AC5BB338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Hataway</dc:creator>
  <cp:keywords/>
  <dc:description/>
  <cp:lastModifiedBy>Maryann Hataway</cp:lastModifiedBy>
  <cp:revision>3</cp:revision>
  <dcterms:created xsi:type="dcterms:W3CDTF">2023-10-02T15:08:00Z</dcterms:created>
  <dcterms:modified xsi:type="dcterms:W3CDTF">2023-11-27T21:30:00Z</dcterms:modified>
</cp:coreProperties>
</file>