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0E49D" w14:textId="77777777" w:rsidR="00F45C9F" w:rsidRDefault="00502E23">
      <w:pPr>
        <w:spacing w:before="6" w:line="273" w:lineRule="exact"/>
        <w:jc w:val="center"/>
        <w:textAlignment w:val="baseline"/>
        <w:rPr>
          <w:rFonts w:ascii="Arial" w:eastAsia="Arial" w:hAnsi="Arial"/>
          <w:b/>
          <w:color w:val="000000"/>
          <w:sz w:val="24"/>
        </w:rPr>
      </w:pPr>
      <w:r>
        <w:rPr>
          <w:rFonts w:ascii="Arial" w:eastAsia="Arial" w:hAnsi="Arial"/>
          <w:b/>
          <w:color w:val="000000"/>
          <w:sz w:val="24"/>
        </w:rPr>
        <w:t>FLORIDA DEPARTMENT OF TRANSPORTATION</w:t>
      </w:r>
    </w:p>
    <w:p w14:paraId="2F6F3447" w14:textId="77777777" w:rsidR="00F45C9F" w:rsidRDefault="00502E23">
      <w:pPr>
        <w:spacing w:before="557" w:line="273" w:lineRule="exact"/>
        <w:jc w:val="center"/>
        <w:textAlignment w:val="baseline"/>
        <w:rPr>
          <w:rFonts w:ascii="Arial" w:eastAsia="Arial" w:hAnsi="Arial"/>
          <w:b/>
          <w:color w:val="000000"/>
          <w:sz w:val="24"/>
        </w:rPr>
      </w:pPr>
      <w:r>
        <w:rPr>
          <w:rFonts w:ascii="Arial" w:eastAsia="Arial" w:hAnsi="Arial"/>
          <w:b/>
          <w:color w:val="000000"/>
          <w:sz w:val="24"/>
        </w:rPr>
        <w:t>METHODOLOGY FOR DETERMINING DBE GOAL (49 CFR 26.45)</w:t>
      </w:r>
    </w:p>
    <w:p w14:paraId="58354815" w14:textId="77777777" w:rsidR="00F45C9F" w:rsidRDefault="00502E23">
      <w:pPr>
        <w:spacing w:before="1" w:line="273" w:lineRule="exact"/>
        <w:jc w:val="center"/>
        <w:textAlignment w:val="baseline"/>
        <w:rPr>
          <w:rFonts w:ascii="Arial" w:eastAsia="Arial" w:hAnsi="Arial"/>
          <w:b/>
          <w:color w:val="000000"/>
          <w:sz w:val="24"/>
        </w:rPr>
      </w:pPr>
      <w:r>
        <w:rPr>
          <w:rFonts w:ascii="Arial" w:eastAsia="Arial" w:hAnsi="Arial"/>
          <w:b/>
          <w:color w:val="000000"/>
          <w:sz w:val="24"/>
        </w:rPr>
        <w:t>FEDERAL TRANSIT ADMINISTRATION</w:t>
      </w:r>
    </w:p>
    <w:p w14:paraId="0F1B21A0" w14:textId="0738EB54" w:rsidR="00F45C9F" w:rsidRDefault="00502E23">
      <w:pPr>
        <w:spacing w:before="5" w:line="273" w:lineRule="exact"/>
        <w:jc w:val="center"/>
        <w:textAlignment w:val="baseline"/>
        <w:rPr>
          <w:rFonts w:ascii="Arial" w:eastAsia="Arial" w:hAnsi="Arial"/>
          <w:b/>
          <w:color w:val="000000"/>
          <w:sz w:val="24"/>
        </w:rPr>
      </w:pPr>
      <w:r>
        <w:rPr>
          <w:rFonts w:ascii="Arial" w:eastAsia="Arial" w:hAnsi="Arial"/>
          <w:b/>
          <w:color w:val="000000"/>
          <w:sz w:val="24"/>
        </w:rPr>
        <w:t xml:space="preserve">FEDERAL FISCAL YEARS </w:t>
      </w:r>
      <w:r w:rsidR="000C7F38">
        <w:rPr>
          <w:rFonts w:ascii="Arial" w:eastAsia="Arial" w:hAnsi="Arial"/>
          <w:b/>
          <w:color w:val="000000"/>
          <w:sz w:val="24"/>
        </w:rPr>
        <w:t>2021</w:t>
      </w:r>
      <w:r>
        <w:rPr>
          <w:rFonts w:ascii="Arial" w:eastAsia="Arial" w:hAnsi="Arial"/>
          <w:b/>
          <w:color w:val="000000"/>
          <w:sz w:val="24"/>
        </w:rPr>
        <w:t>-202</w:t>
      </w:r>
      <w:r w:rsidR="000C7F38">
        <w:rPr>
          <w:rFonts w:ascii="Arial" w:eastAsia="Arial" w:hAnsi="Arial"/>
          <w:b/>
          <w:color w:val="000000"/>
          <w:sz w:val="24"/>
        </w:rPr>
        <w:t>3</w:t>
      </w:r>
    </w:p>
    <w:p w14:paraId="1EE5C25B" w14:textId="77777777" w:rsidR="00F45C9F" w:rsidRDefault="00502E23">
      <w:pPr>
        <w:spacing w:before="553" w:line="274" w:lineRule="exact"/>
        <w:textAlignment w:val="baseline"/>
        <w:rPr>
          <w:rFonts w:ascii="Arial" w:eastAsia="Arial" w:hAnsi="Arial"/>
          <w:b/>
          <w:color w:val="000000"/>
          <w:sz w:val="24"/>
          <w:u w:val="single"/>
        </w:rPr>
      </w:pPr>
      <w:r>
        <w:rPr>
          <w:rFonts w:ascii="Arial" w:eastAsia="Arial" w:hAnsi="Arial"/>
          <w:b/>
          <w:color w:val="000000"/>
          <w:sz w:val="24"/>
          <w:u w:val="single"/>
        </w:rPr>
        <w:t>OVERALL GOAL</w:t>
      </w:r>
    </w:p>
    <w:p w14:paraId="6F5DDE9E" w14:textId="18DAD212" w:rsidR="00F45C9F" w:rsidRDefault="00502E23">
      <w:pPr>
        <w:spacing w:before="276" w:line="276" w:lineRule="exact"/>
        <w:jc w:val="both"/>
        <w:textAlignment w:val="baseline"/>
        <w:rPr>
          <w:rFonts w:ascii="Arial" w:eastAsia="Arial" w:hAnsi="Arial"/>
          <w:color w:val="000000"/>
          <w:spacing w:val="-1"/>
          <w:sz w:val="24"/>
        </w:rPr>
      </w:pPr>
      <w:r>
        <w:rPr>
          <w:rFonts w:ascii="Arial" w:eastAsia="Arial" w:hAnsi="Arial"/>
          <w:color w:val="000000"/>
          <w:spacing w:val="-1"/>
          <w:sz w:val="24"/>
        </w:rPr>
        <w:t xml:space="preserve">The overall goal for the Florida Department of Transportation’s (FDOT) Disadvantaged Business Enterprise (DBE) program for FTA assisted contracts is established on a tri-annual basis with adjustments each year to reflect changed circumstances if needed. The overall goal for federal fiscal years </w:t>
      </w:r>
      <w:r w:rsidR="00C008A5">
        <w:rPr>
          <w:rFonts w:ascii="Arial" w:eastAsia="Arial" w:hAnsi="Arial"/>
          <w:color w:val="000000"/>
          <w:spacing w:val="-1"/>
          <w:sz w:val="24"/>
        </w:rPr>
        <w:t>2021</w:t>
      </w:r>
      <w:r>
        <w:rPr>
          <w:rFonts w:ascii="Arial" w:eastAsia="Arial" w:hAnsi="Arial"/>
          <w:color w:val="000000"/>
          <w:spacing w:val="-1"/>
          <w:sz w:val="24"/>
        </w:rPr>
        <w:t>-202</w:t>
      </w:r>
      <w:r w:rsidR="00C008A5">
        <w:rPr>
          <w:rFonts w:ascii="Arial" w:eastAsia="Arial" w:hAnsi="Arial"/>
          <w:color w:val="000000"/>
          <w:spacing w:val="-1"/>
          <w:sz w:val="24"/>
        </w:rPr>
        <w:t>3</w:t>
      </w:r>
      <w:r>
        <w:rPr>
          <w:rFonts w:ascii="Arial" w:eastAsia="Arial" w:hAnsi="Arial"/>
          <w:color w:val="000000"/>
          <w:spacing w:val="-1"/>
          <w:sz w:val="24"/>
        </w:rPr>
        <w:t xml:space="preserve"> has been set </w:t>
      </w:r>
      <w:r w:rsidRPr="0076044B">
        <w:rPr>
          <w:rFonts w:ascii="Arial" w:eastAsia="Arial" w:hAnsi="Arial"/>
          <w:color w:val="000000"/>
          <w:spacing w:val="-1"/>
          <w:sz w:val="24"/>
        </w:rPr>
        <w:t xml:space="preserve">at </w:t>
      </w:r>
      <w:r w:rsidR="00C008A5" w:rsidRPr="0076044B">
        <w:rPr>
          <w:rFonts w:ascii="Arial" w:eastAsia="Arial" w:hAnsi="Arial"/>
          <w:b/>
          <w:color w:val="000000"/>
          <w:spacing w:val="-1"/>
          <w:sz w:val="24"/>
        </w:rPr>
        <w:t>30.</w:t>
      </w:r>
      <w:r w:rsidR="00864E14">
        <w:rPr>
          <w:rFonts w:ascii="Arial" w:eastAsia="Arial" w:hAnsi="Arial"/>
          <w:b/>
          <w:color w:val="000000"/>
          <w:spacing w:val="-1"/>
          <w:sz w:val="24"/>
        </w:rPr>
        <w:t>07</w:t>
      </w:r>
      <w:r w:rsidRPr="0076044B">
        <w:rPr>
          <w:rFonts w:ascii="Arial" w:eastAsia="Arial" w:hAnsi="Arial"/>
          <w:b/>
          <w:color w:val="000000"/>
          <w:spacing w:val="-1"/>
          <w:sz w:val="24"/>
        </w:rPr>
        <w:t>%</w:t>
      </w:r>
      <w:r>
        <w:rPr>
          <w:rFonts w:ascii="Arial" w:eastAsia="Arial" w:hAnsi="Arial"/>
          <w:b/>
          <w:color w:val="000000"/>
          <w:spacing w:val="-1"/>
          <w:sz w:val="24"/>
        </w:rPr>
        <w:t xml:space="preserve"> </w:t>
      </w:r>
      <w:r>
        <w:rPr>
          <w:rFonts w:ascii="Arial" w:eastAsia="Arial" w:hAnsi="Arial"/>
          <w:color w:val="000000"/>
          <w:spacing w:val="-1"/>
          <w:sz w:val="24"/>
        </w:rPr>
        <w:t>utilizing the methodologies described in 49 CFR Part 26.</w:t>
      </w:r>
    </w:p>
    <w:p w14:paraId="7F325120" w14:textId="77777777" w:rsidR="00F45C9F" w:rsidRDefault="00502E23">
      <w:pPr>
        <w:spacing w:before="278" w:line="274" w:lineRule="exact"/>
        <w:textAlignment w:val="baseline"/>
        <w:rPr>
          <w:rFonts w:ascii="Arial" w:eastAsia="Arial" w:hAnsi="Arial"/>
          <w:b/>
          <w:color w:val="000000"/>
          <w:sz w:val="24"/>
          <w:u w:val="single"/>
        </w:rPr>
      </w:pPr>
      <w:r>
        <w:rPr>
          <w:rFonts w:ascii="Arial" w:eastAsia="Arial" w:hAnsi="Arial"/>
          <w:b/>
          <w:color w:val="000000"/>
          <w:sz w:val="24"/>
          <w:u w:val="single"/>
        </w:rPr>
        <w:t>METHODOLOGY</w:t>
      </w:r>
      <w:r>
        <w:rPr>
          <w:rFonts w:ascii="Arial" w:eastAsia="Arial" w:hAnsi="Arial"/>
          <w:b/>
          <w:color w:val="000000"/>
          <w:sz w:val="24"/>
        </w:rPr>
        <w:t xml:space="preserve"> </w:t>
      </w:r>
    </w:p>
    <w:p w14:paraId="485F3109" w14:textId="77777777" w:rsidR="00F45C9F" w:rsidRDefault="00502E23">
      <w:pPr>
        <w:spacing w:before="278" w:line="276" w:lineRule="exact"/>
        <w:jc w:val="both"/>
        <w:textAlignment w:val="baseline"/>
        <w:rPr>
          <w:rFonts w:ascii="Arial" w:eastAsia="Arial" w:hAnsi="Arial"/>
          <w:color w:val="000000"/>
          <w:sz w:val="24"/>
        </w:rPr>
      </w:pPr>
      <w:r>
        <w:rPr>
          <w:rFonts w:ascii="Arial" w:eastAsia="Arial" w:hAnsi="Arial"/>
          <w:color w:val="000000"/>
          <w:sz w:val="24"/>
        </w:rPr>
        <w:t>In setting the goal for FDOT, it is required that the goal setting process begin with a base figure for the relative availability of DBEs. The overall goal must be based on demonstrable evidence of the availability of ready, willing, and able DBEs relative to all businesses ready, willing, and able to participate on FTA assisted contracts.</w:t>
      </w:r>
    </w:p>
    <w:p w14:paraId="06E8FC37" w14:textId="0D7FE27D" w:rsidR="00F45C9F" w:rsidRDefault="00502E23">
      <w:pPr>
        <w:spacing w:before="276" w:line="276" w:lineRule="exact"/>
        <w:jc w:val="both"/>
        <w:textAlignment w:val="baseline"/>
        <w:rPr>
          <w:rFonts w:ascii="Arial" w:eastAsia="Arial" w:hAnsi="Arial"/>
          <w:color w:val="000000"/>
          <w:sz w:val="24"/>
        </w:rPr>
      </w:pPr>
      <w:r>
        <w:rPr>
          <w:rFonts w:ascii="Arial" w:eastAsia="Arial" w:hAnsi="Arial"/>
          <w:color w:val="000000"/>
          <w:sz w:val="24"/>
        </w:rPr>
        <w:t xml:space="preserve">FDOT has reviewed the alternatives listed in 49 CFR Part 26 and selected the DBE Directory and Census Bureau </w:t>
      </w:r>
      <w:r w:rsidR="00C008A5">
        <w:rPr>
          <w:rFonts w:ascii="Arial" w:eastAsia="Arial" w:hAnsi="Arial"/>
          <w:color w:val="000000"/>
          <w:sz w:val="24"/>
        </w:rPr>
        <w:t>2017</w:t>
      </w:r>
      <w:r>
        <w:rPr>
          <w:rFonts w:ascii="Arial" w:eastAsia="Arial" w:hAnsi="Arial"/>
          <w:color w:val="000000"/>
          <w:sz w:val="24"/>
        </w:rPr>
        <w:t xml:space="preserve"> County Business Patterns data as the best approach for FTA goal development.</w:t>
      </w:r>
    </w:p>
    <w:p w14:paraId="33208A92" w14:textId="77777777" w:rsidR="00F45C9F" w:rsidRDefault="00502E23">
      <w:pPr>
        <w:spacing w:before="278" w:line="273" w:lineRule="exact"/>
        <w:textAlignment w:val="baseline"/>
        <w:rPr>
          <w:rFonts w:ascii="Arial" w:eastAsia="Arial" w:hAnsi="Arial"/>
          <w:b/>
          <w:color w:val="000000"/>
          <w:spacing w:val="-1"/>
          <w:sz w:val="24"/>
        </w:rPr>
      </w:pPr>
      <w:r>
        <w:rPr>
          <w:rFonts w:ascii="Arial" w:eastAsia="Arial" w:hAnsi="Arial"/>
          <w:b/>
          <w:color w:val="000000"/>
          <w:spacing w:val="-1"/>
          <w:sz w:val="24"/>
        </w:rPr>
        <w:t>Step One</w:t>
      </w:r>
    </w:p>
    <w:p w14:paraId="0270CC8C" w14:textId="7823F30C" w:rsidR="00F45C9F" w:rsidRDefault="00502E23">
      <w:pPr>
        <w:spacing w:before="275" w:line="276" w:lineRule="exact"/>
        <w:jc w:val="both"/>
        <w:textAlignment w:val="baseline"/>
        <w:rPr>
          <w:rFonts w:ascii="Arial" w:eastAsia="Arial" w:hAnsi="Arial"/>
          <w:color w:val="000000"/>
          <w:sz w:val="24"/>
        </w:rPr>
      </w:pPr>
      <w:r>
        <w:rPr>
          <w:rFonts w:ascii="Arial" w:eastAsia="Arial" w:hAnsi="Arial"/>
          <w:color w:val="000000"/>
          <w:sz w:val="24"/>
        </w:rPr>
        <w:t>In the analysis of the relative availability of DBEs for the Central Florida Commuter Rail Transit Project (SunRail), FDOT used the Census Bureau 201</w:t>
      </w:r>
      <w:r w:rsidR="00C008A5">
        <w:rPr>
          <w:rFonts w:ascii="Arial" w:eastAsia="Arial" w:hAnsi="Arial"/>
          <w:color w:val="000000"/>
          <w:sz w:val="24"/>
        </w:rPr>
        <w:t>7</w:t>
      </w:r>
      <w:r>
        <w:rPr>
          <w:rFonts w:ascii="Arial" w:eastAsia="Arial" w:hAnsi="Arial"/>
          <w:color w:val="000000"/>
          <w:sz w:val="24"/>
        </w:rPr>
        <w:t xml:space="preserve"> County Business Patterns for the Orlando-Kissimmee Metropolitan Statistical Area that includes Lake, Orange, Osceola and Seminole counties.</w:t>
      </w:r>
    </w:p>
    <w:p w14:paraId="3C63D19B" w14:textId="4C7CB7B8" w:rsidR="00F45C9F" w:rsidRDefault="00502E23">
      <w:pPr>
        <w:spacing w:before="278" w:line="276" w:lineRule="exact"/>
        <w:jc w:val="both"/>
        <w:textAlignment w:val="baseline"/>
        <w:rPr>
          <w:rFonts w:ascii="Arial" w:eastAsia="Arial" w:hAnsi="Arial"/>
          <w:color w:val="000000"/>
          <w:sz w:val="24"/>
        </w:rPr>
      </w:pPr>
      <w:r>
        <w:rPr>
          <w:rFonts w:ascii="Arial" w:eastAsia="Arial" w:hAnsi="Arial"/>
          <w:color w:val="000000"/>
          <w:sz w:val="24"/>
        </w:rPr>
        <w:t>In the analysis of relative availability of DBEs for 5311 and 5310 operating funds, FDOT used the Census Bureau 201</w:t>
      </w:r>
      <w:r w:rsidR="00C008A5">
        <w:rPr>
          <w:rFonts w:ascii="Arial" w:eastAsia="Arial" w:hAnsi="Arial"/>
          <w:color w:val="000000"/>
          <w:sz w:val="24"/>
        </w:rPr>
        <w:t>7</w:t>
      </w:r>
      <w:r>
        <w:rPr>
          <w:rFonts w:ascii="Arial" w:eastAsia="Arial" w:hAnsi="Arial"/>
          <w:color w:val="000000"/>
          <w:sz w:val="24"/>
        </w:rPr>
        <w:t xml:space="preserve"> County Business Patterns for the entire state of Florida. The percentage of dollars associated with these two projects are calculated separately and then combined to form one FTA DBE goal.</w:t>
      </w:r>
    </w:p>
    <w:p w14:paraId="5C6CEA5F" w14:textId="77777777" w:rsidR="00F45C9F" w:rsidRDefault="00502E23">
      <w:pPr>
        <w:spacing w:before="270" w:line="266" w:lineRule="exact"/>
        <w:jc w:val="center"/>
        <w:textAlignment w:val="baseline"/>
        <w:rPr>
          <w:rFonts w:ascii="Arial" w:eastAsia="Arial" w:hAnsi="Arial"/>
          <w:color w:val="000000"/>
          <w:sz w:val="24"/>
        </w:rPr>
      </w:pPr>
      <w:r>
        <w:rPr>
          <w:rFonts w:ascii="Arial" w:eastAsia="Arial" w:hAnsi="Arial"/>
          <w:color w:val="000000"/>
          <w:sz w:val="24"/>
        </w:rPr>
        <w:t>Table 1 Breakdown of Amounts Available</w:t>
      </w:r>
    </w:p>
    <w:tbl>
      <w:tblPr>
        <w:tblW w:w="0" w:type="auto"/>
        <w:tblInd w:w="2179" w:type="dxa"/>
        <w:tblLayout w:type="fixed"/>
        <w:tblCellMar>
          <w:left w:w="0" w:type="dxa"/>
          <w:right w:w="0" w:type="dxa"/>
        </w:tblCellMar>
        <w:tblLook w:val="04A0" w:firstRow="1" w:lastRow="0" w:firstColumn="1" w:lastColumn="0" w:noHBand="0" w:noVBand="1"/>
      </w:tblPr>
      <w:tblGrid>
        <w:gridCol w:w="2674"/>
        <w:gridCol w:w="1838"/>
        <w:gridCol w:w="1210"/>
      </w:tblGrid>
      <w:tr w:rsidR="00F45C9F" w14:paraId="4E0CF6CC" w14:textId="77777777">
        <w:trPr>
          <w:trHeight w:hRule="exact" w:val="552"/>
        </w:trPr>
        <w:tc>
          <w:tcPr>
            <w:tcW w:w="2674" w:type="dxa"/>
            <w:tcBorders>
              <w:top w:val="single" w:sz="5" w:space="0" w:color="000000"/>
              <w:left w:val="single" w:sz="5" w:space="0" w:color="000000"/>
              <w:bottom w:val="single" w:sz="5" w:space="0" w:color="000000"/>
              <w:right w:val="single" w:sz="5" w:space="0" w:color="000000"/>
            </w:tcBorders>
          </w:tcPr>
          <w:p w14:paraId="59681ECB" w14:textId="77777777" w:rsidR="00F45C9F" w:rsidRDefault="00502E23">
            <w:pPr>
              <w:textAlignment w:val="baseline"/>
              <w:rPr>
                <w:rFonts w:ascii="Arial" w:eastAsia="Arial" w:hAnsi="Arial"/>
                <w:color w:val="000000"/>
                <w:sz w:val="24"/>
              </w:rPr>
            </w:pPr>
            <w:r>
              <w:rPr>
                <w:rFonts w:ascii="Arial" w:eastAsia="Arial" w:hAnsi="Arial"/>
                <w:color w:val="000000"/>
                <w:sz w:val="24"/>
              </w:rPr>
              <w:t xml:space="preserve"> </w:t>
            </w:r>
          </w:p>
        </w:tc>
        <w:tc>
          <w:tcPr>
            <w:tcW w:w="1838" w:type="dxa"/>
            <w:tcBorders>
              <w:top w:val="single" w:sz="5" w:space="0" w:color="000000"/>
              <w:left w:val="single" w:sz="5" w:space="0" w:color="000000"/>
              <w:bottom w:val="single" w:sz="5" w:space="0" w:color="000000"/>
              <w:right w:val="single" w:sz="5" w:space="0" w:color="000000"/>
            </w:tcBorders>
            <w:vAlign w:val="bottom"/>
          </w:tcPr>
          <w:p w14:paraId="0A723B40" w14:textId="77777777" w:rsidR="00F45C9F" w:rsidRDefault="00502E23">
            <w:pPr>
              <w:spacing w:before="299" w:after="5" w:line="248" w:lineRule="exact"/>
              <w:ind w:right="195"/>
              <w:jc w:val="right"/>
              <w:textAlignment w:val="baseline"/>
              <w:rPr>
                <w:rFonts w:ascii="Calibri" w:eastAsia="Calibri" w:hAnsi="Calibri"/>
                <w:b/>
                <w:color w:val="000000"/>
                <w:sz w:val="23"/>
              </w:rPr>
            </w:pPr>
            <w:r>
              <w:rPr>
                <w:rFonts w:ascii="Calibri" w:eastAsia="Calibri" w:hAnsi="Calibri"/>
                <w:b/>
                <w:color w:val="000000"/>
                <w:sz w:val="23"/>
              </w:rPr>
              <w:t>Dollars Available</w:t>
            </w:r>
          </w:p>
        </w:tc>
        <w:tc>
          <w:tcPr>
            <w:tcW w:w="1210" w:type="dxa"/>
            <w:tcBorders>
              <w:top w:val="single" w:sz="5" w:space="0" w:color="000000"/>
              <w:left w:val="single" w:sz="5" w:space="0" w:color="000000"/>
              <w:bottom w:val="single" w:sz="5" w:space="0" w:color="000000"/>
              <w:right w:val="single" w:sz="5" w:space="0" w:color="000000"/>
            </w:tcBorders>
          </w:tcPr>
          <w:p w14:paraId="5B57B022" w14:textId="77777777" w:rsidR="00F45C9F" w:rsidRDefault="00502E23">
            <w:pPr>
              <w:spacing w:after="5" w:line="269" w:lineRule="exact"/>
              <w:jc w:val="center"/>
              <w:textAlignment w:val="baseline"/>
              <w:rPr>
                <w:rFonts w:ascii="Calibri" w:eastAsia="Calibri" w:hAnsi="Calibri"/>
                <w:b/>
                <w:color w:val="000000"/>
                <w:sz w:val="23"/>
              </w:rPr>
            </w:pPr>
            <w:r>
              <w:rPr>
                <w:rFonts w:ascii="Calibri" w:eastAsia="Calibri" w:hAnsi="Calibri"/>
                <w:b/>
                <w:color w:val="000000"/>
                <w:sz w:val="23"/>
              </w:rPr>
              <w:t xml:space="preserve">% of </w:t>
            </w:r>
            <w:r>
              <w:rPr>
                <w:rFonts w:ascii="Calibri" w:eastAsia="Calibri" w:hAnsi="Calibri"/>
                <w:b/>
                <w:color w:val="000000"/>
                <w:sz w:val="23"/>
              </w:rPr>
              <w:br/>
              <w:t>Dollars</w:t>
            </w:r>
          </w:p>
        </w:tc>
      </w:tr>
      <w:tr w:rsidR="00F45C9F" w14:paraId="1D420A2E" w14:textId="77777777">
        <w:trPr>
          <w:trHeight w:hRule="exact" w:val="307"/>
        </w:trPr>
        <w:tc>
          <w:tcPr>
            <w:tcW w:w="2674" w:type="dxa"/>
            <w:tcBorders>
              <w:top w:val="single" w:sz="5" w:space="0" w:color="000000"/>
              <w:left w:val="single" w:sz="5" w:space="0" w:color="000000"/>
              <w:bottom w:val="single" w:sz="5" w:space="0" w:color="000000"/>
              <w:right w:val="single" w:sz="5" w:space="0" w:color="000000"/>
            </w:tcBorders>
            <w:vAlign w:val="center"/>
          </w:tcPr>
          <w:p w14:paraId="6264BFE8" w14:textId="77777777" w:rsidR="00F45C9F" w:rsidRDefault="00502E23">
            <w:pPr>
              <w:spacing w:before="57" w:after="7" w:line="238" w:lineRule="exact"/>
              <w:ind w:left="125"/>
              <w:textAlignment w:val="baseline"/>
              <w:rPr>
                <w:rFonts w:ascii="Arial" w:eastAsia="Arial" w:hAnsi="Arial"/>
                <w:color w:val="000000"/>
              </w:rPr>
            </w:pPr>
            <w:r>
              <w:rPr>
                <w:rFonts w:ascii="Arial" w:eastAsia="Arial" w:hAnsi="Arial"/>
                <w:color w:val="000000"/>
              </w:rPr>
              <w:t>Section 5311</w:t>
            </w:r>
          </w:p>
        </w:tc>
        <w:tc>
          <w:tcPr>
            <w:tcW w:w="1838" w:type="dxa"/>
            <w:tcBorders>
              <w:top w:val="single" w:sz="5" w:space="0" w:color="000000"/>
              <w:left w:val="single" w:sz="5" w:space="0" w:color="000000"/>
              <w:bottom w:val="single" w:sz="5" w:space="0" w:color="000000"/>
              <w:right w:val="single" w:sz="5" w:space="0" w:color="000000"/>
            </w:tcBorders>
            <w:vAlign w:val="center"/>
          </w:tcPr>
          <w:p w14:paraId="4E231247" w14:textId="41A17C51" w:rsidR="00F45C9F" w:rsidRDefault="00C008A5">
            <w:pPr>
              <w:spacing w:before="57" w:after="7" w:line="238" w:lineRule="exact"/>
              <w:ind w:right="105"/>
              <w:jc w:val="right"/>
              <w:textAlignment w:val="baseline"/>
              <w:rPr>
                <w:rFonts w:ascii="Arial" w:eastAsia="Arial" w:hAnsi="Arial"/>
                <w:color w:val="000000"/>
              </w:rPr>
            </w:pPr>
            <w:r>
              <w:rPr>
                <w:rFonts w:ascii="Arial" w:eastAsia="Arial" w:hAnsi="Arial"/>
                <w:color w:val="000000"/>
              </w:rPr>
              <w:t>$7,756,832</w:t>
            </w:r>
          </w:p>
        </w:tc>
        <w:tc>
          <w:tcPr>
            <w:tcW w:w="1210" w:type="dxa"/>
            <w:tcBorders>
              <w:top w:val="single" w:sz="5" w:space="0" w:color="000000"/>
              <w:left w:val="single" w:sz="5" w:space="0" w:color="000000"/>
              <w:bottom w:val="single" w:sz="5" w:space="0" w:color="000000"/>
              <w:right w:val="single" w:sz="5" w:space="0" w:color="000000"/>
            </w:tcBorders>
            <w:vAlign w:val="center"/>
          </w:tcPr>
          <w:p w14:paraId="32811652" w14:textId="15612E57" w:rsidR="00F45C9F" w:rsidRDefault="00C008A5">
            <w:pPr>
              <w:tabs>
                <w:tab w:val="decimal" w:pos="720"/>
              </w:tabs>
              <w:spacing w:before="59" w:line="243" w:lineRule="exact"/>
              <w:textAlignment w:val="baseline"/>
              <w:rPr>
                <w:rFonts w:ascii="Calibri" w:eastAsia="Calibri" w:hAnsi="Calibri"/>
                <w:color w:val="000000"/>
                <w:sz w:val="23"/>
              </w:rPr>
            </w:pPr>
            <w:r>
              <w:rPr>
                <w:rFonts w:ascii="Calibri" w:eastAsia="Calibri" w:hAnsi="Calibri"/>
                <w:color w:val="000000"/>
                <w:sz w:val="23"/>
              </w:rPr>
              <w:t>19.46</w:t>
            </w:r>
            <w:r w:rsidR="00502E23">
              <w:rPr>
                <w:rFonts w:ascii="Calibri" w:eastAsia="Calibri" w:hAnsi="Calibri"/>
                <w:color w:val="000000"/>
                <w:sz w:val="23"/>
              </w:rPr>
              <w:t>%</w:t>
            </w:r>
          </w:p>
        </w:tc>
      </w:tr>
      <w:tr w:rsidR="00F45C9F" w14:paraId="20D237A5" w14:textId="77777777">
        <w:trPr>
          <w:trHeight w:hRule="exact" w:val="312"/>
        </w:trPr>
        <w:tc>
          <w:tcPr>
            <w:tcW w:w="2674" w:type="dxa"/>
            <w:tcBorders>
              <w:top w:val="single" w:sz="5" w:space="0" w:color="000000"/>
              <w:left w:val="single" w:sz="5" w:space="0" w:color="000000"/>
              <w:bottom w:val="single" w:sz="5" w:space="0" w:color="000000"/>
              <w:right w:val="single" w:sz="5" w:space="0" w:color="000000"/>
            </w:tcBorders>
            <w:vAlign w:val="center"/>
          </w:tcPr>
          <w:p w14:paraId="098D37A5" w14:textId="77777777" w:rsidR="00F45C9F" w:rsidRDefault="00502E23">
            <w:pPr>
              <w:spacing w:before="62" w:line="235" w:lineRule="exact"/>
              <w:ind w:left="125"/>
              <w:textAlignment w:val="baseline"/>
              <w:rPr>
                <w:rFonts w:ascii="Arial" w:eastAsia="Arial" w:hAnsi="Arial"/>
                <w:color w:val="000000"/>
              </w:rPr>
            </w:pPr>
            <w:r>
              <w:rPr>
                <w:rFonts w:ascii="Arial" w:eastAsia="Arial" w:hAnsi="Arial"/>
                <w:color w:val="000000"/>
              </w:rPr>
              <w:t>Section 5310</w:t>
            </w:r>
          </w:p>
        </w:tc>
        <w:tc>
          <w:tcPr>
            <w:tcW w:w="1838" w:type="dxa"/>
            <w:tcBorders>
              <w:top w:val="single" w:sz="5" w:space="0" w:color="000000"/>
              <w:left w:val="single" w:sz="5" w:space="0" w:color="000000"/>
              <w:bottom w:val="single" w:sz="5" w:space="0" w:color="000000"/>
              <w:right w:val="single" w:sz="5" w:space="0" w:color="000000"/>
            </w:tcBorders>
            <w:vAlign w:val="center"/>
          </w:tcPr>
          <w:p w14:paraId="099C5983" w14:textId="7A1D6FC0" w:rsidR="00F45C9F" w:rsidRDefault="00C008A5">
            <w:pPr>
              <w:spacing w:before="62" w:line="235" w:lineRule="exact"/>
              <w:ind w:right="105"/>
              <w:jc w:val="right"/>
              <w:textAlignment w:val="baseline"/>
              <w:rPr>
                <w:rFonts w:ascii="Arial" w:eastAsia="Arial" w:hAnsi="Arial"/>
                <w:color w:val="000000"/>
              </w:rPr>
            </w:pPr>
            <w:r>
              <w:rPr>
                <w:rFonts w:ascii="Arial" w:eastAsia="Arial" w:hAnsi="Arial"/>
                <w:color w:val="000000"/>
              </w:rPr>
              <w:t>$13,391,863</w:t>
            </w:r>
          </w:p>
        </w:tc>
        <w:tc>
          <w:tcPr>
            <w:tcW w:w="1210" w:type="dxa"/>
            <w:tcBorders>
              <w:top w:val="single" w:sz="5" w:space="0" w:color="000000"/>
              <w:left w:val="single" w:sz="5" w:space="0" w:color="000000"/>
              <w:bottom w:val="single" w:sz="5" w:space="0" w:color="000000"/>
              <w:right w:val="single" w:sz="5" w:space="0" w:color="000000"/>
            </w:tcBorders>
            <w:vAlign w:val="center"/>
          </w:tcPr>
          <w:p w14:paraId="4E229C47" w14:textId="2732905B" w:rsidR="00F45C9F" w:rsidRDefault="00C008A5">
            <w:pPr>
              <w:tabs>
                <w:tab w:val="decimal" w:pos="720"/>
              </w:tabs>
              <w:spacing w:before="59" w:line="238" w:lineRule="exact"/>
              <w:textAlignment w:val="baseline"/>
              <w:rPr>
                <w:rFonts w:ascii="Calibri" w:eastAsia="Calibri" w:hAnsi="Calibri"/>
                <w:color w:val="000000"/>
                <w:sz w:val="23"/>
              </w:rPr>
            </w:pPr>
            <w:r>
              <w:rPr>
                <w:rFonts w:ascii="Calibri" w:eastAsia="Calibri" w:hAnsi="Calibri"/>
                <w:color w:val="000000"/>
                <w:sz w:val="23"/>
              </w:rPr>
              <w:t>33.59</w:t>
            </w:r>
            <w:r w:rsidR="00502E23">
              <w:rPr>
                <w:rFonts w:ascii="Calibri" w:eastAsia="Calibri" w:hAnsi="Calibri"/>
                <w:color w:val="000000"/>
                <w:sz w:val="23"/>
              </w:rPr>
              <w:t>%</w:t>
            </w:r>
          </w:p>
        </w:tc>
      </w:tr>
      <w:tr w:rsidR="00F45C9F" w14:paraId="0765CBF6" w14:textId="77777777">
        <w:trPr>
          <w:trHeight w:hRule="exact" w:val="307"/>
        </w:trPr>
        <w:tc>
          <w:tcPr>
            <w:tcW w:w="2674" w:type="dxa"/>
            <w:tcBorders>
              <w:top w:val="single" w:sz="5" w:space="0" w:color="000000"/>
              <w:left w:val="single" w:sz="5" w:space="0" w:color="000000"/>
              <w:bottom w:val="single" w:sz="5" w:space="0" w:color="000000"/>
              <w:right w:val="single" w:sz="5" w:space="0" w:color="000000"/>
            </w:tcBorders>
            <w:vAlign w:val="center"/>
          </w:tcPr>
          <w:p w14:paraId="3BAD8557" w14:textId="77777777" w:rsidR="00F45C9F" w:rsidRDefault="00502E23">
            <w:pPr>
              <w:spacing w:before="62" w:after="2" w:line="238" w:lineRule="exact"/>
              <w:ind w:left="125"/>
              <w:textAlignment w:val="baseline"/>
              <w:rPr>
                <w:rFonts w:ascii="Arial" w:eastAsia="Arial" w:hAnsi="Arial"/>
                <w:color w:val="000000"/>
              </w:rPr>
            </w:pPr>
            <w:r>
              <w:rPr>
                <w:rFonts w:ascii="Arial" w:eastAsia="Arial" w:hAnsi="Arial"/>
                <w:color w:val="000000"/>
              </w:rPr>
              <w:t>SunRail</w:t>
            </w:r>
          </w:p>
        </w:tc>
        <w:tc>
          <w:tcPr>
            <w:tcW w:w="1838" w:type="dxa"/>
            <w:tcBorders>
              <w:top w:val="single" w:sz="5" w:space="0" w:color="000000"/>
              <w:left w:val="single" w:sz="5" w:space="0" w:color="000000"/>
              <w:bottom w:val="single" w:sz="5" w:space="0" w:color="000000"/>
              <w:right w:val="single" w:sz="5" w:space="0" w:color="000000"/>
            </w:tcBorders>
            <w:vAlign w:val="center"/>
          </w:tcPr>
          <w:p w14:paraId="0AE130A0" w14:textId="1CDC81C1" w:rsidR="00F45C9F" w:rsidRDefault="00502E23">
            <w:pPr>
              <w:spacing w:before="62" w:after="2" w:line="238" w:lineRule="exact"/>
              <w:ind w:right="105"/>
              <w:jc w:val="right"/>
              <w:textAlignment w:val="baseline"/>
              <w:rPr>
                <w:rFonts w:ascii="Arial" w:eastAsia="Arial" w:hAnsi="Arial"/>
                <w:color w:val="000000"/>
              </w:rPr>
            </w:pPr>
            <w:r>
              <w:rPr>
                <w:rFonts w:ascii="Arial" w:eastAsia="Arial" w:hAnsi="Arial"/>
                <w:color w:val="000000"/>
              </w:rPr>
              <w:t>$</w:t>
            </w:r>
            <w:r w:rsidR="00C008A5">
              <w:rPr>
                <w:rFonts w:ascii="Arial" w:eastAsia="Arial" w:hAnsi="Arial"/>
                <w:color w:val="000000"/>
              </w:rPr>
              <w:t>18,720,335</w:t>
            </w:r>
          </w:p>
        </w:tc>
        <w:tc>
          <w:tcPr>
            <w:tcW w:w="1210" w:type="dxa"/>
            <w:tcBorders>
              <w:top w:val="single" w:sz="5" w:space="0" w:color="000000"/>
              <w:left w:val="single" w:sz="5" w:space="0" w:color="000000"/>
              <w:bottom w:val="single" w:sz="5" w:space="0" w:color="000000"/>
              <w:right w:val="single" w:sz="5" w:space="0" w:color="000000"/>
            </w:tcBorders>
            <w:vAlign w:val="center"/>
          </w:tcPr>
          <w:p w14:paraId="7C1331AE" w14:textId="62703BFD" w:rsidR="00F45C9F" w:rsidRDefault="00C008A5">
            <w:pPr>
              <w:tabs>
                <w:tab w:val="decimal" w:pos="720"/>
              </w:tabs>
              <w:spacing w:before="59" w:line="243" w:lineRule="exact"/>
              <w:textAlignment w:val="baseline"/>
              <w:rPr>
                <w:rFonts w:ascii="Calibri" w:eastAsia="Calibri" w:hAnsi="Calibri"/>
                <w:color w:val="000000"/>
                <w:sz w:val="23"/>
              </w:rPr>
            </w:pPr>
            <w:r>
              <w:rPr>
                <w:rFonts w:ascii="Calibri" w:eastAsia="Calibri" w:hAnsi="Calibri"/>
                <w:color w:val="000000"/>
                <w:sz w:val="23"/>
              </w:rPr>
              <w:t>46.95</w:t>
            </w:r>
            <w:r w:rsidR="00502E23">
              <w:rPr>
                <w:rFonts w:ascii="Calibri" w:eastAsia="Calibri" w:hAnsi="Calibri"/>
                <w:color w:val="000000"/>
                <w:sz w:val="23"/>
              </w:rPr>
              <w:t>%</w:t>
            </w:r>
          </w:p>
        </w:tc>
      </w:tr>
      <w:tr w:rsidR="00F45C9F" w14:paraId="4F1E1FE8" w14:textId="77777777">
        <w:trPr>
          <w:trHeight w:hRule="exact" w:val="322"/>
        </w:trPr>
        <w:tc>
          <w:tcPr>
            <w:tcW w:w="2674" w:type="dxa"/>
            <w:tcBorders>
              <w:top w:val="single" w:sz="5" w:space="0" w:color="000000"/>
              <w:left w:val="single" w:sz="5" w:space="0" w:color="000000"/>
              <w:bottom w:val="single" w:sz="5" w:space="0" w:color="000000"/>
              <w:right w:val="single" w:sz="5" w:space="0" w:color="000000"/>
            </w:tcBorders>
            <w:vAlign w:val="center"/>
          </w:tcPr>
          <w:p w14:paraId="674E57A2" w14:textId="77777777" w:rsidR="00F45C9F" w:rsidRDefault="00502E23">
            <w:pPr>
              <w:spacing w:before="63" w:after="7" w:line="242" w:lineRule="exact"/>
              <w:ind w:right="125"/>
              <w:jc w:val="right"/>
              <w:textAlignment w:val="baseline"/>
              <w:rPr>
                <w:rFonts w:ascii="Arial" w:eastAsia="Arial" w:hAnsi="Arial"/>
                <w:b/>
                <w:color w:val="000000"/>
              </w:rPr>
            </w:pPr>
            <w:r>
              <w:rPr>
                <w:rFonts w:ascii="Arial" w:eastAsia="Arial" w:hAnsi="Arial"/>
                <w:b/>
                <w:color w:val="000000"/>
              </w:rPr>
              <w:t>Total</w:t>
            </w:r>
          </w:p>
        </w:tc>
        <w:tc>
          <w:tcPr>
            <w:tcW w:w="1838" w:type="dxa"/>
            <w:tcBorders>
              <w:top w:val="single" w:sz="5" w:space="0" w:color="000000"/>
              <w:left w:val="single" w:sz="5" w:space="0" w:color="000000"/>
              <w:bottom w:val="single" w:sz="5" w:space="0" w:color="000000"/>
              <w:right w:val="single" w:sz="5" w:space="0" w:color="000000"/>
            </w:tcBorders>
            <w:vAlign w:val="center"/>
          </w:tcPr>
          <w:p w14:paraId="4384D5B1" w14:textId="42DE5E89" w:rsidR="00F45C9F" w:rsidRDefault="00502E23">
            <w:pPr>
              <w:spacing w:before="63" w:after="7" w:line="242" w:lineRule="exact"/>
              <w:ind w:right="105"/>
              <w:jc w:val="right"/>
              <w:textAlignment w:val="baseline"/>
              <w:rPr>
                <w:rFonts w:ascii="Arial" w:eastAsia="Arial" w:hAnsi="Arial"/>
                <w:b/>
                <w:color w:val="000000"/>
              </w:rPr>
            </w:pPr>
            <w:r>
              <w:rPr>
                <w:rFonts w:ascii="Arial" w:eastAsia="Arial" w:hAnsi="Arial"/>
                <w:b/>
                <w:color w:val="000000"/>
              </w:rPr>
              <w:t>$</w:t>
            </w:r>
            <w:r w:rsidR="00C008A5">
              <w:rPr>
                <w:rFonts w:ascii="Arial" w:eastAsia="Arial" w:hAnsi="Arial"/>
                <w:b/>
                <w:color w:val="000000"/>
              </w:rPr>
              <w:t>39,869,030</w:t>
            </w:r>
          </w:p>
        </w:tc>
        <w:tc>
          <w:tcPr>
            <w:tcW w:w="1210" w:type="dxa"/>
            <w:tcBorders>
              <w:top w:val="single" w:sz="5" w:space="0" w:color="000000"/>
              <w:left w:val="single" w:sz="5" w:space="0" w:color="000000"/>
              <w:bottom w:val="single" w:sz="5" w:space="0" w:color="000000"/>
              <w:right w:val="single" w:sz="5" w:space="0" w:color="000000"/>
            </w:tcBorders>
          </w:tcPr>
          <w:p w14:paraId="5A06BA18" w14:textId="77777777" w:rsidR="00F45C9F" w:rsidRDefault="00502E23">
            <w:pPr>
              <w:textAlignment w:val="baseline"/>
              <w:rPr>
                <w:rFonts w:ascii="Arial" w:eastAsia="Arial" w:hAnsi="Arial"/>
                <w:color w:val="000000"/>
                <w:sz w:val="24"/>
              </w:rPr>
            </w:pPr>
            <w:r>
              <w:rPr>
                <w:rFonts w:ascii="Arial" w:eastAsia="Arial" w:hAnsi="Arial"/>
                <w:color w:val="000000"/>
                <w:sz w:val="24"/>
              </w:rPr>
              <w:t xml:space="preserve"> </w:t>
            </w:r>
          </w:p>
        </w:tc>
      </w:tr>
    </w:tbl>
    <w:p w14:paraId="51BAE46B" w14:textId="77777777" w:rsidR="00F45C9F" w:rsidRDefault="00F45C9F">
      <w:pPr>
        <w:spacing w:after="270" w:line="20" w:lineRule="exact"/>
      </w:pPr>
    </w:p>
    <w:p w14:paraId="09D9AE3F" w14:textId="77777777" w:rsidR="00F45C9F" w:rsidRDefault="00502E23">
      <w:pPr>
        <w:spacing w:before="3" w:line="273" w:lineRule="exact"/>
        <w:jc w:val="right"/>
        <w:textAlignment w:val="baseline"/>
        <w:rPr>
          <w:rFonts w:eastAsia="Times New Roman"/>
          <w:color w:val="000000"/>
          <w:sz w:val="24"/>
        </w:rPr>
      </w:pPr>
      <w:r>
        <w:rPr>
          <w:rFonts w:eastAsia="Times New Roman"/>
          <w:color w:val="000000"/>
          <w:sz w:val="24"/>
        </w:rPr>
        <w:t>1</w:t>
      </w:r>
    </w:p>
    <w:p w14:paraId="7EFE6466" w14:textId="77777777" w:rsidR="00F45C9F" w:rsidRDefault="00F45C9F">
      <w:pPr>
        <w:sectPr w:rsidR="00F45C9F">
          <w:headerReference w:type="even" r:id="rId7"/>
          <w:headerReference w:type="default" r:id="rId8"/>
          <w:footerReference w:type="even" r:id="rId9"/>
          <w:footerReference w:type="default" r:id="rId10"/>
          <w:headerReference w:type="first" r:id="rId11"/>
          <w:footerReference w:type="first" r:id="rId12"/>
          <w:pgSz w:w="12240" w:h="15840"/>
          <w:pgMar w:top="1440" w:right="1040" w:bottom="584" w:left="1080" w:header="720" w:footer="720" w:gutter="0"/>
          <w:cols w:space="720"/>
        </w:sectPr>
      </w:pPr>
    </w:p>
    <w:p w14:paraId="005EA222" w14:textId="77777777" w:rsidR="00F45C9F" w:rsidRDefault="00502E23">
      <w:pPr>
        <w:spacing w:before="2" w:line="277" w:lineRule="exact"/>
        <w:textAlignment w:val="baseline"/>
        <w:rPr>
          <w:rFonts w:ascii="Arial" w:eastAsia="Arial" w:hAnsi="Arial"/>
          <w:color w:val="000000"/>
          <w:spacing w:val="-2"/>
          <w:sz w:val="24"/>
        </w:rPr>
      </w:pPr>
      <w:r>
        <w:rPr>
          <w:rFonts w:ascii="Arial" w:eastAsia="Arial" w:hAnsi="Arial"/>
          <w:color w:val="000000"/>
          <w:spacing w:val="-2"/>
          <w:sz w:val="24"/>
        </w:rPr>
        <w:lastRenderedPageBreak/>
        <w:t>SUNRAIL:</w:t>
      </w:r>
    </w:p>
    <w:p w14:paraId="497E963E" w14:textId="51BB0830" w:rsidR="00F45C9F" w:rsidRDefault="00502E23">
      <w:pPr>
        <w:spacing w:before="270" w:line="277" w:lineRule="exact"/>
        <w:jc w:val="both"/>
        <w:textAlignment w:val="baseline"/>
        <w:rPr>
          <w:rFonts w:ascii="Arial" w:eastAsia="Arial" w:hAnsi="Arial"/>
          <w:color w:val="000000"/>
          <w:sz w:val="24"/>
        </w:rPr>
      </w:pPr>
      <w:r>
        <w:rPr>
          <w:rFonts w:ascii="Arial" w:eastAsia="Arial" w:hAnsi="Arial"/>
          <w:color w:val="000000"/>
          <w:sz w:val="24"/>
        </w:rPr>
        <w:t xml:space="preserve">SunRail accounts for </w:t>
      </w:r>
      <w:r w:rsidR="00677E05">
        <w:rPr>
          <w:rFonts w:ascii="Arial" w:eastAsia="Arial" w:hAnsi="Arial"/>
          <w:color w:val="000000"/>
          <w:sz w:val="24"/>
        </w:rPr>
        <w:t>46.95</w:t>
      </w:r>
      <w:r>
        <w:rPr>
          <w:rFonts w:ascii="Arial" w:eastAsia="Arial" w:hAnsi="Arial"/>
          <w:color w:val="000000"/>
          <w:sz w:val="24"/>
        </w:rPr>
        <w:t>% (Table 1) of the total dollars used to calculate the FTA DBE goal. The estimated cost of this project was reviewed by detailed categories. The various types of work were identified as close as possible to their associated NAICS codes as published by the Small Business Administration. The number of total businesses for each NAICS code was identified by using the data from the 201</w:t>
      </w:r>
      <w:r w:rsidR="00677E05">
        <w:rPr>
          <w:rFonts w:ascii="Arial" w:eastAsia="Arial" w:hAnsi="Arial"/>
          <w:color w:val="000000"/>
          <w:sz w:val="24"/>
        </w:rPr>
        <w:t>7</w:t>
      </w:r>
      <w:r>
        <w:rPr>
          <w:rFonts w:ascii="Arial" w:eastAsia="Arial" w:hAnsi="Arial"/>
          <w:color w:val="000000"/>
          <w:sz w:val="24"/>
        </w:rPr>
        <w:t xml:space="preserve"> County Business Patterns. The number of DBEs for each NAICS code in Lake, Orange, Osceola and Seminole counties were identified by using the Florida DBE Directory. Table 2 provides the percentage of dollars that DBEs would be expected to receive by NAICS code:</w:t>
      </w:r>
    </w:p>
    <w:p w14:paraId="1856A297" w14:textId="00E5C806" w:rsidR="00F45C9F" w:rsidRDefault="00502E23">
      <w:pPr>
        <w:spacing w:before="270" w:line="277" w:lineRule="exact"/>
        <w:jc w:val="center"/>
        <w:textAlignment w:val="baseline"/>
        <w:rPr>
          <w:rFonts w:ascii="Arial" w:eastAsia="Arial" w:hAnsi="Arial"/>
          <w:color w:val="000000"/>
          <w:sz w:val="24"/>
        </w:rPr>
      </w:pPr>
      <w:r>
        <w:rPr>
          <w:rFonts w:ascii="Arial" w:eastAsia="Arial" w:hAnsi="Arial"/>
          <w:color w:val="000000"/>
          <w:sz w:val="24"/>
        </w:rPr>
        <w:t>Table 2: SunRail Percent of Dollars by NAICS Code</w:t>
      </w:r>
    </w:p>
    <w:p w14:paraId="0A372CC1" w14:textId="77777777" w:rsidR="00AD17A9" w:rsidRDefault="00AD17A9">
      <w:pPr>
        <w:spacing w:before="270" w:line="277" w:lineRule="exact"/>
        <w:jc w:val="center"/>
        <w:textAlignment w:val="baseline"/>
        <w:rPr>
          <w:rFonts w:ascii="Arial" w:eastAsia="Arial" w:hAnsi="Arial"/>
          <w:color w:val="000000"/>
          <w:sz w:val="24"/>
        </w:rPr>
      </w:pPr>
    </w:p>
    <w:tbl>
      <w:tblPr>
        <w:tblW w:w="10917" w:type="dxa"/>
        <w:tblInd w:w="-407" w:type="dxa"/>
        <w:tblLook w:val="04A0" w:firstRow="1" w:lastRow="0" w:firstColumn="1" w:lastColumn="0" w:noHBand="0" w:noVBand="1"/>
      </w:tblPr>
      <w:tblGrid>
        <w:gridCol w:w="2608"/>
        <w:gridCol w:w="987"/>
        <w:gridCol w:w="1466"/>
        <w:gridCol w:w="1377"/>
        <w:gridCol w:w="1377"/>
        <w:gridCol w:w="946"/>
        <w:gridCol w:w="1032"/>
        <w:gridCol w:w="1124"/>
      </w:tblGrid>
      <w:tr w:rsidR="00AD17A9" w:rsidRPr="00AD17A9" w14:paraId="641DBF7A" w14:textId="77777777" w:rsidTr="00AD17A9">
        <w:trPr>
          <w:trHeight w:val="464"/>
        </w:trPr>
        <w:tc>
          <w:tcPr>
            <w:tcW w:w="2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36ED" w14:textId="77777777" w:rsidR="00AD17A9" w:rsidRPr="00AD17A9" w:rsidRDefault="00AD17A9" w:rsidP="00AD17A9">
            <w:pPr>
              <w:rPr>
                <w:rFonts w:ascii="Calibri" w:eastAsia="Times New Roman" w:hAnsi="Calibri" w:cs="Calibri"/>
                <w:b/>
                <w:bCs/>
                <w:color w:val="000000"/>
              </w:rPr>
            </w:pPr>
            <w:r w:rsidRPr="00AD17A9">
              <w:rPr>
                <w:rFonts w:ascii="Calibri" w:eastAsia="Times New Roman" w:hAnsi="Calibri" w:cs="Calibri"/>
                <w:b/>
                <w:bCs/>
                <w:color w:val="000000"/>
              </w:rPr>
              <w:t xml:space="preserve">         </w:t>
            </w:r>
            <w:r w:rsidRPr="00AD17A9">
              <w:rPr>
                <w:rFonts w:ascii="Calibri" w:eastAsia="Times New Roman" w:hAnsi="Calibri" w:cs="Calibri"/>
                <w:b/>
                <w:bCs/>
                <w:color w:val="000000"/>
                <w:u w:val="single"/>
              </w:rPr>
              <w:t>Work Type</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2AA4FA97"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 of Dollars</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162E3A31"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Amount</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067B1A49"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NAICS Code</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14:paraId="3BAC03A3"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Total Vendors</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11468FE"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DBEs</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170CBDE1"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 of DBEs</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5EDD1FE7" w14:textId="77777777" w:rsidR="00AD17A9" w:rsidRPr="00AD17A9" w:rsidRDefault="00AD17A9" w:rsidP="00AD17A9">
            <w:pPr>
              <w:jc w:val="center"/>
              <w:rPr>
                <w:rFonts w:ascii="Calibri" w:eastAsia="Times New Roman" w:hAnsi="Calibri" w:cs="Calibri"/>
                <w:b/>
                <w:bCs/>
                <w:color w:val="000000"/>
              </w:rPr>
            </w:pPr>
            <w:r w:rsidRPr="00AD17A9">
              <w:rPr>
                <w:rFonts w:ascii="Calibri" w:eastAsia="Times New Roman" w:hAnsi="Calibri" w:cs="Calibri"/>
                <w:b/>
                <w:bCs/>
                <w:color w:val="000000"/>
              </w:rPr>
              <w:t>Weighted % to DBEs</w:t>
            </w:r>
          </w:p>
        </w:tc>
      </w:tr>
      <w:tr w:rsidR="00AD17A9" w:rsidRPr="00AD17A9" w14:paraId="5473075A"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4478E00"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Guideway and Track</w:t>
            </w:r>
          </w:p>
        </w:tc>
        <w:tc>
          <w:tcPr>
            <w:tcW w:w="987" w:type="dxa"/>
            <w:tcBorders>
              <w:top w:val="nil"/>
              <w:left w:val="nil"/>
              <w:bottom w:val="single" w:sz="4" w:space="0" w:color="auto"/>
              <w:right w:val="single" w:sz="4" w:space="0" w:color="auto"/>
            </w:tcBorders>
            <w:shd w:val="clear" w:color="auto" w:fill="auto"/>
            <w:noWrap/>
            <w:vAlign w:val="center"/>
            <w:hideMark/>
          </w:tcPr>
          <w:p w14:paraId="281F784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5A572E2A"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5D92D553"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237990</w:t>
            </w:r>
          </w:p>
        </w:tc>
        <w:tc>
          <w:tcPr>
            <w:tcW w:w="1377" w:type="dxa"/>
            <w:tcBorders>
              <w:top w:val="nil"/>
              <w:left w:val="nil"/>
              <w:bottom w:val="single" w:sz="4" w:space="0" w:color="auto"/>
              <w:right w:val="single" w:sz="4" w:space="0" w:color="auto"/>
            </w:tcBorders>
            <w:shd w:val="clear" w:color="000000" w:fill="FFFFFF"/>
            <w:noWrap/>
            <w:vAlign w:val="center"/>
            <w:hideMark/>
          </w:tcPr>
          <w:p w14:paraId="650EC9B6"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29</w:t>
            </w:r>
          </w:p>
        </w:tc>
        <w:tc>
          <w:tcPr>
            <w:tcW w:w="946" w:type="dxa"/>
            <w:tcBorders>
              <w:top w:val="nil"/>
              <w:left w:val="nil"/>
              <w:bottom w:val="single" w:sz="4" w:space="0" w:color="auto"/>
              <w:right w:val="single" w:sz="4" w:space="0" w:color="auto"/>
            </w:tcBorders>
            <w:shd w:val="clear" w:color="000000" w:fill="FFFFFF"/>
            <w:noWrap/>
            <w:vAlign w:val="center"/>
            <w:hideMark/>
          </w:tcPr>
          <w:p w14:paraId="035D2EED"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6</w:t>
            </w:r>
          </w:p>
        </w:tc>
        <w:tc>
          <w:tcPr>
            <w:tcW w:w="1032" w:type="dxa"/>
            <w:tcBorders>
              <w:top w:val="nil"/>
              <w:left w:val="nil"/>
              <w:bottom w:val="single" w:sz="4" w:space="0" w:color="auto"/>
              <w:right w:val="single" w:sz="4" w:space="0" w:color="auto"/>
            </w:tcBorders>
            <w:shd w:val="clear" w:color="auto" w:fill="auto"/>
            <w:noWrap/>
            <w:vAlign w:val="bottom"/>
            <w:hideMark/>
          </w:tcPr>
          <w:p w14:paraId="28DDEB7A"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20.69%</w:t>
            </w:r>
          </w:p>
        </w:tc>
        <w:tc>
          <w:tcPr>
            <w:tcW w:w="1124" w:type="dxa"/>
            <w:tcBorders>
              <w:top w:val="nil"/>
              <w:left w:val="nil"/>
              <w:bottom w:val="single" w:sz="4" w:space="0" w:color="auto"/>
              <w:right w:val="single" w:sz="4" w:space="0" w:color="auto"/>
            </w:tcBorders>
            <w:shd w:val="clear" w:color="auto" w:fill="auto"/>
            <w:noWrap/>
            <w:vAlign w:val="bottom"/>
            <w:hideMark/>
          </w:tcPr>
          <w:p w14:paraId="649F75B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1B50FDB7"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5BEDF1CB"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Stations, Stops, Terminals</w:t>
            </w:r>
          </w:p>
        </w:tc>
        <w:tc>
          <w:tcPr>
            <w:tcW w:w="987" w:type="dxa"/>
            <w:tcBorders>
              <w:top w:val="nil"/>
              <w:left w:val="nil"/>
              <w:bottom w:val="single" w:sz="4" w:space="0" w:color="auto"/>
              <w:right w:val="single" w:sz="4" w:space="0" w:color="auto"/>
            </w:tcBorders>
            <w:shd w:val="clear" w:color="auto" w:fill="auto"/>
            <w:noWrap/>
            <w:vAlign w:val="center"/>
            <w:hideMark/>
          </w:tcPr>
          <w:p w14:paraId="5261DA60"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0F0388B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15A0A747"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236220</w:t>
            </w:r>
          </w:p>
        </w:tc>
        <w:tc>
          <w:tcPr>
            <w:tcW w:w="1377" w:type="dxa"/>
            <w:tcBorders>
              <w:top w:val="nil"/>
              <w:left w:val="nil"/>
              <w:bottom w:val="single" w:sz="4" w:space="0" w:color="auto"/>
              <w:right w:val="single" w:sz="4" w:space="0" w:color="auto"/>
            </w:tcBorders>
            <w:shd w:val="clear" w:color="000000" w:fill="FFFFFF"/>
            <w:noWrap/>
            <w:vAlign w:val="center"/>
            <w:hideMark/>
          </w:tcPr>
          <w:p w14:paraId="4F3E1D9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491</w:t>
            </w:r>
          </w:p>
        </w:tc>
        <w:tc>
          <w:tcPr>
            <w:tcW w:w="946" w:type="dxa"/>
            <w:tcBorders>
              <w:top w:val="nil"/>
              <w:left w:val="nil"/>
              <w:bottom w:val="single" w:sz="4" w:space="0" w:color="auto"/>
              <w:right w:val="single" w:sz="4" w:space="0" w:color="auto"/>
            </w:tcBorders>
            <w:shd w:val="clear" w:color="000000" w:fill="FFFFFF"/>
            <w:noWrap/>
            <w:vAlign w:val="center"/>
            <w:hideMark/>
          </w:tcPr>
          <w:p w14:paraId="1D031389"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274</w:t>
            </w:r>
          </w:p>
        </w:tc>
        <w:tc>
          <w:tcPr>
            <w:tcW w:w="1032" w:type="dxa"/>
            <w:tcBorders>
              <w:top w:val="nil"/>
              <w:left w:val="nil"/>
              <w:bottom w:val="single" w:sz="4" w:space="0" w:color="auto"/>
              <w:right w:val="single" w:sz="4" w:space="0" w:color="auto"/>
            </w:tcBorders>
            <w:shd w:val="clear" w:color="auto" w:fill="auto"/>
            <w:noWrap/>
            <w:vAlign w:val="bottom"/>
            <w:hideMark/>
          </w:tcPr>
          <w:p w14:paraId="1A114025"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55.80%</w:t>
            </w:r>
          </w:p>
        </w:tc>
        <w:tc>
          <w:tcPr>
            <w:tcW w:w="1124" w:type="dxa"/>
            <w:tcBorders>
              <w:top w:val="nil"/>
              <w:left w:val="nil"/>
              <w:bottom w:val="single" w:sz="4" w:space="0" w:color="auto"/>
              <w:right w:val="single" w:sz="4" w:space="0" w:color="auto"/>
            </w:tcBorders>
            <w:shd w:val="clear" w:color="auto" w:fill="auto"/>
            <w:noWrap/>
            <w:vAlign w:val="bottom"/>
            <w:hideMark/>
          </w:tcPr>
          <w:p w14:paraId="22D688F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552BADD8"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0D221FBD"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Support Facilities</w:t>
            </w:r>
          </w:p>
        </w:tc>
        <w:tc>
          <w:tcPr>
            <w:tcW w:w="987" w:type="dxa"/>
            <w:tcBorders>
              <w:top w:val="nil"/>
              <w:left w:val="nil"/>
              <w:bottom w:val="single" w:sz="4" w:space="0" w:color="auto"/>
              <w:right w:val="single" w:sz="4" w:space="0" w:color="auto"/>
            </w:tcBorders>
            <w:shd w:val="clear" w:color="auto" w:fill="auto"/>
            <w:noWrap/>
            <w:vAlign w:val="center"/>
            <w:hideMark/>
          </w:tcPr>
          <w:p w14:paraId="7128495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466" w:type="dxa"/>
            <w:tcBorders>
              <w:top w:val="nil"/>
              <w:left w:val="nil"/>
              <w:bottom w:val="single" w:sz="4" w:space="0" w:color="auto"/>
              <w:right w:val="single" w:sz="4" w:space="0" w:color="auto"/>
            </w:tcBorders>
            <w:shd w:val="clear" w:color="auto" w:fill="auto"/>
            <w:noWrap/>
            <w:vAlign w:val="center"/>
            <w:hideMark/>
          </w:tcPr>
          <w:p w14:paraId="31933500"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77650E19" w14:textId="77777777" w:rsidR="00AD17A9" w:rsidRPr="00AD17A9" w:rsidRDefault="00AD17A9" w:rsidP="00AD17A9">
            <w:pPr>
              <w:rPr>
                <w:rFonts w:ascii="Calibri" w:eastAsia="Times New Roman" w:hAnsi="Calibri" w:cs="Calibri"/>
              </w:rPr>
            </w:pPr>
            <w:r w:rsidRPr="00AD17A9">
              <w:rPr>
                <w:rFonts w:ascii="Calibri" w:eastAsia="Times New Roman" w:hAnsi="Calibri" w:cs="Calibri"/>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7ADAD1C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000000" w:fill="FFFFFF"/>
            <w:noWrap/>
            <w:vAlign w:val="center"/>
            <w:hideMark/>
          </w:tcPr>
          <w:p w14:paraId="37AE0945"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auto" w:fill="auto"/>
            <w:noWrap/>
            <w:vAlign w:val="bottom"/>
            <w:hideMark/>
          </w:tcPr>
          <w:p w14:paraId="2AA6776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auto" w:fill="auto"/>
            <w:noWrap/>
            <w:vAlign w:val="bottom"/>
            <w:hideMark/>
          </w:tcPr>
          <w:p w14:paraId="4F3F945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r>
      <w:tr w:rsidR="00AD17A9" w:rsidRPr="00AD17A9" w14:paraId="498AF03A"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07B90D31"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Building Construction</w:t>
            </w:r>
          </w:p>
        </w:tc>
        <w:tc>
          <w:tcPr>
            <w:tcW w:w="987" w:type="dxa"/>
            <w:tcBorders>
              <w:top w:val="nil"/>
              <w:left w:val="nil"/>
              <w:bottom w:val="single" w:sz="4" w:space="0" w:color="auto"/>
              <w:right w:val="single" w:sz="4" w:space="0" w:color="auto"/>
            </w:tcBorders>
            <w:shd w:val="clear" w:color="auto" w:fill="auto"/>
            <w:noWrap/>
            <w:vAlign w:val="center"/>
            <w:hideMark/>
          </w:tcPr>
          <w:p w14:paraId="613BBC7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1.05%</w:t>
            </w:r>
          </w:p>
        </w:tc>
        <w:tc>
          <w:tcPr>
            <w:tcW w:w="1466" w:type="dxa"/>
            <w:tcBorders>
              <w:top w:val="nil"/>
              <w:left w:val="nil"/>
              <w:bottom w:val="single" w:sz="4" w:space="0" w:color="auto"/>
              <w:right w:val="single" w:sz="4" w:space="0" w:color="auto"/>
            </w:tcBorders>
            <w:shd w:val="clear" w:color="auto" w:fill="auto"/>
            <w:noWrap/>
            <w:vAlign w:val="center"/>
            <w:hideMark/>
          </w:tcPr>
          <w:p w14:paraId="4BBAB6EA"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$195,870</w:t>
            </w:r>
          </w:p>
        </w:tc>
        <w:tc>
          <w:tcPr>
            <w:tcW w:w="1377" w:type="dxa"/>
            <w:tcBorders>
              <w:top w:val="nil"/>
              <w:left w:val="nil"/>
              <w:bottom w:val="single" w:sz="4" w:space="0" w:color="auto"/>
              <w:right w:val="single" w:sz="4" w:space="0" w:color="auto"/>
            </w:tcBorders>
            <w:shd w:val="clear" w:color="000000" w:fill="FFFFFF"/>
            <w:noWrap/>
            <w:vAlign w:val="center"/>
            <w:hideMark/>
          </w:tcPr>
          <w:p w14:paraId="55080EFD"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236220</w:t>
            </w:r>
          </w:p>
        </w:tc>
        <w:tc>
          <w:tcPr>
            <w:tcW w:w="1377" w:type="dxa"/>
            <w:tcBorders>
              <w:top w:val="nil"/>
              <w:left w:val="nil"/>
              <w:bottom w:val="single" w:sz="4" w:space="0" w:color="auto"/>
              <w:right w:val="single" w:sz="4" w:space="0" w:color="auto"/>
            </w:tcBorders>
            <w:shd w:val="clear" w:color="000000" w:fill="FFFFFF"/>
            <w:noWrap/>
            <w:vAlign w:val="center"/>
            <w:hideMark/>
          </w:tcPr>
          <w:p w14:paraId="3133F3E6"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491</w:t>
            </w:r>
          </w:p>
        </w:tc>
        <w:tc>
          <w:tcPr>
            <w:tcW w:w="946" w:type="dxa"/>
            <w:tcBorders>
              <w:top w:val="nil"/>
              <w:left w:val="nil"/>
              <w:bottom w:val="single" w:sz="4" w:space="0" w:color="auto"/>
              <w:right w:val="single" w:sz="4" w:space="0" w:color="auto"/>
            </w:tcBorders>
            <w:shd w:val="clear" w:color="000000" w:fill="FFFFFF"/>
            <w:noWrap/>
            <w:vAlign w:val="center"/>
            <w:hideMark/>
          </w:tcPr>
          <w:p w14:paraId="31209F4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274</w:t>
            </w:r>
          </w:p>
        </w:tc>
        <w:tc>
          <w:tcPr>
            <w:tcW w:w="1032" w:type="dxa"/>
            <w:tcBorders>
              <w:top w:val="nil"/>
              <w:left w:val="nil"/>
              <w:bottom w:val="single" w:sz="4" w:space="0" w:color="auto"/>
              <w:right w:val="single" w:sz="4" w:space="0" w:color="auto"/>
            </w:tcBorders>
            <w:shd w:val="clear" w:color="000000" w:fill="FFFFFF"/>
            <w:noWrap/>
            <w:vAlign w:val="bottom"/>
            <w:hideMark/>
          </w:tcPr>
          <w:p w14:paraId="4B8BA07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55.80%</w:t>
            </w:r>
          </w:p>
        </w:tc>
        <w:tc>
          <w:tcPr>
            <w:tcW w:w="1124" w:type="dxa"/>
            <w:tcBorders>
              <w:top w:val="nil"/>
              <w:left w:val="nil"/>
              <w:bottom w:val="single" w:sz="4" w:space="0" w:color="auto"/>
              <w:right w:val="single" w:sz="4" w:space="0" w:color="auto"/>
            </w:tcBorders>
            <w:shd w:val="clear" w:color="000000" w:fill="FFFFFF"/>
            <w:noWrap/>
            <w:vAlign w:val="bottom"/>
            <w:hideMark/>
          </w:tcPr>
          <w:p w14:paraId="4697D31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0.58%</w:t>
            </w:r>
          </w:p>
        </w:tc>
      </w:tr>
      <w:tr w:rsidR="00AD17A9" w:rsidRPr="00AD17A9" w14:paraId="762395DB"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722EC21A"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Electrical, Plumbing</w:t>
            </w:r>
          </w:p>
        </w:tc>
        <w:tc>
          <w:tcPr>
            <w:tcW w:w="987" w:type="dxa"/>
            <w:tcBorders>
              <w:top w:val="nil"/>
              <w:left w:val="nil"/>
              <w:bottom w:val="single" w:sz="4" w:space="0" w:color="auto"/>
              <w:right w:val="single" w:sz="4" w:space="0" w:color="auto"/>
            </w:tcBorders>
            <w:shd w:val="clear" w:color="auto" w:fill="auto"/>
            <w:noWrap/>
            <w:vAlign w:val="center"/>
            <w:hideMark/>
          </w:tcPr>
          <w:p w14:paraId="06D941E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57C2087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49CBBD5C"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238210/220</w:t>
            </w:r>
          </w:p>
        </w:tc>
        <w:tc>
          <w:tcPr>
            <w:tcW w:w="1377" w:type="dxa"/>
            <w:tcBorders>
              <w:top w:val="nil"/>
              <w:left w:val="nil"/>
              <w:bottom w:val="single" w:sz="4" w:space="0" w:color="auto"/>
              <w:right w:val="single" w:sz="4" w:space="0" w:color="auto"/>
            </w:tcBorders>
            <w:shd w:val="clear" w:color="000000" w:fill="FFFFFF"/>
            <w:noWrap/>
            <w:vAlign w:val="center"/>
            <w:hideMark/>
          </w:tcPr>
          <w:p w14:paraId="282C3D2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1,645</w:t>
            </w:r>
          </w:p>
        </w:tc>
        <w:tc>
          <w:tcPr>
            <w:tcW w:w="946" w:type="dxa"/>
            <w:tcBorders>
              <w:top w:val="nil"/>
              <w:left w:val="nil"/>
              <w:bottom w:val="single" w:sz="4" w:space="0" w:color="auto"/>
              <w:right w:val="single" w:sz="4" w:space="0" w:color="auto"/>
            </w:tcBorders>
            <w:shd w:val="clear" w:color="000000" w:fill="FFFFFF"/>
            <w:noWrap/>
            <w:vAlign w:val="center"/>
            <w:hideMark/>
          </w:tcPr>
          <w:p w14:paraId="4431D22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140</w:t>
            </w:r>
          </w:p>
        </w:tc>
        <w:tc>
          <w:tcPr>
            <w:tcW w:w="1032" w:type="dxa"/>
            <w:tcBorders>
              <w:top w:val="nil"/>
              <w:left w:val="nil"/>
              <w:bottom w:val="single" w:sz="4" w:space="0" w:color="auto"/>
              <w:right w:val="single" w:sz="4" w:space="0" w:color="auto"/>
            </w:tcBorders>
            <w:shd w:val="clear" w:color="000000" w:fill="FFFFFF"/>
            <w:noWrap/>
            <w:vAlign w:val="bottom"/>
            <w:hideMark/>
          </w:tcPr>
          <w:p w14:paraId="4657569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8.51%</w:t>
            </w:r>
          </w:p>
        </w:tc>
        <w:tc>
          <w:tcPr>
            <w:tcW w:w="1124" w:type="dxa"/>
            <w:tcBorders>
              <w:top w:val="nil"/>
              <w:left w:val="nil"/>
              <w:bottom w:val="single" w:sz="4" w:space="0" w:color="auto"/>
              <w:right w:val="single" w:sz="4" w:space="0" w:color="auto"/>
            </w:tcBorders>
            <w:shd w:val="clear" w:color="000000" w:fill="FFFFFF"/>
            <w:noWrap/>
            <w:vAlign w:val="bottom"/>
            <w:hideMark/>
          </w:tcPr>
          <w:p w14:paraId="1FA0C7F4"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5B44563C"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4E38F7EE"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Other Specialty Trades</w:t>
            </w:r>
          </w:p>
        </w:tc>
        <w:tc>
          <w:tcPr>
            <w:tcW w:w="987" w:type="dxa"/>
            <w:tcBorders>
              <w:top w:val="nil"/>
              <w:left w:val="nil"/>
              <w:bottom w:val="single" w:sz="4" w:space="0" w:color="auto"/>
              <w:right w:val="single" w:sz="4" w:space="0" w:color="auto"/>
            </w:tcBorders>
            <w:shd w:val="clear" w:color="auto" w:fill="auto"/>
            <w:noWrap/>
            <w:vAlign w:val="center"/>
            <w:hideMark/>
          </w:tcPr>
          <w:p w14:paraId="7A8C4B9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2.37%</w:t>
            </w:r>
          </w:p>
        </w:tc>
        <w:tc>
          <w:tcPr>
            <w:tcW w:w="1466" w:type="dxa"/>
            <w:tcBorders>
              <w:top w:val="nil"/>
              <w:left w:val="nil"/>
              <w:bottom w:val="single" w:sz="4" w:space="0" w:color="auto"/>
              <w:right w:val="single" w:sz="4" w:space="0" w:color="auto"/>
            </w:tcBorders>
            <w:shd w:val="clear" w:color="auto" w:fill="auto"/>
            <w:noWrap/>
            <w:vAlign w:val="center"/>
            <w:hideMark/>
          </w:tcPr>
          <w:p w14:paraId="733CA96F"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$443,282</w:t>
            </w:r>
          </w:p>
        </w:tc>
        <w:tc>
          <w:tcPr>
            <w:tcW w:w="1377" w:type="dxa"/>
            <w:tcBorders>
              <w:top w:val="nil"/>
              <w:left w:val="nil"/>
              <w:bottom w:val="single" w:sz="4" w:space="0" w:color="auto"/>
              <w:right w:val="single" w:sz="4" w:space="0" w:color="auto"/>
            </w:tcBorders>
            <w:shd w:val="clear" w:color="000000" w:fill="FFFFFF"/>
            <w:noWrap/>
            <w:vAlign w:val="center"/>
            <w:hideMark/>
          </w:tcPr>
          <w:p w14:paraId="793CEF8C"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238990</w:t>
            </w:r>
          </w:p>
        </w:tc>
        <w:tc>
          <w:tcPr>
            <w:tcW w:w="1377" w:type="dxa"/>
            <w:tcBorders>
              <w:top w:val="nil"/>
              <w:left w:val="nil"/>
              <w:bottom w:val="single" w:sz="4" w:space="0" w:color="auto"/>
              <w:right w:val="single" w:sz="4" w:space="0" w:color="auto"/>
            </w:tcBorders>
            <w:shd w:val="clear" w:color="000000" w:fill="FFFFFF"/>
            <w:noWrap/>
            <w:vAlign w:val="center"/>
            <w:hideMark/>
          </w:tcPr>
          <w:p w14:paraId="31BEC12D"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686</w:t>
            </w:r>
          </w:p>
        </w:tc>
        <w:tc>
          <w:tcPr>
            <w:tcW w:w="946" w:type="dxa"/>
            <w:tcBorders>
              <w:top w:val="nil"/>
              <w:left w:val="nil"/>
              <w:bottom w:val="single" w:sz="4" w:space="0" w:color="auto"/>
              <w:right w:val="single" w:sz="4" w:space="0" w:color="auto"/>
            </w:tcBorders>
            <w:shd w:val="clear" w:color="000000" w:fill="FFFFFF"/>
            <w:noWrap/>
            <w:vAlign w:val="center"/>
            <w:hideMark/>
          </w:tcPr>
          <w:p w14:paraId="7E05A3C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276</w:t>
            </w:r>
          </w:p>
        </w:tc>
        <w:tc>
          <w:tcPr>
            <w:tcW w:w="1032" w:type="dxa"/>
            <w:tcBorders>
              <w:top w:val="nil"/>
              <w:left w:val="nil"/>
              <w:bottom w:val="single" w:sz="4" w:space="0" w:color="auto"/>
              <w:right w:val="single" w:sz="4" w:space="0" w:color="auto"/>
            </w:tcBorders>
            <w:shd w:val="clear" w:color="000000" w:fill="FFFFFF"/>
            <w:noWrap/>
            <w:vAlign w:val="bottom"/>
            <w:hideMark/>
          </w:tcPr>
          <w:p w14:paraId="3969E21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40.23%</w:t>
            </w:r>
          </w:p>
        </w:tc>
        <w:tc>
          <w:tcPr>
            <w:tcW w:w="1124" w:type="dxa"/>
            <w:tcBorders>
              <w:top w:val="nil"/>
              <w:left w:val="nil"/>
              <w:bottom w:val="single" w:sz="4" w:space="0" w:color="auto"/>
              <w:right w:val="single" w:sz="4" w:space="0" w:color="auto"/>
            </w:tcBorders>
            <w:shd w:val="clear" w:color="000000" w:fill="FFFFFF"/>
            <w:noWrap/>
            <w:vAlign w:val="bottom"/>
            <w:hideMark/>
          </w:tcPr>
          <w:p w14:paraId="2E144914"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0.95%</w:t>
            </w:r>
          </w:p>
        </w:tc>
      </w:tr>
      <w:tr w:rsidR="00AD17A9" w:rsidRPr="00AD17A9" w14:paraId="008FC2F9"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7AD310F"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Sitework</w:t>
            </w:r>
          </w:p>
        </w:tc>
        <w:tc>
          <w:tcPr>
            <w:tcW w:w="987" w:type="dxa"/>
            <w:tcBorders>
              <w:top w:val="nil"/>
              <w:left w:val="nil"/>
              <w:bottom w:val="single" w:sz="4" w:space="0" w:color="auto"/>
              <w:right w:val="single" w:sz="4" w:space="0" w:color="auto"/>
            </w:tcBorders>
            <w:shd w:val="clear" w:color="auto" w:fill="auto"/>
            <w:noWrap/>
            <w:vAlign w:val="center"/>
            <w:hideMark/>
          </w:tcPr>
          <w:p w14:paraId="7A3FF08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466" w:type="dxa"/>
            <w:tcBorders>
              <w:top w:val="nil"/>
              <w:left w:val="nil"/>
              <w:bottom w:val="single" w:sz="4" w:space="0" w:color="auto"/>
              <w:right w:val="single" w:sz="4" w:space="0" w:color="auto"/>
            </w:tcBorders>
            <w:shd w:val="clear" w:color="auto" w:fill="auto"/>
            <w:noWrap/>
            <w:vAlign w:val="center"/>
            <w:hideMark/>
          </w:tcPr>
          <w:p w14:paraId="01FC44D7"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45E9AA12" w14:textId="77777777" w:rsidR="00AD17A9" w:rsidRPr="00AD17A9" w:rsidRDefault="00AD17A9" w:rsidP="00AD17A9">
            <w:pPr>
              <w:rPr>
                <w:rFonts w:ascii="Calibri" w:eastAsia="Times New Roman" w:hAnsi="Calibri" w:cs="Calibri"/>
              </w:rPr>
            </w:pPr>
            <w:r w:rsidRPr="00AD17A9">
              <w:rPr>
                <w:rFonts w:ascii="Calibri" w:eastAsia="Times New Roman" w:hAnsi="Calibri" w:cs="Calibri"/>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302E56B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000000" w:fill="FFFFFF"/>
            <w:noWrap/>
            <w:vAlign w:val="center"/>
            <w:hideMark/>
          </w:tcPr>
          <w:p w14:paraId="7CC0D98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000000" w:fill="FFFFFF"/>
            <w:noWrap/>
            <w:vAlign w:val="bottom"/>
            <w:hideMark/>
          </w:tcPr>
          <w:p w14:paraId="0D67163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000000" w:fill="FFFFFF"/>
            <w:noWrap/>
            <w:vAlign w:val="bottom"/>
            <w:hideMark/>
          </w:tcPr>
          <w:p w14:paraId="46CB4E8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r>
      <w:tr w:rsidR="00AD17A9" w:rsidRPr="00AD17A9" w14:paraId="5E9BC788"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26377398"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Electrical </w:t>
            </w:r>
          </w:p>
        </w:tc>
        <w:tc>
          <w:tcPr>
            <w:tcW w:w="987" w:type="dxa"/>
            <w:tcBorders>
              <w:top w:val="nil"/>
              <w:left w:val="nil"/>
              <w:bottom w:val="single" w:sz="4" w:space="0" w:color="auto"/>
              <w:right w:val="single" w:sz="4" w:space="0" w:color="auto"/>
            </w:tcBorders>
            <w:shd w:val="clear" w:color="auto" w:fill="auto"/>
            <w:noWrap/>
            <w:vAlign w:val="center"/>
            <w:hideMark/>
          </w:tcPr>
          <w:p w14:paraId="385A5D5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7DBBD71D"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2A386979"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238210</w:t>
            </w:r>
          </w:p>
        </w:tc>
        <w:tc>
          <w:tcPr>
            <w:tcW w:w="1377" w:type="dxa"/>
            <w:tcBorders>
              <w:top w:val="nil"/>
              <w:left w:val="nil"/>
              <w:bottom w:val="single" w:sz="4" w:space="0" w:color="auto"/>
              <w:right w:val="single" w:sz="4" w:space="0" w:color="auto"/>
            </w:tcBorders>
            <w:shd w:val="clear" w:color="000000" w:fill="FFFFFF"/>
            <w:noWrap/>
            <w:vAlign w:val="center"/>
            <w:hideMark/>
          </w:tcPr>
          <w:p w14:paraId="51331D3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1645</w:t>
            </w:r>
          </w:p>
        </w:tc>
        <w:tc>
          <w:tcPr>
            <w:tcW w:w="946" w:type="dxa"/>
            <w:tcBorders>
              <w:top w:val="nil"/>
              <w:left w:val="nil"/>
              <w:bottom w:val="single" w:sz="4" w:space="0" w:color="auto"/>
              <w:right w:val="single" w:sz="4" w:space="0" w:color="auto"/>
            </w:tcBorders>
            <w:shd w:val="clear" w:color="auto" w:fill="auto"/>
            <w:noWrap/>
            <w:vAlign w:val="center"/>
            <w:hideMark/>
          </w:tcPr>
          <w:p w14:paraId="30F409F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106</w:t>
            </w:r>
          </w:p>
        </w:tc>
        <w:tc>
          <w:tcPr>
            <w:tcW w:w="1032" w:type="dxa"/>
            <w:tcBorders>
              <w:top w:val="nil"/>
              <w:left w:val="nil"/>
              <w:bottom w:val="single" w:sz="4" w:space="0" w:color="auto"/>
              <w:right w:val="single" w:sz="4" w:space="0" w:color="auto"/>
            </w:tcBorders>
            <w:shd w:val="clear" w:color="000000" w:fill="FFFFFF"/>
            <w:noWrap/>
            <w:vAlign w:val="bottom"/>
            <w:hideMark/>
          </w:tcPr>
          <w:p w14:paraId="1D300E4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6.44%</w:t>
            </w:r>
          </w:p>
        </w:tc>
        <w:tc>
          <w:tcPr>
            <w:tcW w:w="1124" w:type="dxa"/>
            <w:tcBorders>
              <w:top w:val="nil"/>
              <w:left w:val="nil"/>
              <w:bottom w:val="single" w:sz="4" w:space="0" w:color="auto"/>
              <w:right w:val="single" w:sz="4" w:space="0" w:color="auto"/>
            </w:tcBorders>
            <w:shd w:val="clear" w:color="000000" w:fill="FFFFFF"/>
            <w:noWrap/>
            <w:vAlign w:val="bottom"/>
            <w:hideMark/>
          </w:tcPr>
          <w:p w14:paraId="57A135D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35125895"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1942965C"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Excavation &amp; Grading</w:t>
            </w:r>
          </w:p>
        </w:tc>
        <w:tc>
          <w:tcPr>
            <w:tcW w:w="987" w:type="dxa"/>
            <w:tcBorders>
              <w:top w:val="nil"/>
              <w:left w:val="nil"/>
              <w:bottom w:val="single" w:sz="4" w:space="0" w:color="auto"/>
              <w:right w:val="single" w:sz="4" w:space="0" w:color="auto"/>
            </w:tcBorders>
            <w:shd w:val="clear" w:color="auto" w:fill="auto"/>
            <w:noWrap/>
            <w:vAlign w:val="center"/>
            <w:hideMark/>
          </w:tcPr>
          <w:p w14:paraId="2A8EF4C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495065D5"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2C5F6E6D"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238910</w:t>
            </w:r>
          </w:p>
        </w:tc>
        <w:tc>
          <w:tcPr>
            <w:tcW w:w="1377" w:type="dxa"/>
            <w:tcBorders>
              <w:top w:val="nil"/>
              <w:left w:val="nil"/>
              <w:bottom w:val="single" w:sz="4" w:space="0" w:color="auto"/>
              <w:right w:val="single" w:sz="4" w:space="0" w:color="auto"/>
            </w:tcBorders>
            <w:shd w:val="clear" w:color="000000" w:fill="FFFFFF"/>
            <w:noWrap/>
            <w:vAlign w:val="center"/>
            <w:hideMark/>
          </w:tcPr>
          <w:p w14:paraId="641C217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686</w:t>
            </w:r>
          </w:p>
        </w:tc>
        <w:tc>
          <w:tcPr>
            <w:tcW w:w="946" w:type="dxa"/>
            <w:tcBorders>
              <w:top w:val="nil"/>
              <w:left w:val="nil"/>
              <w:bottom w:val="single" w:sz="4" w:space="0" w:color="auto"/>
              <w:right w:val="single" w:sz="4" w:space="0" w:color="auto"/>
            </w:tcBorders>
            <w:shd w:val="clear" w:color="auto" w:fill="auto"/>
            <w:noWrap/>
            <w:vAlign w:val="center"/>
            <w:hideMark/>
          </w:tcPr>
          <w:p w14:paraId="263CB23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246</w:t>
            </w:r>
          </w:p>
        </w:tc>
        <w:tc>
          <w:tcPr>
            <w:tcW w:w="1032" w:type="dxa"/>
            <w:tcBorders>
              <w:top w:val="nil"/>
              <w:left w:val="nil"/>
              <w:bottom w:val="single" w:sz="4" w:space="0" w:color="auto"/>
              <w:right w:val="single" w:sz="4" w:space="0" w:color="auto"/>
            </w:tcBorders>
            <w:shd w:val="clear" w:color="000000" w:fill="FFFFFF"/>
            <w:noWrap/>
            <w:vAlign w:val="bottom"/>
            <w:hideMark/>
          </w:tcPr>
          <w:p w14:paraId="018DB59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35.86%</w:t>
            </w:r>
          </w:p>
        </w:tc>
        <w:tc>
          <w:tcPr>
            <w:tcW w:w="1124" w:type="dxa"/>
            <w:tcBorders>
              <w:top w:val="nil"/>
              <w:left w:val="nil"/>
              <w:bottom w:val="single" w:sz="4" w:space="0" w:color="auto"/>
              <w:right w:val="single" w:sz="4" w:space="0" w:color="auto"/>
            </w:tcBorders>
            <w:shd w:val="clear" w:color="000000" w:fill="FFFFFF"/>
            <w:noWrap/>
            <w:vAlign w:val="bottom"/>
            <w:hideMark/>
          </w:tcPr>
          <w:p w14:paraId="347CDC0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2CBECF6C"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1BDD0F28"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Utility Construction</w:t>
            </w:r>
          </w:p>
        </w:tc>
        <w:tc>
          <w:tcPr>
            <w:tcW w:w="987" w:type="dxa"/>
            <w:tcBorders>
              <w:top w:val="nil"/>
              <w:left w:val="nil"/>
              <w:bottom w:val="single" w:sz="4" w:space="0" w:color="auto"/>
              <w:right w:val="single" w:sz="4" w:space="0" w:color="auto"/>
            </w:tcBorders>
            <w:shd w:val="clear" w:color="auto" w:fill="auto"/>
            <w:noWrap/>
            <w:vAlign w:val="center"/>
            <w:hideMark/>
          </w:tcPr>
          <w:p w14:paraId="0A9B242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7CC680E2"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664B53B3"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237110</w:t>
            </w:r>
          </w:p>
        </w:tc>
        <w:tc>
          <w:tcPr>
            <w:tcW w:w="1377" w:type="dxa"/>
            <w:tcBorders>
              <w:top w:val="nil"/>
              <w:left w:val="nil"/>
              <w:bottom w:val="single" w:sz="4" w:space="0" w:color="auto"/>
              <w:right w:val="single" w:sz="4" w:space="0" w:color="auto"/>
            </w:tcBorders>
            <w:shd w:val="clear" w:color="000000" w:fill="FFFFFF"/>
            <w:noWrap/>
            <w:vAlign w:val="center"/>
            <w:hideMark/>
          </w:tcPr>
          <w:p w14:paraId="72D6EA5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129</w:t>
            </w:r>
          </w:p>
        </w:tc>
        <w:tc>
          <w:tcPr>
            <w:tcW w:w="946" w:type="dxa"/>
            <w:tcBorders>
              <w:top w:val="nil"/>
              <w:left w:val="nil"/>
              <w:bottom w:val="single" w:sz="4" w:space="0" w:color="auto"/>
              <w:right w:val="single" w:sz="4" w:space="0" w:color="auto"/>
            </w:tcBorders>
            <w:shd w:val="clear" w:color="auto" w:fill="auto"/>
            <w:noWrap/>
            <w:vAlign w:val="center"/>
            <w:hideMark/>
          </w:tcPr>
          <w:p w14:paraId="39E9168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127</w:t>
            </w:r>
          </w:p>
        </w:tc>
        <w:tc>
          <w:tcPr>
            <w:tcW w:w="1032" w:type="dxa"/>
            <w:tcBorders>
              <w:top w:val="nil"/>
              <w:left w:val="nil"/>
              <w:bottom w:val="single" w:sz="4" w:space="0" w:color="auto"/>
              <w:right w:val="single" w:sz="4" w:space="0" w:color="auto"/>
            </w:tcBorders>
            <w:shd w:val="clear" w:color="000000" w:fill="FFFFFF"/>
            <w:noWrap/>
            <w:vAlign w:val="bottom"/>
            <w:hideMark/>
          </w:tcPr>
          <w:p w14:paraId="3E11E38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98.45%</w:t>
            </w:r>
          </w:p>
        </w:tc>
        <w:tc>
          <w:tcPr>
            <w:tcW w:w="1124" w:type="dxa"/>
            <w:tcBorders>
              <w:top w:val="nil"/>
              <w:left w:val="nil"/>
              <w:bottom w:val="single" w:sz="4" w:space="0" w:color="auto"/>
              <w:right w:val="single" w:sz="4" w:space="0" w:color="auto"/>
            </w:tcBorders>
            <w:shd w:val="clear" w:color="000000" w:fill="FFFFFF"/>
            <w:noWrap/>
            <w:vAlign w:val="bottom"/>
            <w:hideMark/>
          </w:tcPr>
          <w:p w14:paraId="4F528B8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18757F1E"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2F2829DE"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Remediation Services</w:t>
            </w:r>
          </w:p>
        </w:tc>
        <w:tc>
          <w:tcPr>
            <w:tcW w:w="987" w:type="dxa"/>
            <w:tcBorders>
              <w:top w:val="nil"/>
              <w:left w:val="nil"/>
              <w:bottom w:val="single" w:sz="4" w:space="0" w:color="auto"/>
              <w:right w:val="single" w:sz="4" w:space="0" w:color="auto"/>
            </w:tcBorders>
            <w:shd w:val="clear" w:color="auto" w:fill="auto"/>
            <w:noWrap/>
            <w:vAlign w:val="center"/>
            <w:hideMark/>
          </w:tcPr>
          <w:p w14:paraId="32DAF600"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151C3B5D"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771E1EB2"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562910</w:t>
            </w:r>
          </w:p>
        </w:tc>
        <w:tc>
          <w:tcPr>
            <w:tcW w:w="1377" w:type="dxa"/>
            <w:tcBorders>
              <w:top w:val="nil"/>
              <w:left w:val="nil"/>
              <w:bottom w:val="single" w:sz="4" w:space="0" w:color="auto"/>
              <w:right w:val="single" w:sz="4" w:space="0" w:color="auto"/>
            </w:tcBorders>
            <w:shd w:val="clear" w:color="000000" w:fill="FFFFFF"/>
            <w:noWrap/>
            <w:vAlign w:val="center"/>
            <w:hideMark/>
          </w:tcPr>
          <w:p w14:paraId="598C908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81</w:t>
            </w:r>
          </w:p>
        </w:tc>
        <w:tc>
          <w:tcPr>
            <w:tcW w:w="946" w:type="dxa"/>
            <w:tcBorders>
              <w:top w:val="nil"/>
              <w:left w:val="nil"/>
              <w:bottom w:val="single" w:sz="4" w:space="0" w:color="auto"/>
              <w:right w:val="single" w:sz="4" w:space="0" w:color="auto"/>
            </w:tcBorders>
            <w:shd w:val="clear" w:color="auto" w:fill="auto"/>
            <w:noWrap/>
            <w:vAlign w:val="center"/>
            <w:hideMark/>
          </w:tcPr>
          <w:p w14:paraId="00920455"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44</w:t>
            </w:r>
          </w:p>
        </w:tc>
        <w:tc>
          <w:tcPr>
            <w:tcW w:w="1032" w:type="dxa"/>
            <w:tcBorders>
              <w:top w:val="nil"/>
              <w:left w:val="nil"/>
              <w:bottom w:val="single" w:sz="4" w:space="0" w:color="auto"/>
              <w:right w:val="single" w:sz="4" w:space="0" w:color="auto"/>
            </w:tcBorders>
            <w:shd w:val="clear" w:color="000000" w:fill="FFFFFF"/>
            <w:noWrap/>
            <w:vAlign w:val="bottom"/>
            <w:hideMark/>
          </w:tcPr>
          <w:p w14:paraId="7CBCF09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54.32%</w:t>
            </w:r>
          </w:p>
        </w:tc>
        <w:tc>
          <w:tcPr>
            <w:tcW w:w="1124" w:type="dxa"/>
            <w:tcBorders>
              <w:top w:val="nil"/>
              <w:left w:val="nil"/>
              <w:bottom w:val="single" w:sz="4" w:space="0" w:color="auto"/>
              <w:right w:val="single" w:sz="4" w:space="0" w:color="auto"/>
            </w:tcBorders>
            <w:shd w:val="clear" w:color="000000" w:fill="FFFFFF"/>
            <w:noWrap/>
            <w:vAlign w:val="bottom"/>
            <w:hideMark/>
          </w:tcPr>
          <w:p w14:paraId="7765D3A6"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2C69B705"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E9A667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Highway Construction</w:t>
            </w:r>
          </w:p>
        </w:tc>
        <w:tc>
          <w:tcPr>
            <w:tcW w:w="987" w:type="dxa"/>
            <w:tcBorders>
              <w:top w:val="nil"/>
              <w:left w:val="nil"/>
              <w:bottom w:val="single" w:sz="4" w:space="0" w:color="auto"/>
              <w:right w:val="single" w:sz="4" w:space="0" w:color="auto"/>
            </w:tcBorders>
            <w:shd w:val="clear" w:color="auto" w:fill="auto"/>
            <w:noWrap/>
            <w:vAlign w:val="center"/>
            <w:hideMark/>
          </w:tcPr>
          <w:p w14:paraId="34597810"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0.79%</w:t>
            </w:r>
          </w:p>
        </w:tc>
        <w:tc>
          <w:tcPr>
            <w:tcW w:w="1466" w:type="dxa"/>
            <w:tcBorders>
              <w:top w:val="nil"/>
              <w:left w:val="nil"/>
              <w:bottom w:val="single" w:sz="4" w:space="0" w:color="auto"/>
              <w:right w:val="single" w:sz="4" w:space="0" w:color="auto"/>
            </w:tcBorders>
            <w:shd w:val="clear" w:color="auto" w:fill="auto"/>
            <w:noWrap/>
            <w:vAlign w:val="center"/>
            <w:hideMark/>
          </w:tcPr>
          <w:p w14:paraId="675FC47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$148,811</w:t>
            </w:r>
          </w:p>
        </w:tc>
        <w:tc>
          <w:tcPr>
            <w:tcW w:w="1377" w:type="dxa"/>
            <w:tcBorders>
              <w:top w:val="nil"/>
              <w:left w:val="nil"/>
              <w:bottom w:val="single" w:sz="4" w:space="0" w:color="auto"/>
              <w:right w:val="single" w:sz="4" w:space="0" w:color="auto"/>
            </w:tcBorders>
            <w:shd w:val="clear" w:color="000000" w:fill="FFFFFF"/>
            <w:noWrap/>
            <w:vAlign w:val="center"/>
            <w:hideMark/>
          </w:tcPr>
          <w:p w14:paraId="60011472"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237310</w:t>
            </w:r>
          </w:p>
        </w:tc>
        <w:tc>
          <w:tcPr>
            <w:tcW w:w="1377" w:type="dxa"/>
            <w:tcBorders>
              <w:top w:val="nil"/>
              <w:left w:val="nil"/>
              <w:bottom w:val="single" w:sz="4" w:space="0" w:color="auto"/>
              <w:right w:val="single" w:sz="4" w:space="0" w:color="auto"/>
            </w:tcBorders>
            <w:shd w:val="clear" w:color="000000" w:fill="FFFFFF"/>
            <w:noWrap/>
            <w:vAlign w:val="center"/>
            <w:hideMark/>
          </w:tcPr>
          <w:p w14:paraId="247A45FD"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288</w:t>
            </w:r>
          </w:p>
        </w:tc>
        <w:tc>
          <w:tcPr>
            <w:tcW w:w="946" w:type="dxa"/>
            <w:tcBorders>
              <w:top w:val="nil"/>
              <w:left w:val="nil"/>
              <w:bottom w:val="single" w:sz="4" w:space="0" w:color="auto"/>
              <w:right w:val="single" w:sz="4" w:space="0" w:color="auto"/>
            </w:tcBorders>
            <w:shd w:val="clear" w:color="auto" w:fill="auto"/>
            <w:noWrap/>
            <w:vAlign w:val="center"/>
            <w:hideMark/>
          </w:tcPr>
          <w:p w14:paraId="01DBB5F5"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210</w:t>
            </w:r>
          </w:p>
        </w:tc>
        <w:tc>
          <w:tcPr>
            <w:tcW w:w="1032" w:type="dxa"/>
            <w:tcBorders>
              <w:top w:val="nil"/>
              <w:left w:val="nil"/>
              <w:bottom w:val="single" w:sz="4" w:space="0" w:color="auto"/>
              <w:right w:val="single" w:sz="4" w:space="0" w:color="auto"/>
            </w:tcBorders>
            <w:shd w:val="clear" w:color="000000" w:fill="FFFFFF"/>
            <w:noWrap/>
            <w:vAlign w:val="bottom"/>
            <w:hideMark/>
          </w:tcPr>
          <w:p w14:paraId="64E03093"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72.92%</w:t>
            </w:r>
          </w:p>
        </w:tc>
        <w:tc>
          <w:tcPr>
            <w:tcW w:w="1124" w:type="dxa"/>
            <w:tcBorders>
              <w:top w:val="nil"/>
              <w:left w:val="nil"/>
              <w:bottom w:val="single" w:sz="4" w:space="0" w:color="auto"/>
              <w:right w:val="single" w:sz="4" w:space="0" w:color="auto"/>
            </w:tcBorders>
            <w:shd w:val="clear" w:color="000000" w:fill="FFFFFF"/>
            <w:noWrap/>
            <w:vAlign w:val="bottom"/>
            <w:hideMark/>
          </w:tcPr>
          <w:p w14:paraId="07B4569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0.58%</w:t>
            </w:r>
          </w:p>
        </w:tc>
      </w:tr>
      <w:tr w:rsidR="00AD17A9" w:rsidRPr="00AD17A9" w14:paraId="1383DD1D"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E9EF316"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Other Specialty Trades</w:t>
            </w:r>
          </w:p>
        </w:tc>
        <w:tc>
          <w:tcPr>
            <w:tcW w:w="987" w:type="dxa"/>
            <w:tcBorders>
              <w:top w:val="nil"/>
              <w:left w:val="nil"/>
              <w:bottom w:val="single" w:sz="4" w:space="0" w:color="auto"/>
              <w:right w:val="single" w:sz="4" w:space="0" w:color="auto"/>
            </w:tcBorders>
            <w:shd w:val="clear" w:color="auto" w:fill="auto"/>
            <w:noWrap/>
            <w:vAlign w:val="center"/>
            <w:hideMark/>
          </w:tcPr>
          <w:p w14:paraId="62E07CA4"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89.50%</w:t>
            </w:r>
          </w:p>
        </w:tc>
        <w:tc>
          <w:tcPr>
            <w:tcW w:w="1466" w:type="dxa"/>
            <w:tcBorders>
              <w:top w:val="nil"/>
              <w:left w:val="nil"/>
              <w:bottom w:val="single" w:sz="4" w:space="0" w:color="auto"/>
              <w:right w:val="single" w:sz="4" w:space="0" w:color="auto"/>
            </w:tcBorders>
            <w:shd w:val="clear" w:color="auto" w:fill="auto"/>
            <w:noWrap/>
            <w:vAlign w:val="center"/>
            <w:hideMark/>
          </w:tcPr>
          <w:p w14:paraId="591A7DE9"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$16,755,391</w:t>
            </w:r>
          </w:p>
        </w:tc>
        <w:tc>
          <w:tcPr>
            <w:tcW w:w="1377" w:type="dxa"/>
            <w:tcBorders>
              <w:top w:val="nil"/>
              <w:left w:val="nil"/>
              <w:bottom w:val="single" w:sz="4" w:space="0" w:color="auto"/>
              <w:right w:val="single" w:sz="4" w:space="0" w:color="auto"/>
            </w:tcBorders>
            <w:shd w:val="clear" w:color="000000" w:fill="FFFFFF"/>
            <w:noWrap/>
            <w:vAlign w:val="center"/>
            <w:hideMark/>
          </w:tcPr>
          <w:p w14:paraId="685D47C8"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238990</w:t>
            </w:r>
          </w:p>
        </w:tc>
        <w:tc>
          <w:tcPr>
            <w:tcW w:w="1377" w:type="dxa"/>
            <w:tcBorders>
              <w:top w:val="nil"/>
              <w:left w:val="nil"/>
              <w:bottom w:val="single" w:sz="4" w:space="0" w:color="auto"/>
              <w:right w:val="single" w:sz="4" w:space="0" w:color="auto"/>
            </w:tcBorders>
            <w:shd w:val="clear" w:color="000000" w:fill="FFFFFF"/>
            <w:noWrap/>
            <w:vAlign w:val="center"/>
            <w:hideMark/>
          </w:tcPr>
          <w:p w14:paraId="5D97B253"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686</w:t>
            </w:r>
          </w:p>
        </w:tc>
        <w:tc>
          <w:tcPr>
            <w:tcW w:w="946" w:type="dxa"/>
            <w:tcBorders>
              <w:top w:val="nil"/>
              <w:left w:val="nil"/>
              <w:bottom w:val="single" w:sz="4" w:space="0" w:color="auto"/>
              <w:right w:val="single" w:sz="4" w:space="0" w:color="auto"/>
            </w:tcBorders>
            <w:shd w:val="clear" w:color="auto" w:fill="auto"/>
            <w:noWrap/>
            <w:vAlign w:val="center"/>
            <w:hideMark/>
          </w:tcPr>
          <w:p w14:paraId="1FA0FED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275</w:t>
            </w:r>
          </w:p>
        </w:tc>
        <w:tc>
          <w:tcPr>
            <w:tcW w:w="1032" w:type="dxa"/>
            <w:tcBorders>
              <w:top w:val="nil"/>
              <w:left w:val="nil"/>
              <w:bottom w:val="single" w:sz="4" w:space="0" w:color="auto"/>
              <w:right w:val="single" w:sz="4" w:space="0" w:color="auto"/>
            </w:tcBorders>
            <w:shd w:val="clear" w:color="000000" w:fill="FFFFFF"/>
            <w:noWrap/>
            <w:vAlign w:val="bottom"/>
            <w:hideMark/>
          </w:tcPr>
          <w:p w14:paraId="7E5DF63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40.09%</w:t>
            </w:r>
          </w:p>
        </w:tc>
        <w:tc>
          <w:tcPr>
            <w:tcW w:w="1124" w:type="dxa"/>
            <w:tcBorders>
              <w:top w:val="nil"/>
              <w:left w:val="nil"/>
              <w:bottom w:val="single" w:sz="4" w:space="0" w:color="auto"/>
              <w:right w:val="single" w:sz="4" w:space="0" w:color="auto"/>
            </w:tcBorders>
            <w:shd w:val="clear" w:color="000000" w:fill="FFFFFF"/>
            <w:noWrap/>
            <w:vAlign w:val="bottom"/>
            <w:hideMark/>
          </w:tcPr>
          <w:p w14:paraId="75BA9F7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35.88%</w:t>
            </w:r>
          </w:p>
        </w:tc>
      </w:tr>
      <w:tr w:rsidR="00AD17A9" w:rsidRPr="00AD17A9" w14:paraId="7147BC25"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44C66F63"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Landscaping</w:t>
            </w:r>
          </w:p>
        </w:tc>
        <w:tc>
          <w:tcPr>
            <w:tcW w:w="987" w:type="dxa"/>
            <w:tcBorders>
              <w:top w:val="nil"/>
              <w:left w:val="nil"/>
              <w:bottom w:val="single" w:sz="4" w:space="0" w:color="auto"/>
              <w:right w:val="single" w:sz="4" w:space="0" w:color="auto"/>
            </w:tcBorders>
            <w:shd w:val="clear" w:color="auto" w:fill="auto"/>
            <w:noWrap/>
            <w:vAlign w:val="center"/>
            <w:hideMark/>
          </w:tcPr>
          <w:p w14:paraId="0BABF83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5F5F1CBE"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5EDE8408"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561730</w:t>
            </w:r>
          </w:p>
        </w:tc>
        <w:tc>
          <w:tcPr>
            <w:tcW w:w="1377" w:type="dxa"/>
            <w:tcBorders>
              <w:top w:val="nil"/>
              <w:left w:val="nil"/>
              <w:bottom w:val="single" w:sz="4" w:space="0" w:color="auto"/>
              <w:right w:val="single" w:sz="4" w:space="0" w:color="auto"/>
            </w:tcBorders>
            <w:shd w:val="clear" w:color="000000" w:fill="FFFFFF"/>
            <w:noWrap/>
            <w:vAlign w:val="center"/>
            <w:hideMark/>
          </w:tcPr>
          <w:p w14:paraId="197C0D09"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2637</w:t>
            </w:r>
          </w:p>
        </w:tc>
        <w:tc>
          <w:tcPr>
            <w:tcW w:w="946" w:type="dxa"/>
            <w:tcBorders>
              <w:top w:val="nil"/>
              <w:left w:val="nil"/>
              <w:bottom w:val="single" w:sz="4" w:space="0" w:color="auto"/>
              <w:right w:val="single" w:sz="4" w:space="0" w:color="auto"/>
            </w:tcBorders>
            <w:shd w:val="clear" w:color="auto" w:fill="auto"/>
            <w:noWrap/>
            <w:vAlign w:val="center"/>
            <w:hideMark/>
          </w:tcPr>
          <w:p w14:paraId="470CDBD9"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125</w:t>
            </w:r>
          </w:p>
        </w:tc>
        <w:tc>
          <w:tcPr>
            <w:tcW w:w="1032" w:type="dxa"/>
            <w:tcBorders>
              <w:top w:val="nil"/>
              <w:left w:val="nil"/>
              <w:bottom w:val="single" w:sz="4" w:space="0" w:color="auto"/>
              <w:right w:val="single" w:sz="4" w:space="0" w:color="auto"/>
            </w:tcBorders>
            <w:shd w:val="clear" w:color="000000" w:fill="FFFFFF"/>
            <w:noWrap/>
            <w:vAlign w:val="bottom"/>
            <w:hideMark/>
          </w:tcPr>
          <w:p w14:paraId="535AFBE8"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4.74%</w:t>
            </w:r>
          </w:p>
        </w:tc>
        <w:tc>
          <w:tcPr>
            <w:tcW w:w="1124" w:type="dxa"/>
            <w:tcBorders>
              <w:top w:val="nil"/>
              <w:left w:val="nil"/>
              <w:bottom w:val="single" w:sz="4" w:space="0" w:color="auto"/>
              <w:right w:val="single" w:sz="4" w:space="0" w:color="auto"/>
            </w:tcBorders>
            <w:shd w:val="clear" w:color="000000" w:fill="FFFFFF"/>
            <w:noWrap/>
            <w:vAlign w:val="bottom"/>
            <w:hideMark/>
          </w:tcPr>
          <w:p w14:paraId="647ED895"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68916556"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6809C67C"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Systems</w:t>
            </w:r>
          </w:p>
        </w:tc>
        <w:tc>
          <w:tcPr>
            <w:tcW w:w="987" w:type="dxa"/>
            <w:tcBorders>
              <w:top w:val="nil"/>
              <w:left w:val="nil"/>
              <w:bottom w:val="single" w:sz="4" w:space="0" w:color="auto"/>
              <w:right w:val="single" w:sz="4" w:space="0" w:color="auto"/>
            </w:tcBorders>
            <w:shd w:val="clear" w:color="auto" w:fill="auto"/>
            <w:noWrap/>
            <w:vAlign w:val="center"/>
            <w:hideMark/>
          </w:tcPr>
          <w:p w14:paraId="5A10646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466" w:type="dxa"/>
            <w:tcBorders>
              <w:top w:val="nil"/>
              <w:left w:val="nil"/>
              <w:bottom w:val="single" w:sz="4" w:space="0" w:color="auto"/>
              <w:right w:val="single" w:sz="4" w:space="0" w:color="auto"/>
            </w:tcBorders>
            <w:shd w:val="clear" w:color="auto" w:fill="auto"/>
            <w:noWrap/>
            <w:vAlign w:val="center"/>
            <w:hideMark/>
          </w:tcPr>
          <w:p w14:paraId="41E7B534"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711F6F2B" w14:textId="77777777" w:rsidR="00AD17A9" w:rsidRPr="00AD17A9" w:rsidRDefault="00AD17A9" w:rsidP="00AD17A9">
            <w:pPr>
              <w:rPr>
                <w:rFonts w:ascii="Calibri" w:eastAsia="Times New Roman" w:hAnsi="Calibri" w:cs="Calibri"/>
              </w:rPr>
            </w:pPr>
            <w:r w:rsidRPr="00AD17A9">
              <w:rPr>
                <w:rFonts w:ascii="Calibri" w:eastAsia="Times New Roman" w:hAnsi="Calibri" w:cs="Calibri"/>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5DF8B84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center"/>
            <w:hideMark/>
          </w:tcPr>
          <w:p w14:paraId="29C399E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000000" w:fill="FFFFFF"/>
            <w:noWrap/>
            <w:vAlign w:val="bottom"/>
            <w:hideMark/>
          </w:tcPr>
          <w:p w14:paraId="4FF4C9C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000000" w:fill="FFFFFF"/>
            <w:noWrap/>
            <w:vAlign w:val="bottom"/>
            <w:hideMark/>
          </w:tcPr>
          <w:p w14:paraId="7CEE99D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r>
      <w:tr w:rsidR="00AD17A9" w:rsidRPr="00AD17A9" w14:paraId="7D29832E"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2CE97AF8"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Signals, Crossings</w:t>
            </w:r>
          </w:p>
        </w:tc>
        <w:tc>
          <w:tcPr>
            <w:tcW w:w="987" w:type="dxa"/>
            <w:tcBorders>
              <w:top w:val="nil"/>
              <w:left w:val="nil"/>
              <w:bottom w:val="single" w:sz="4" w:space="0" w:color="auto"/>
              <w:right w:val="single" w:sz="4" w:space="0" w:color="auto"/>
            </w:tcBorders>
            <w:shd w:val="clear" w:color="auto" w:fill="auto"/>
            <w:noWrap/>
            <w:vAlign w:val="center"/>
            <w:hideMark/>
          </w:tcPr>
          <w:p w14:paraId="141F570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6.29%</w:t>
            </w:r>
          </w:p>
        </w:tc>
        <w:tc>
          <w:tcPr>
            <w:tcW w:w="1466" w:type="dxa"/>
            <w:tcBorders>
              <w:top w:val="nil"/>
              <w:left w:val="nil"/>
              <w:bottom w:val="single" w:sz="4" w:space="0" w:color="auto"/>
              <w:right w:val="single" w:sz="4" w:space="0" w:color="auto"/>
            </w:tcBorders>
            <w:shd w:val="clear" w:color="auto" w:fill="auto"/>
            <w:noWrap/>
            <w:vAlign w:val="center"/>
            <w:hideMark/>
          </w:tcPr>
          <w:p w14:paraId="115BA18F"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$1,176,981</w:t>
            </w:r>
          </w:p>
        </w:tc>
        <w:tc>
          <w:tcPr>
            <w:tcW w:w="1377" w:type="dxa"/>
            <w:tcBorders>
              <w:top w:val="nil"/>
              <w:left w:val="nil"/>
              <w:bottom w:val="single" w:sz="4" w:space="0" w:color="auto"/>
              <w:right w:val="single" w:sz="4" w:space="0" w:color="auto"/>
            </w:tcBorders>
            <w:shd w:val="clear" w:color="000000" w:fill="FFFFFF"/>
            <w:noWrap/>
            <w:vAlign w:val="center"/>
            <w:hideMark/>
          </w:tcPr>
          <w:p w14:paraId="0351ACE4"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238210</w:t>
            </w:r>
          </w:p>
        </w:tc>
        <w:tc>
          <w:tcPr>
            <w:tcW w:w="1377" w:type="dxa"/>
            <w:tcBorders>
              <w:top w:val="nil"/>
              <w:left w:val="nil"/>
              <w:bottom w:val="single" w:sz="4" w:space="0" w:color="auto"/>
              <w:right w:val="single" w:sz="4" w:space="0" w:color="auto"/>
            </w:tcBorders>
            <w:shd w:val="clear" w:color="000000" w:fill="FFFFFF"/>
            <w:noWrap/>
            <w:vAlign w:val="center"/>
            <w:hideMark/>
          </w:tcPr>
          <w:p w14:paraId="6F62544F" w14:textId="77777777" w:rsidR="00AD17A9" w:rsidRPr="00AD17A9" w:rsidRDefault="00AD17A9" w:rsidP="00AD17A9">
            <w:pPr>
              <w:jc w:val="center"/>
              <w:rPr>
                <w:rFonts w:ascii="Calibri" w:eastAsia="Times New Roman" w:hAnsi="Calibri" w:cs="Calibri"/>
              </w:rPr>
            </w:pPr>
            <w:r w:rsidRPr="00AD17A9">
              <w:rPr>
                <w:rFonts w:ascii="Calibri" w:eastAsia="Times New Roman" w:hAnsi="Calibri" w:cs="Calibri"/>
              </w:rPr>
              <w:t>1645</w:t>
            </w:r>
          </w:p>
        </w:tc>
        <w:tc>
          <w:tcPr>
            <w:tcW w:w="946" w:type="dxa"/>
            <w:tcBorders>
              <w:top w:val="nil"/>
              <w:left w:val="nil"/>
              <w:bottom w:val="single" w:sz="4" w:space="0" w:color="auto"/>
              <w:right w:val="single" w:sz="4" w:space="0" w:color="auto"/>
            </w:tcBorders>
            <w:shd w:val="clear" w:color="auto" w:fill="auto"/>
            <w:noWrap/>
            <w:vAlign w:val="center"/>
            <w:hideMark/>
          </w:tcPr>
          <w:p w14:paraId="2A493E5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106</w:t>
            </w:r>
          </w:p>
        </w:tc>
        <w:tc>
          <w:tcPr>
            <w:tcW w:w="1032" w:type="dxa"/>
            <w:tcBorders>
              <w:top w:val="nil"/>
              <w:left w:val="nil"/>
              <w:bottom w:val="single" w:sz="4" w:space="0" w:color="auto"/>
              <w:right w:val="single" w:sz="4" w:space="0" w:color="auto"/>
            </w:tcBorders>
            <w:shd w:val="clear" w:color="000000" w:fill="FFFFFF"/>
            <w:noWrap/>
            <w:vAlign w:val="bottom"/>
            <w:hideMark/>
          </w:tcPr>
          <w:p w14:paraId="56EA09F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6.44%</w:t>
            </w:r>
          </w:p>
        </w:tc>
        <w:tc>
          <w:tcPr>
            <w:tcW w:w="1124" w:type="dxa"/>
            <w:tcBorders>
              <w:top w:val="nil"/>
              <w:left w:val="nil"/>
              <w:bottom w:val="single" w:sz="4" w:space="0" w:color="auto"/>
              <w:right w:val="single" w:sz="4" w:space="0" w:color="auto"/>
            </w:tcBorders>
            <w:shd w:val="clear" w:color="000000" w:fill="FFFFFF"/>
            <w:noWrap/>
            <w:vAlign w:val="bottom"/>
            <w:hideMark/>
          </w:tcPr>
          <w:p w14:paraId="6B8C371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0.41%</w:t>
            </w:r>
          </w:p>
        </w:tc>
      </w:tr>
      <w:tr w:rsidR="00AD17A9" w:rsidRPr="00AD17A9" w14:paraId="7209DF23"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3C9A6D3A"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Fare Collection System</w:t>
            </w:r>
          </w:p>
        </w:tc>
        <w:tc>
          <w:tcPr>
            <w:tcW w:w="987" w:type="dxa"/>
            <w:tcBorders>
              <w:top w:val="nil"/>
              <w:left w:val="nil"/>
              <w:bottom w:val="single" w:sz="4" w:space="0" w:color="auto"/>
              <w:right w:val="single" w:sz="4" w:space="0" w:color="auto"/>
            </w:tcBorders>
            <w:shd w:val="clear" w:color="auto" w:fill="auto"/>
            <w:noWrap/>
            <w:vAlign w:val="center"/>
            <w:hideMark/>
          </w:tcPr>
          <w:p w14:paraId="0B5D2B1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104B66E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37B77952"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334514</w:t>
            </w:r>
          </w:p>
        </w:tc>
        <w:tc>
          <w:tcPr>
            <w:tcW w:w="1377" w:type="dxa"/>
            <w:tcBorders>
              <w:top w:val="nil"/>
              <w:left w:val="nil"/>
              <w:bottom w:val="single" w:sz="4" w:space="0" w:color="auto"/>
              <w:right w:val="single" w:sz="4" w:space="0" w:color="auto"/>
            </w:tcBorders>
            <w:shd w:val="clear" w:color="000000" w:fill="FFFFFF"/>
            <w:noWrap/>
            <w:vAlign w:val="center"/>
            <w:hideMark/>
          </w:tcPr>
          <w:p w14:paraId="14B60A9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27</w:t>
            </w:r>
          </w:p>
        </w:tc>
        <w:tc>
          <w:tcPr>
            <w:tcW w:w="946" w:type="dxa"/>
            <w:tcBorders>
              <w:top w:val="nil"/>
              <w:left w:val="nil"/>
              <w:bottom w:val="single" w:sz="4" w:space="0" w:color="auto"/>
              <w:right w:val="single" w:sz="4" w:space="0" w:color="auto"/>
            </w:tcBorders>
            <w:shd w:val="clear" w:color="auto" w:fill="auto"/>
            <w:noWrap/>
            <w:vAlign w:val="center"/>
            <w:hideMark/>
          </w:tcPr>
          <w:p w14:paraId="26C22259"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w:t>
            </w:r>
          </w:p>
        </w:tc>
        <w:tc>
          <w:tcPr>
            <w:tcW w:w="1032" w:type="dxa"/>
            <w:tcBorders>
              <w:top w:val="nil"/>
              <w:left w:val="nil"/>
              <w:bottom w:val="single" w:sz="4" w:space="0" w:color="auto"/>
              <w:right w:val="single" w:sz="4" w:space="0" w:color="auto"/>
            </w:tcBorders>
            <w:shd w:val="clear" w:color="000000" w:fill="FFFFFF"/>
            <w:noWrap/>
            <w:vAlign w:val="bottom"/>
            <w:hideMark/>
          </w:tcPr>
          <w:p w14:paraId="00AC66BC"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7.41%</w:t>
            </w:r>
          </w:p>
        </w:tc>
        <w:tc>
          <w:tcPr>
            <w:tcW w:w="1124" w:type="dxa"/>
            <w:tcBorders>
              <w:top w:val="nil"/>
              <w:left w:val="nil"/>
              <w:bottom w:val="single" w:sz="4" w:space="0" w:color="auto"/>
              <w:right w:val="single" w:sz="4" w:space="0" w:color="auto"/>
            </w:tcBorders>
            <w:shd w:val="clear" w:color="000000" w:fill="FFFFFF"/>
            <w:noWrap/>
            <w:vAlign w:val="bottom"/>
            <w:hideMark/>
          </w:tcPr>
          <w:p w14:paraId="70EDE8D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11467A97"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7FC22A16"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xml:space="preserve">    Computer Systems</w:t>
            </w:r>
          </w:p>
        </w:tc>
        <w:tc>
          <w:tcPr>
            <w:tcW w:w="987" w:type="dxa"/>
            <w:tcBorders>
              <w:top w:val="nil"/>
              <w:left w:val="nil"/>
              <w:bottom w:val="single" w:sz="4" w:space="0" w:color="auto"/>
              <w:right w:val="single" w:sz="4" w:space="0" w:color="auto"/>
            </w:tcBorders>
            <w:shd w:val="clear" w:color="auto" w:fill="auto"/>
            <w:noWrap/>
            <w:vAlign w:val="center"/>
            <w:hideMark/>
          </w:tcPr>
          <w:p w14:paraId="56D58F3E"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59E52419"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46A6C679"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541512</w:t>
            </w:r>
          </w:p>
        </w:tc>
        <w:tc>
          <w:tcPr>
            <w:tcW w:w="1377" w:type="dxa"/>
            <w:tcBorders>
              <w:top w:val="nil"/>
              <w:left w:val="nil"/>
              <w:bottom w:val="single" w:sz="4" w:space="0" w:color="auto"/>
              <w:right w:val="single" w:sz="4" w:space="0" w:color="auto"/>
            </w:tcBorders>
            <w:shd w:val="clear" w:color="000000" w:fill="FFFFFF"/>
            <w:noWrap/>
            <w:vAlign w:val="center"/>
            <w:hideMark/>
          </w:tcPr>
          <w:p w14:paraId="0718DF4F"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1321</w:t>
            </w:r>
          </w:p>
        </w:tc>
        <w:tc>
          <w:tcPr>
            <w:tcW w:w="946" w:type="dxa"/>
            <w:tcBorders>
              <w:top w:val="nil"/>
              <w:left w:val="nil"/>
              <w:bottom w:val="single" w:sz="4" w:space="0" w:color="auto"/>
              <w:right w:val="single" w:sz="4" w:space="0" w:color="auto"/>
            </w:tcBorders>
            <w:shd w:val="clear" w:color="auto" w:fill="auto"/>
            <w:noWrap/>
            <w:vAlign w:val="center"/>
            <w:hideMark/>
          </w:tcPr>
          <w:p w14:paraId="603B9AE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114</w:t>
            </w:r>
          </w:p>
        </w:tc>
        <w:tc>
          <w:tcPr>
            <w:tcW w:w="1032" w:type="dxa"/>
            <w:tcBorders>
              <w:top w:val="nil"/>
              <w:left w:val="nil"/>
              <w:bottom w:val="single" w:sz="4" w:space="0" w:color="auto"/>
              <w:right w:val="single" w:sz="4" w:space="0" w:color="auto"/>
            </w:tcBorders>
            <w:shd w:val="clear" w:color="000000" w:fill="FFFFFF"/>
            <w:noWrap/>
            <w:vAlign w:val="bottom"/>
            <w:hideMark/>
          </w:tcPr>
          <w:p w14:paraId="69B1D15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8.63%</w:t>
            </w:r>
          </w:p>
        </w:tc>
        <w:tc>
          <w:tcPr>
            <w:tcW w:w="1124" w:type="dxa"/>
            <w:tcBorders>
              <w:top w:val="nil"/>
              <w:left w:val="nil"/>
              <w:bottom w:val="single" w:sz="4" w:space="0" w:color="auto"/>
              <w:right w:val="single" w:sz="4" w:space="0" w:color="auto"/>
            </w:tcBorders>
            <w:shd w:val="clear" w:color="000000" w:fill="FFFFFF"/>
            <w:noWrap/>
            <w:vAlign w:val="bottom"/>
            <w:hideMark/>
          </w:tcPr>
          <w:p w14:paraId="65B9503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59F8CB11"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57D99FF6"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Professional Services</w:t>
            </w:r>
          </w:p>
        </w:tc>
        <w:tc>
          <w:tcPr>
            <w:tcW w:w="987" w:type="dxa"/>
            <w:tcBorders>
              <w:top w:val="nil"/>
              <w:left w:val="nil"/>
              <w:bottom w:val="single" w:sz="4" w:space="0" w:color="auto"/>
              <w:right w:val="single" w:sz="4" w:space="0" w:color="auto"/>
            </w:tcBorders>
            <w:shd w:val="clear" w:color="auto" w:fill="auto"/>
            <w:noWrap/>
            <w:vAlign w:val="center"/>
            <w:hideMark/>
          </w:tcPr>
          <w:p w14:paraId="52DA878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c>
          <w:tcPr>
            <w:tcW w:w="1466" w:type="dxa"/>
            <w:tcBorders>
              <w:top w:val="nil"/>
              <w:left w:val="nil"/>
              <w:bottom w:val="single" w:sz="4" w:space="0" w:color="auto"/>
              <w:right w:val="single" w:sz="4" w:space="0" w:color="auto"/>
            </w:tcBorders>
            <w:shd w:val="clear" w:color="auto" w:fill="auto"/>
            <w:noWrap/>
            <w:vAlign w:val="center"/>
            <w:hideMark/>
          </w:tcPr>
          <w:p w14:paraId="248EBDE8"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$0</w:t>
            </w:r>
          </w:p>
        </w:tc>
        <w:tc>
          <w:tcPr>
            <w:tcW w:w="1377" w:type="dxa"/>
            <w:tcBorders>
              <w:top w:val="nil"/>
              <w:left w:val="nil"/>
              <w:bottom w:val="single" w:sz="4" w:space="0" w:color="auto"/>
              <w:right w:val="single" w:sz="4" w:space="0" w:color="auto"/>
            </w:tcBorders>
            <w:shd w:val="clear" w:color="000000" w:fill="FFFFFF"/>
            <w:noWrap/>
            <w:vAlign w:val="center"/>
            <w:hideMark/>
          </w:tcPr>
          <w:p w14:paraId="13184207" w14:textId="77777777" w:rsidR="00AD17A9" w:rsidRPr="00AD17A9" w:rsidRDefault="00AD17A9" w:rsidP="00AD17A9">
            <w:pPr>
              <w:jc w:val="right"/>
              <w:rPr>
                <w:rFonts w:ascii="Calibri" w:eastAsia="Times New Roman" w:hAnsi="Calibri" w:cs="Calibri"/>
              </w:rPr>
            </w:pPr>
            <w:r w:rsidRPr="00AD17A9">
              <w:rPr>
                <w:rFonts w:ascii="Calibri" w:eastAsia="Times New Roman" w:hAnsi="Calibri" w:cs="Calibri"/>
              </w:rPr>
              <w:t>541330</w:t>
            </w:r>
          </w:p>
        </w:tc>
        <w:tc>
          <w:tcPr>
            <w:tcW w:w="1377" w:type="dxa"/>
            <w:tcBorders>
              <w:top w:val="nil"/>
              <w:left w:val="nil"/>
              <w:bottom w:val="single" w:sz="4" w:space="0" w:color="auto"/>
              <w:right w:val="single" w:sz="4" w:space="0" w:color="auto"/>
            </w:tcBorders>
            <w:shd w:val="clear" w:color="000000" w:fill="FFFFFF"/>
            <w:noWrap/>
            <w:vAlign w:val="center"/>
            <w:hideMark/>
          </w:tcPr>
          <w:p w14:paraId="24A9CAB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1197</w:t>
            </w:r>
          </w:p>
        </w:tc>
        <w:tc>
          <w:tcPr>
            <w:tcW w:w="946" w:type="dxa"/>
            <w:tcBorders>
              <w:top w:val="nil"/>
              <w:left w:val="nil"/>
              <w:bottom w:val="single" w:sz="4" w:space="0" w:color="auto"/>
              <w:right w:val="single" w:sz="4" w:space="0" w:color="auto"/>
            </w:tcBorders>
            <w:shd w:val="clear" w:color="auto" w:fill="auto"/>
            <w:noWrap/>
            <w:vAlign w:val="center"/>
            <w:hideMark/>
          </w:tcPr>
          <w:p w14:paraId="20D326A7"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339</w:t>
            </w:r>
          </w:p>
        </w:tc>
        <w:tc>
          <w:tcPr>
            <w:tcW w:w="1032" w:type="dxa"/>
            <w:tcBorders>
              <w:top w:val="nil"/>
              <w:left w:val="nil"/>
              <w:bottom w:val="single" w:sz="4" w:space="0" w:color="auto"/>
              <w:right w:val="single" w:sz="4" w:space="0" w:color="auto"/>
            </w:tcBorders>
            <w:shd w:val="clear" w:color="auto" w:fill="auto"/>
            <w:noWrap/>
            <w:vAlign w:val="bottom"/>
            <w:hideMark/>
          </w:tcPr>
          <w:p w14:paraId="5F7E896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28.32%</w:t>
            </w:r>
          </w:p>
        </w:tc>
        <w:tc>
          <w:tcPr>
            <w:tcW w:w="1124" w:type="dxa"/>
            <w:tcBorders>
              <w:top w:val="nil"/>
              <w:left w:val="nil"/>
              <w:bottom w:val="single" w:sz="4" w:space="0" w:color="auto"/>
              <w:right w:val="single" w:sz="4" w:space="0" w:color="auto"/>
            </w:tcBorders>
            <w:shd w:val="clear" w:color="auto" w:fill="auto"/>
            <w:noWrap/>
            <w:vAlign w:val="bottom"/>
            <w:hideMark/>
          </w:tcPr>
          <w:p w14:paraId="146AA2EB"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0.00%</w:t>
            </w:r>
          </w:p>
        </w:tc>
      </w:tr>
      <w:tr w:rsidR="00AD17A9" w:rsidRPr="00AD17A9" w14:paraId="29D4B05E" w14:textId="77777777" w:rsidTr="00AD17A9">
        <w:trPr>
          <w:trHeight w:val="212"/>
        </w:trPr>
        <w:tc>
          <w:tcPr>
            <w:tcW w:w="2608" w:type="dxa"/>
            <w:tcBorders>
              <w:top w:val="nil"/>
              <w:left w:val="single" w:sz="4" w:space="0" w:color="auto"/>
              <w:bottom w:val="single" w:sz="4" w:space="0" w:color="auto"/>
              <w:right w:val="single" w:sz="4" w:space="0" w:color="auto"/>
            </w:tcBorders>
            <w:shd w:val="clear" w:color="auto" w:fill="auto"/>
            <w:noWrap/>
            <w:vAlign w:val="center"/>
            <w:hideMark/>
          </w:tcPr>
          <w:p w14:paraId="38931FC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Total</w:t>
            </w:r>
          </w:p>
        </w:tc>
        <w:tc>
          <w:tcPr>
            <w:tcW w:w="987" w:type="dxa"/>
            <w:tcBorders>
              <w:top w:val="nil"/>
              <w:left w:val="nil"/>
              <w:bottom w:val="single" w:sz="4" w:space="0" w:color="auto"/>
              <w:right w:val="single" w:sz="4" w:space="0" w:color="auto"/>
            </w:tcBorders>
            <w:shd w:val="clear" w:color="auto" w:fill="auto"/>
            <w:noWrap/>
            <w:vAlign w:val="center"/>
            <w:hideMark/>
          </w:tcPr>
          <w:p w14:paraId="7F36A52D"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100.00%</w:t>
            </w:r>
          </w:p>
        </w:tc>
        <w:tc>
          <w:tcPr>
            <w:tcW w:w="1466" w:type="dxa"/>
            <w:tcBorders>
              <w:top w:val="nil"/>
              <w:left w:val="nil"/>
              <w:bottom w:val="single" w:sz="4" w:space="0" w:color="auto"/>
              <w:right w:val="single" w:sz="4" w:space="0" w:color="auto"/>
            </w:tcBorders>
            <w:shd w:val="clear" w:color="auto" w:fill="auto"/>
            <w:noWrap/>
            <w:vAlign w:val="center"/>
            <w:hideMark/>
          </w:tcPr>
          <w:p w14:paraId="6E6B9CAA" w14:textId="77777777" w:rsidR="00AD17A9" w:rsidRPr="00AD17A9" w:rsidRDefault="00AD17A9" w:rsidP="00AD17A9">
            <w:pPr>
              <w:jc w:val="right"/>
              <w:rPr>
                <w:rFonts w:ascii="Calibri" w:eastAsia="Times New Roman" w:hAnsi="Calibri" w:cs="Calibri"/>
                <w:color w:val="000000"/>
              </w:rPr>
            </w:pPr>
            <w:r w:rsidRPr="00AD17A9">
              <w:rPr>
                <w:rFonts w:ascii="Calibri" w:eastAsia="Times New Roman" w:hAnsi="Calibri" w:cs="Calibri"/>
                <w:color w:val="000000"/>
              </w:rPr>
              <w:t>$18,720,335</w:t>
            </w:r>
          </w:p>
        </w:tc>
        <w:tc>
          <w:tcPr>
            <w:tcW w:w="1377" w:type="dxa"/>
            <w:tcBorders>
              <w:top w:val="nil"/>
              <w:left w:val="nil"/>
              <w:bottom w:val="single" w:sz="4" w:space="0" w:color="auto"/>
              <w:right w:val="single" w:sz="4" w:space="0" w:color="auto"/>
            </w:tcBorders>
            <w:shd w:val="clear" w:color="000000" w:fill="FFFFFF"/>
            <w:noWrap/>
            <w:vAlign w:val="center"/>
            <w:hideMark/>
          </w:tcPr>
          <w:p w14:paraId="31662690" w14:textId="77777777" w:rsidR="00AD17A9" w:rsidRPr="00AD17A9" w:rsidRDefault="00AD17A9" w:rsidP="00AD17A9">
            <w:pPr>
              <w:rPr>
                <w:rFonts w:ascii="Calibri" w:eastAsia="Times New Roman" w:hAnsi="Calibri" w:cs="Calibri"/>
              </w:rPr>
            </w:pPr>
            <w:r w:rsidRPr="00AD17A9">
              <w:rPr>
                <w:rFonts w:ascii="Calibri" w:eastAsia="Times New Roman" w:hAnsi="Calibri" w:cs="Calibri"/>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36E21F1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center"/>
            <w:hideMark/>
          </w:tcPr>
          <w:p w14:paraId="1BCF280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auto" w:fill="auto"/>
            <w:noWrap/>
            <w:vAlign w:val="bottom"/>
            <w:hideMark/>
          </w:tcPr>
          <w:p w14:paraId="753F14EA"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000000" w:fill="FFFFFF"/>
            <w:noWrap/>
            <w:vAlign w:val="center"/>
            <w:hideMark/>
          </w:tcPr>
          <w:p w14:paraId="101251B1"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38.40%</w:t>
            </w:r>
          </w:p>
        </w:tc>
      </w:tr>
      <w:tr w:rsidR="00AD17A9" w:rsidRPr="00AD17A9" w14:paraId="5AAD28B2" w14:textId="77777777" w:rsidTr="00864E14">
        <w:trPr>
          <w:trHeight w:val="212"/>
        </w:trPr>
        <w:tc>
          <w:tcPr>
            <w:tcW w:w="2608" w:type="dxa"/>
            <w:tcBorders>
              <w:top w:val="nil"/>
              <w:left w:val="single" w:sz="4" w:space="0" w:color="auto"/>
              <w:bottom w:val="single" w:sz="4" w:space="0" w:color="auto"/>
              <w:right w:val="single" w:sz="4" w:space="0" w:color="auto"/>
            </w:tcBorders>
            <w:shd w:val="clear" w:color="auto" w:fill="auto"/>
            <w:noWrap/>
            <w:vAlign w:val="bottom"/>
            <w:hideMark/>
          </w:tcPr>
          <w:p w14:paraId="5F7EE169"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987" w:type="dxa"/>
            <w:tcBorders>
              <w:top w:val="nil"/>
              <w:left w:val="nil"/>
              <w:bottom w:val="single" w:sz="4" w:space="0" w:color="auto"/>
              <w:right w:val="single" w:sz="4" w:space="0" w:color="auto"/>
            </w:tcBorders>
            <w:shd w:val="clear" w:color="auto" w:fill="auto"/>
            <w:noWrap/>
            <w:vAlign w:val="bottom"/>
            <w:hideMark/>
          </w:tcPr>
          <w:p w14:paraId="219A5C21"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466" w:type="dxa"/>
            <w:tcBorders>
              <w:top w:val="nil"/>
              <w:left w:val="nil"/>
              <w:bottom w:val="single" w:sz="4" w:space="0" w:color="auto"/>
              <w:right w:val="single" w:sz="4" w:space="0" w:color="auto"/>
            </w:tcBorders>
            <w:shd w:val="clear" w:color="auto" w:fill="auto"/>
            <w:noWrap/>
            <w:vAlign w:val="bottom"/>
          </w:tcPr>
          <w:p w14:paraId="39CD0F71" w14:textId="2041A51D" w:rsidR="00AD17A9" w:rsidRPr="00AD17A9" w:rsidRDefault="00AD17A9" w:rsidP="00AD17A9">
            <w:pPr>
              <w:jc w:val="right"/>
              <w:rPr>
                <w:rFonts w:ascii="Calibri" w:eastAsia="Times New Roman" w:hAnsi="Calibri" w:cs="Calibri"/>
                <w:color w:val="000000"/>
              </w:rPr>
            </w:pPr>
          </w:p>
        </w:tc>
        <w:tc>
          <w:tcPr>
            <w:tcW w:w="1377" w:type="dxa"/>
            <w:tcBorders>
              <w:top w:val="nil"/>
              <w:left w:val="nil"/>
              <w:bottom w:val="single" w:sz="4" w:space="0" w:color="auto"/>
              <w:right w:val="single" w:sz="4" w:space="0" w:color="auto"/>
            </w:tcBorders>
            <w:shd w:val="clear" w:color="auto" w:fill="auto"/>
            <w:noWrap/>
            <w:vAlign w:val="bottom"/>
            <w:hideMark/>
          </w:tcPr>
          <w:p w14:paraId="0AD63766"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377" w:type="dxa"/>
            <w:tcBorders>
              <w:top w:val="nil"/>
              <w:left w:val="nil"/>
              <w:bottom w:val="single" w:sz="4" w:space="0" w:color="auto"/>
              <w:right w:val="single" w:sz="4" w:space="0" w:color="auto"/>
            </w:tcBorders>
            <w:shd w:val="clear" w:color="auto" w:fill="auto"/>
            <w:noWrap/>
            <w:vAlign w:val="bottom"/>
            <w:hideMark/>
          </w:tcPr>
          <w:p w14:paraId="5717F342"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946" w:type="dxa"/>
            <w:tcBorders>
              <w:top w:val="nil"/>
              <w:left w:val="nil"/>
              <w:bottom w:val="single" w:sz="4" w:space="0" w:color="auto"/>
              <w:right w:val="single" w:sz="4" w:space="0" w:color="auto"/>
            </w:tcBorders>
            <w:shd w:val="clear" w:color="auto" w:fill="auto"/>
            <w:noWrap/>
            <w:vAlign w:val="bottom"/>
            <w:hideMark/>
          </w:tcPr>
          <w:p w14:paraId="4CDC1573"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 </w:t>
            </w:r>
          </w:p>
        </w:tc>
        <w:tc>
          <w:tcPr>
            <w:tcW w:w="1032" w:type="dxa"/>
            <w:tcBorders>
              <w:top w:val="nil"/>
              <w:left w:val="nil"/>
              <w:bottom w:val="single" w:sz="4" w:space="0" w:color="auto"/>
              <w:right w:val="single" w:sz="4" w:space="0" w:color="auto"/>
            </w:tcBorders>
            <w:shd w:val="clear" w:color="auto" w:fill="auto"/>
            <w:noWrap/>
            <w:vAlign w:val="bottom"/>
            <w:hideMark/>
          </w:tcPr>
          <w:p w14:paraId="322FBAE3"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c>
          <w:tcPr>
            <w:tcW w:w="1124" w:type="dxa"/>
            <w:tcBorders>
              <w:top w:val="nil"/>
              <w:left w:val="nil"/>
              <w:bottom w:val="single" w:sz="4" w:space="0" w:color="auto"/>
              <w:right w:val="single" w:sz="4" w:space="0" w:color="auto"/>
            </w:tcBorders>
            <w:shd w:val="clear" w:color="auto" w:fill="auto"/>
            <w:noWrap/>
            <w:vAlign w:val="bottom"/>
            <w:hideMark/>
          </w:tcPr>
          <w:p w14:paraId="6C2175B2" w14:textId="77777777" w:rsidR="00AD17A9" w:rsidRPr="00AD17A9" w:rsidRDefault="00AD17A9" w:rsidP="00AD17A9">
            <w:pPr>
              <w:jc w:val="center"/>
              <w:rPr>
                <w:rFonts w:ascii="Calibri" w:eastAsia="Times New Roman" w:hAnsi="Calibri" w:cs="Calibri"/>
                <w:color w:val="000000"/>
              </w:rPr>
            </w:pPr>
            <w:r w:rsidRPr="00AD17A9">
              <w:rPr>
                <w:rFonts w:ascii="Calibri" w:eastAsia="Times New Roman" w:hAnsi="Calibri" w:cs="Calibri"/>
                <w:color w:val="000000"/>
              </w:rPr>
              <w:t> </w:t>
            </w:r>
          </w:p>
        </w:tc>
      </w:tr>
      <w:tr w:rsidR="00AD17A9" w:rsidRPr="00AD17A9" w14:paraId="3857AB77" w14:textId="77777777" w:rsidTr="00AD17A9">
        <w:trPr>
          <w:trHeight w:val="212"/>
        </w:trPr>
        <w:tc>
          <w:tcPr>
            <w:tcW w:w="1091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F1865" w14:textId="77777777" w:rsidR="00AD17A9" w:rsidRPr="00AD17A9" w:rsidRDefault="00AD17A9" w:rsidP="00AD17A9">
            <w:pPr>
              <w:rPr>
                <w:rFonts w:ascii="Calibri" w:eastAsia="Times New Roman" w:hAnsi="Calibri" w:cs="Calibri"/>
                <w:color w:val="000000"/>
              </w:rPr>
            </w:pPr>
            <w:r w:rsidRPr="00AD17A9">
              <w:rPr>
                <w:rFonts w:ascii="Calibri" w:eastAsia="Times New Roman" w:hAnsi="Calibri" w:cs="Calibri"/>
                <w:color w:val="000000"/>
              </w:rPr>
              <w:t>*Does not include contingency amounts, financing charges, right of way purchases or vehicles.</w:t>
            </w:r>
          </w:p>
        </w:tc>
      </w:tr>
    </w:tbl>
    <w:p w14:paraId="1B41D5E4" w14:textId="77777777" w:rsidR="00F45C9F" w:rsidRDefault="00F45C9F">
      <w:pPr>
        <w:spacing w:after="249" w:line="20" w:lineRule="exact"/>
      </w:pPr>
    </w:p>
    <w:p w14:paraId="47B74F43" w14:textId="6E25191F" w:rsidR="00F45C9F" w:rsidRDefault="00502E23">
      <w:pPr>
        <w:spacing w:before="7" w:after="694" w:line="277" w:lineRule="exact"/>
        <w:jc w:val="both"/>
        <w:textAlignment w:val="baseline"/>
        <w:rPr>
          <w:rFonts w:ascii="Arial" w:eastAsia="Arial" w:hAnsi="Arial"/>
          <w:color w:val="000000"/>
          <w:sz w:val="24"/>
        </w:rPr>
      </w:pPr>
      <w:r>
        <w:rPr>
          <w:rFonts w:ascii="Arial" w:eastAsia="Arial" w:hAnsi="Arial"/>
          <w:color w:val="000000"/>
          <w:sz w:val="24"/>
        </w:rPr>
        <w:t xml:space="preserve">Given that </w:t>
      </w:r>
      <w:r w:rsidR="00AD17A9">
        <w:rPr>
          <w:rFonts w:ascii="Arial" w:eastAsia="Arial" w:hAnsi="Arial"/>
          <w:color w:val="000000"/>
          <w:sz w:val="24"/>
        </w:rPr>
        <w:t>46.95</w:t>
      </w:r>
      <w:r>
        <w:rPr>
          <w:rFonts w:ascii="Arial" w:eastAsia="Arial" w:hAnsi="Arial"/>
          <w:color w:val="000000"/>
          <w:sz w:val="24"/>
        </w:rPr>
        <w:t>% of FDOT</w:t>
      </w:r>
      <w:r>
        <w:rPr>
          <w:rFonts w:ascii="Arial" w:eastAsia="Arial" w:hAnsi="Arial"/>
          <w:color w:val="000000"/>
          <w:sz w:val="25"/>
        </w:rPr>
        <w:t xml:space="preserve">’s </w:t>
      </w:r>
      <w:r>
        <w:rPr>
          <w:rFonts w:ascii="Arial" w:eastAsia="Arial" w:hAnsi="Arial"/>
          <w:color w:val="000000"/>
          <w:sz w:val="24"/>
        </w:rPr>
        <w:t xml:space="preserve">FTA dollars are available for DBEs for the SunRail project and that </w:t>
      </w:r>
      <w:r w:rsidR="00AD17A9">
        <w:rPr>
          <w:rFonts w:ascii="Arial" w:eastAsia="Arial" w:hAnsi="Arial"/>
          <w:color w:val="000000"/>
          <w:sz w:val="24"/>
        </w:rPr>
        <w:t>38.</w:t>
      </w:r>
      <w:r w:rsidR="00864E14">
        <w:rPr>
          <w:rFonts w:ascii="Arial" w:eastAsia="Arial" w:hAnsi="Arial"/>
          <w:color w:val="000000"/>
          <w:sz w:val="24"/>
        </w:rPr>
        <w:t>40</w:t>
      </w:r>
      <w:r>
        <w:rPr>
          <w:rFonts w:ascii="Arial" w:eastAsia="Arial" w:hAnsi="Arial"/>
          <w:color w:val="000000"/>
          <w:sz w:val="24"/>
        </w:rPr>
        <w:t xml:space="preserve">% of the businesses are DBEs, FDOT would expect that </w:t>
      </w:r>
      <w:r w:rsidR="00AD17A9">
        <w:rPr>
          <w:rFonts w:ascii="Arial" w:eastAsia="Arial" w:hAnsi="Arial"/>
          <w:color w:val="000000"/>
          <w:sz w:val="24"/>
        </w:rPr>
        <w:t>18.0</w:t>
      </w:r>
      <w:r w:rsidR="00864E14">
        <w:rPr>
          <w:rFonts w:ascii="Arial" w:eastAsia="Arial" w:hAnsi="Arial"/>
          <w:color w:val="000000"/>
          <w:sz w:val="24"/>
        </w:rPr>
        <w:t>3</w:t>
      </w:r>
      <w:r>
        <w:rPr>
          <w:rFonts w:ascii="Arial" w:eastAsia="Arial" w:hAnsi="Arial"/>
          <w:color w:val="000000"/>
          <w:sz w:val="24"/>
        </w:rPr>
        <w:t xml:space="preserve">% of all dollars awarded would be awarded to DBEs on the SunRail project. This is represented by the following calculation: </w:t>
      </w:r>
      <w:r w:rsidR="00AD17A9">
        <w:rPr>
          <w:rFonts w:ascii="Arial" w:eastAsia="Arial" w:hAnsi="Arial"/>
          <w:b/>
          <w:color w:val="000000"/>
          <w:sz w:val="24"/>
        </w:rPr>
        <w:t>38.</w:t>
      </w:r>
      <w:r w:rsidR="00864E14">
        <w:rPr>
          <w:rFonts w:ascii="Arial" w:eastAsia="Arial" w:hAnsi="Arial"/>
          <w:b/>
          <w:color w:val="000000"/>
          <w:sz w:val="24"/>
        </w:rPr>
        <w:t>40</w:t>
      </w:r>
      <w:r>
        <w:rPr>
          <w:rFonts w:ascii="Arial" w:eastAsia="Arial" w:hAnsi="Arial"/>
          <w:b/>
          <w:color w:val="000000"/>
          <w:sz w:val="24"/>
        </w:rPr>
        <w:t xml:space="preserve">% x </w:t>
      </w:r>
      <w:r w:rsidR="00AD17A9">
        <w:rPr>
          <w:rFonts w:ascii="Arial" w:eastAsia="Arial" w:hAnsi="Arial"/>
          <w:b/>
          <w:color w:val="000000"/>
          <w:sz w:val="24"/>
        </w:rPr>
        <w:t>46.95</w:t>
      </w:r>
      <w:r>
        <w:rPr>
          <w:rFonts w:ascii="Arial" w:eastAsia="Arial" w:hAnsi="Arial"/>
          <w:b/>
          <w:color w:val="000000"/>
          <w:sz w:val="24"/>
        </w:rPr>
        <w:t xml:space="preserve">% = </w:t>
      </w:r>
      <w:r w:rsidR="00AD17A9">
        <w:rPr>
          <w:rFonts w:ascii="Arial" w:eastAsia="Arial" w:hAnsi="Arial"/>
          <w:b/>
          <w:color w:val="000000"/>
          <w:sz w:val="24"/>
        </w:rPr>
        <w:t>18.0</w:t>
      </w:r>
      <w:r w:rsidR="00864E14">
        <w:rPr>
          <w:rFonts w:ascii="Arial" w:eastAsia="Arial" w:hAnsi="Arial"/>
          <w:b/>
          <w:color w:val="000000"/>
          <w:sz w:val="24"/>
        </w:rPr>
        <w:t>3</w:t>
      </w:r>
      <w:r>
        <w:rPr>
          <w:rFonts w:ascii="Arial" w:eastAsia="Arial" w:hAnsi="Arial"/>
          <w:b/>
          <w:color w:val="000000"/>
          <w:sz w:val="24"/>
        </w:rPr>
        <w:t>%</w:t>
      </w:r>
    </w:p>
    <w:p w14:paraId="5E68A976" w14:textId="77777777" w:rsidR="00F45C9F" w:rsidRDefault="00F45C9F">
      <w:pPr>
        <w:spacing w:before="7" w:after="694" w:line="277" w:lineRule="exact"/>
        <w:sectPr w:rsidR="00F45C9F">
          <w:pgSz w:w="12240" w:h="15840"/>
          <w:pgMar w:top="1440" w:right="1053" w:bottom="584" w:left="1067" w:header="720" w:footer="720" w:gutter="0"/>
          <w:cols w:space="720"/>
        </w:sectPr>
      </w:pPr>
    </w:p>
    <w:p w14:paraId="7039F1D3" w14:textId="77777777" w:rsidR="00F45C9F" w:rsidRDefault="00502E23">
      <w:pPr>
        <w:spacing w:line="265" w:lineRule="exact"/>
        <w:textAlignment w:val="baseline"/>
        <w:rPr>
          <w:rFonts w:eastAsia="Times New Roman"/>
          <w:color w:val="000000"/>
          <w:sz w:val="24"/>
        </w:rPr>
      </w:pPr>
      <w:r>
        <w:rPr>
          <w:rFonts w:eastAsia="Times New Roman"/>
          <w:color w:val="000000"/>
          <w:sz w:val="24"/>
        </w:rPr>
        <w:t>2</w:t>
      </w:r>
    </w:p>
    <w:p w14:paraId="79FF234F" w14:textId="77777777" w:rsidR="00F45C9F" w:rsidRDefault="00F45C9F">
      <w:pPr>
        <w:sectPr w:rsidR="00F45C9F">
          <w:type w:val="continuous"/>
          <w:pgSz w:w="12240" w:h="15840"/>
          <w:pgMar w:top="1440" w:right="1016" w:bottom="584" w:left="10964" w:header="720" w:footer="720" w:gutter="0"/>
          <w:cols w:space="720"/>
        </w:sectPr>
      </w:pPr>
    </w:p>
    <w:p w14:paraId="4BFA910C" w14:textId="77777777" w:rsidR="00F45C9F" w:rsidRDefault="00502E23">
      <w:pPr>
        <w:spacing w:before="2" w:line="277" w:lineRule="exact"/>
        <w:textAlignment w:val="baseline"/>
        <w:rPr>
          <w:rFonts w:ascii="Arial" w:eastAsia="Arial" w:hAnsi="Arial"/>
          <w:color w:val="000000"/>
          <w:spacing w:val="-1"/>
          <w:sz w:val="24"/>
        </w:rPr>
      </w:pPr>
      <w:r>
        <w:rPr>
          <w:rFonts w:ascii="Arial" w:eastAsia="Arial" w:hAnsi="Arial"/>
          <w:color w:val="000000"/>
          <w:spacing w:val="-1"/>
          <w:sz w:val="24"/>
        </w:rPr>
        <w:lastRenderedPageBreak/>
        <w:t>5311 OPERATING FUNDS:</w:t>
      </w:r>
    </w:p>
    <w:p w14:paraId="669B633B" w14:textId="031B53D0" w:rsidR="00F45C9F" w:rsidRDefault="00502E23">
      <w:pPr>
        <w:spacing w:before="272" w:line="277" w:lineRule="exact"/>
        <w:jc w:val="both"/>
        <w:textAlignment w:val="baseline"/>
        <w:rPr>
          <w:rFonts w:ascii="Arial" w:eastAsia="Arial" w:hAnsi="Arial"/>
          <w:color w:val="000000"/>
          <w:sz w:val="24"/>
        </w:rPr>
      </w:pPr>
      <w:r>
        <w:rPr>
          <w:rFonts w:ascii="Arial" w:eastAsia="Arial" w:hAnsi="Arial"/>
          <w:color w:val="000000"/>
          <w:sz w:val="24"/>
        </w:rPr>
        <w:t xml:space="preserve">5311 operating funds account for </w:t>
      </w:r>
      <w:r w:rsidR="00AD17A9">
        <w:rPr>
          <w:rFonts w:ascii="Arial" w:eastAsia="Arial" w:hAnsi="Arial"/>
          <w:color w:val="000000"/>
          <w:sz w:val="24"/>
        </w:rPr>
        <w:t>19.46</w:t>
      </w:r>
      <w:r>
        <w:rPr>
          <w:rFonts w:ascii="Arial" w:eastAsia="Arial" w:hAnsi="Arial"/>
          <w:color w:val="000000"/>
          <w:sz w:val="24"/>
        </w:rPr>
        <w:t xml:space="preserve">% (Table 1) of the total dollars used to calculate the FTA DBE goal. NAICS code </w:t>
      </w:r>
      <w:r>
        <w:rPr>
          <w:rFonts w:ascii="Arial" w:eastAsia="Arial" w:hAnsi="Arial"/>
          <w:color w:val="000000"/>
        </w:rPr>
        <w:t xml:space="preserve">485113 </w:t>
      </w:r>
      <w:r>
        <w:rPr>
          <w:rFonts w:ascii="Arial" w:eastAsia="Arial" w:hAnsi="Arial"/>
          <w:color w:val="000000"/>
          <w:sz w:val="24"/>
        </w:rPr>
        <w:t>was identified to be the best fit for this type of work. The number of total businesses for this NAICS code was identified by using the 201</w:t>
      </w:r>
      <w:r w:rsidR="00AD17A9">
        <w:rPr>
          <w:rFonts w:ascii="Arial" w:eastAsia="Arial" w:hAnsi="Arial"/>
          <w:color w:val="000000"/>
          <w:sz w:val="24"/>
        </w:rPr>
        <w:t>7</w:t>
      </w:r>
      <w:r>
        <w:rPr>
          <w:rFonts w:ascii="Arial" w:eastAsia="Arial" w:hAnsi="Arial"/>
          <w:color w:val="000000"/>
          <w:sz w:val="24"/>
        </w:rPr>
        <w:t xml:space="preserve"> Statewide County Business Patterns data. The number of DBEs available statewide for this NAICS code was identified by using the Florida DBE Directory. Table 3 provides the percentage of dollars that DBEs would be expected to receive for these NAICS code:</w:t>
      </w:r>
    </w:p>
    <w:p w14:paraId="723AC185" w14:textId="77777777" w:rsidR="00F45C9F" w:rsidRDefault="00502E23">
      <w:pPr>
        <w:spacing w:before="270" w:line="267" w:lineRule="exact"/>
        <w:jc w:val="center"/>
        <w:textAlignment w:val="baseline"/>
        <w:rPr>
          <w:rFonts w:ascii="Arial" w:eastAsia="Arial" w:hAnsi="Arial"/>
          <w:color w:val="000000"/>
          <w:sz w:val="24"/>
        </w:rPr>
      </w:pPr>
      <w:r>
        <w:rPr>
          <w:rFonts w:ascii="Arial" w:eastAsia="Arial" w:hAnsi="Arial"/>
          <w:color w:val="000000"/>
          <w:sz w:val="24"/>
        </w:rPr>
        <w:t>Table 3: Section 5311 Percent of Dollars by NAICS Code</w:t>
      </w:r>
    </w:p>
    <w:tbl>
      <w:tblPr>
        <w:tblW w:w="0" w:type="auto"/>
        <w:tblInd w:w="13" w:type="dxa"/>
        <w:tblLayout w:type="fixed"/>
        <w:tblCellMar>
          <w:left w:w="0" w:type="dxa"/>
          <w:right w:w="0" w:type="dxa"/>
        </w:tblCellMar>
        <w:tblLook w:val="04A0" w:firstRow="1" w:lastRow="0" w:firstColumn="1" w:lastColumn="0" w:noHBand="0" w:noVBand="1"/>
      </w:tblPr>
      <w:tblGrid>
        <w:gridCol w:w="2309"/>
        <w:gridCol w:w="1478"/>
        <w:gridCol w:w="2112"/>
        <w:gridCol w:w="1685"/>
        <w:gridCol w:w="802"/>
        <w:gridCol w:w="1699"/>
      </w:tblGrid>
      <w:tr w:rsidR="00F45C9F" w14:paraId="6909BF10" w14:textId="77777777">
        <w:trPr>
          <w:trHeight w:hRule="exact" w:val="312"/>
        </w:trPr>
        <w:tc>
          <w:tcPr>
            <w:tcW w:w="10085" w:type="dxa"/>
            <w:gridSpan w:val="6"/>
            <w:tcBorders>
              <w:top w:val="single" w:sz="5" w:space="0" w:color="000000"/>
              <w:left w:val="single" w:sz="5" w:space="0" w:color="000000"/>
              <w:bottom w:val="single" w:sz="5" w:space="0" w:color="000000"/>
              <w:right w:val="single" w:sz="5" w:space="0" w:color="000000"/>
            </w:tcBorders>
            <w:vAlign w:val="center"/>
          </w:tcPr>
          <w:p w14:paraId="531F0B85" w14:textId="77777777" w:rsidR="00F45C9F" w:rsidRDefault="00502E23">
            <w:pPr>
              <w:spacing w:before="62" w:line="245" w:lineRule="exact"/>
              <w:jc w:val="center"/>
              <w:textAlignment w:val="baseline"/>
              <w:rPr>
                <w:rFonts w:ascii="Arial" w:eastAsia="Arial" w:hAnsi="Arial"/>
                <w:b/>
                <w:color w:val="000000"/>
              </w:rPr>
            </w:pPr>
            <w:r>
              <w:rPr>
                <w:rFonts w:ascii="Arial" w:eastAsia="Arial" w:hAnsi="Arial"/>
                <w:b/>
                <w:color w:val="000000"/>
              </w:rPr>
              <w:t>Section 5311</w:t>
            </w:r>
          </w:p>
        </w:tc>
      </w:tr>
      <w:tr w:rsidR="00F45C9F" w14:paraId="4D95E7FE" w14:textId="77777777">
        <w:trPr>
          <w:trHeight w:hRule="exact" w:val="768"/>
        </w:trPr>
        <w:tc>
          <w:tcPr>
            <w:tcW w:w="2309" w:type="dxa"/>
            <w:tcBorders>
              <w:top w:val="single" w:sz="5" w:space="0" w:color="000000"/>
              <w:left w:val="single" w:sz="5" w:space="0" w:color="000000"/>
              <w:bottom w:val="single" w:sz="5" w:space="0" w:color="000000"/>
              <w:right w:val="single" w:sz="5" w:space="0" w:color="000000"/>
            </w:tcBorders>
            <w:vAlign w:val="bottom"/>
          </w:tcPr>
          <w:p w14:paraId="35F3A92C" w14:textId="77777777" w:rsidR="00F45C9F" w:rsidRDefault="00502E23">
            <w:pPr>
              <w:spacing w:before="518" w:line="240" w:lineRule="exact"/>
              <w:jc w:val="center"/>
              <w:textAlignment w:val="baseline"/>
              <w:rPr>
                <w:rFonts w:ascii="Arial" w:eastAsia="Arial" w:hAnsi="Arial"/>
                <w:b/>
                <w:color w:val="000000"/>
              </w:rPr>
            </w:pPr>
            <w:r>
              <w:rPr>
                <w:rFonts w:ascii="Arial" w:eastAsia="Arial" w:hAnsi="Arial"/>
                <w:b/>
                <w:color w:val="000000"/>
              </w:rPr>
              <w:t>Work Type</w:t>
            </w:r>
          </w:p>
        </w:tc>
        <w:tc>
          <w:tcPr>
            <w:tcW w:w="1478" w:type="dxa"/>
            <w:tcBorders>
              <w:top w:val="single" w:sz="5" w:space="0" w:color="000000"/>
              <w:left w:val="single" w:sz="5" w:space="0" w:color="000000"/>
              <w:bottom w:val="single" w:sz="5" w:space="0" w:color="000000"/>
              <w:right w:val="single" w:sz="5" w:space="0" w:color="000000"/>
            </w:tcBorders>
            <w:vAlign w:val="bottom"/>
          </w:tcPr>
          <w:p w14:paraId="5FADC716" w14:textId="77777777" w:rsidR="00F45C9F" w:rsidRDefault="00502E23">
            <w:pPr>
              <w:spacing w:before="518" w:line="240" w:lineRule="exact"/>
              <w:jc w:val="center"/>
              <w:textAlignment w:val="baseline"/>
              <w:rPr>
                <w:rFonts w:ascii="Arial" w:eastAsia="Arial" w:hAnsi="Arial"/>
                <w:b/>
                <w:color w:val="000000"/>
              </w:rPr>
            </w:pPr>
            <w:r>
              <w:rPr>
                <w:rFonts w:ascii="Arial" w:eastAsia="Arial" w:hAnsi="Arial"/>
                <w:b/>
                <w:color w:val="000000"/>
              </w:rPr>
              <w:t>NAICS code</w:t>
            </w:r>
          </w:p>
        </w:tc>
        <w:tc>
          <w:tcPr>
            <w:tcW w:w="2112" w:type="dxa"/>
            <w:tcBorders>
              <w:top w:val="single" w:sz="5" w:space="0" w:color="000000"/>
              <w:left w:val="single" w:sz="5" w:space="0" w:color="000000"/>
              <w:bottom w:val="single" w:sz="5" w:space="0" w:color="000000"/>
              <w:right w:val="single" w:sz="5" w:space="0" w:color="000000"/>
            </w:tcBorders>
          </w:tcPr>
          <w:p w14:paraId="28BB897C" w14:textId="77777777" w:rsidR="00F45C9F" w:rsidRDefault="00502E23">
            <w:pPr>
              <w:spacing w:line="248" w:lineRule="exact"/>
              <w:jc w:val="center"/>
              <w:textAlignment w:val="baseline"/>
              <w:rPr>
                <w:rFonts w:ascii="Arial" w:eastAsia="Arial" w:hAnsi="Arial"/>
                <w:b/>
                <w:color w:val="000000"/>
              </w:rPr>
            </w:pPr>
            <w:r>
              <w:rPr>
                <w:rFonts w:ascii="Arial" w:eastAsia="Arial" w:hAnsi="Arial"/>
                <w:b/>
                <w:color w:val="000000"/>
              </w:rPr>
              <w:t xml:space="preserve">Amount of DOT </w:t>
            </w:r>
            <w:r>
              <w:rPr>
                <w:rFonts w:ascii="Arial" w:eastAsia="Arial" w:hAnsi="Arial"/>
                <w:b/>
                <w:color w:val="000000"/>
              </w:rPr>
              <w:br/>
              <w:t xml:space="preserve">Funds Available </w:t>
            </w:r>
            <w:r>
              <w:rPr>
                <w:rFonts w:ascii="Arial" w:eastAsia="Arial" w:hAnsi="Arial"/>
                <w:b/>
                <w:color w:val="000000"/>
              </w:rPr>
              <w:br/>
              <w:t>for contracting</w:t>
            </w:r>
          </w:p>
        </w:tc>
        <w:tc>
          <w:tcPr>
            <w:tcW w:w="1685" w:type="dxa"/>
            <w:tcBorders>
              <w:top w:val="single" w:sz="5" w:space="0" w:color="000000"/>
              <w:left w:val="single" w:sz="5" w:space="0" w:color="000000"/>
              <w:bottom w:val="single" w:sz="5" w:space="0" w:color="000000"/>
              <w:right w:val="single" w:sz="5" w:space="0" w:color="000000"/>
            </w:tcBorders>
            <w:vAlign w:val="bottom"/>
          </w:tcPr>
          <w:p w14:paraId="3D962281" w14:textId="77777777" w:rsidR="00F45C9F" w:rsidRDefault="00502E23">
            <w:pPr>
              <w:spacing w:before="518" w:line="240" w:lineRule="exact"/>
              <w:jc w:val="center"/>
              <w:textAlignment w:val="baseline"/>
              <w:rPr>
                <w:rFonts w:ascii="Arial" w:eastAsia="Arial" w:hAnsi="Arial"/>
                <w:b/>
                <w:color w:val="000000"/>
              </w:rPr>
            </w:pPr>
            <w:r>
              <w:rPr>
                <w:rFonts w:ascii="Arial" w:eastAsia="Arial" w:hAnsi="Arial"/>
                <w:b/>
                <w:color w:val="000000"/>
              </w:rPr>
              <w:t>Total Vendors</w:t>
            </w:r>
          </w:p>
        </w:tc>
        <w:tc>
          <w:tcPr>
            <w:tcW w:w="802" w:type="dxa"/>
            <w:tcBorders>
              <w:top w:val="single" w:sz="5" w:space="0" w:color="000000"/>
              <w:left w:val="single" w:sz="5" w:space="0" w:color="000000"/>
              <w:bottom w:val="single" w:sz="5" w:space="0" w:color="000000"/>
              <w:right w:val="single" w:sz="5" w:space="0" w:color="000000"/>
            </w:tcBorders>
            <w:vAlign w:val="bottom"/>
          </w:tcPr>
          <w:p w14:paraId="43B67B24" w14:textId="77777777" w:rsidR="00F45C9F" w:rsidRDefault="00502E23">
            <w:pPr>
              <w:spacing w:before="518" w:line="240" w:lineRule="exact"/>
              <w:jc w:val="center"/>
              <w:textAlignment w:val="baseline"/>
              <w:rPr>
                <w:rFonts w:ascii="Arial" w:eastAsia="Arial" w:hAnsi="Arial"/>
                <w:b/>
                <w:color w:val="000000"/>
              </w:rPr>
            </w:pPr>
            <w:r>
              <w:rPr>
                <w:rFonts w:ascii="Arial" w:eastAsia="Arial" w:hAnsi="Arial"/>
                <w:b/>
                <w:color w:val="000000"/>
              </w:rPr>
              <w:t>DBEs</w:t>
            </w:r>
          </w:p>
        </w:tc>
        <w:tc>
          <w:tcPr>
            <w:tcW w:w="1699" w:type="dxa"/>
            <w:tcBorders>
              <w:top w:val="single" w:sz="5" w:space="0" w:color="000000"/>
              <w:left w:val="single" w:sz="5" w:space="0" w:color="000000"/>
              <w:bottom w:val="single" w:sz="5" w:space="0" w:color="000000"/>
              <w:right w:val="single" w:sz="5" w:space="0" w:color="000000"/>
            </w:tcBorders>
            <w:vAlign w:val="bottom"/>
          </w:tcPr>
          <w:p w14:paraId="4A9EEA78" w14:textId="77777777" w:rsidR="00F45C9F" w:rsidRDefault="00502E23">
            <w:pPr>
              <w:spacing w:before="518" w:line="240" w:lineRule="exact"/>
              <w:ind w:right="215"/>
              <w:jc w:val="right"/>
              <w:textAlignment w:val="baseline"/>
              <w:rPr>
                <w:rFonts w:ascii="Arial" w:eastAsia="Arial" w:hAnsi="Arial"/>
                <w:b/>
                <w:color w:val="000000"/>
              </w:rPr>
            </w:pPr>
            <w:r>
              <w:rPr>
                <w:rFonts w:ascii="Arial" w:eastAsia="Arial" w:hAnsi="Arial"/>
                <w:b/>
                <w:color w:val="000000"/>
              </w:rPr>
              <w:t>% of DBES</w:t>
            </w:r>
          </w:p>
        </w:tc>
      </w:tr>
      <w:tr w:rsidR="00F45C9F" w14:paraId="430AB2B8" w14:textId="77777777">
        <w:trPr>
          <w:trHeight w:hRule="exact" w:val="782"/>
        </w:trPr>
        <w:tc>
          <w:tcPr>
            <w:tcW w:w="2309" w:type="dxa"/>
            <w:tcBorders>
              <w:top w:val="single" w:sz="5" w:space="0" w:color="000000"/>
              <w:left w:val="single" w:sz="5" w:space="0" w:color="000000"/>
              <w:bottom w:val="single" w:sz="5" w:space="0" w:color="000000"/>
              <w:right w:val="single" w:sz="5" w:space="0" w:color="000000"/>
            </w:tcBorders>
          </w:tcPr>
          <w:p w14:paraId="0AF1D26B" w14:textId="77777777" w:rsidR="00F45C9F" w:rsidRDefault="00502E23">
            <w:pPr>
              <w:spacing w:line="250" w:lineRule="exact"/>
              <w:ind w:left="108"/>
              <w:textAlignment w:val="baseline"/>
              <w:rPr>
                <w:rFonts w:ascii="Arial" w:eastAsia="Arial" w:hAnsi="Arial"/>
                <w:color w:val="000000"/>
              </w:rPr>
            </w:pPr>
            <w:r>
              <w:rPr>
                <w:rFonts w:ascii="Arial" w:eastAsia="Arial" w:hAnsi="Arial"/>
                <w:color w:val="000000"/>
              </w:rPr>
              <w:t>Bus and Other Motor Vehicle Transit Systems</w:t>
            </w:r>
          </w:p>
        </w:tc>
        <w:tc>
          <w:tcPr>
            <w:tcW w:w="1478" w:type="dxa"/>
            <w:tcBorders>
              <w:top w:val="single" w:sz="5" w:space="0" w:color="000000"/>
              <w:left w:val="single" w:sz="5" w:space="0" w:color="000000"/>
              <w:bottom w:val="single" w:sz="5" w:space="0" w:color="000000"/>
              <w:right w:val="single" w:sz="5" w:space="0" w:color="000000"/>
            </w:tcBorders>
            <w:vAlign w:val="bottom"/>
          </w:tcPr>
          <w:p w14:paraId="7A220FDC" w14:textId="77777777" w:rsidR="00F45C9F" w:rsidRDefault="00502E23">
            <w:pPr>
              <w:spacing w:before="522" w:line="246" w:lineRule="exact"/>
              <w:jc w:val="center"/>
              <w:textAlignment w:val="baseline"/>
              <w:rPr>
                <w:rFonts w:ascii="Arial" w:eastAsia="Arial" w:hAnsi="Arial"/>
                <w:color w:val="000000"/>
              </w:rPr>
            </w:pPr>
            <w:r>
              <w:rPr>
                <w:rFonts w:ascii="Arial" w:eastAsia="Arial" w:hAnsi="Arial"/>
                <w:color w:val="000000"/>
              </w:rPr>
              <w:t>485113</w:t>
            </w:r>
          </w:p>
        </w:tc>
        <w:tc>
          <w:tcPr>
            <w:tcW w:w="2112" w:type="dxa"/>
            <w:tcBorders>
              <w:top w:val="single" w:sz="5" w:space="0" w:color="000000"/>
              <w:left w:val="single" w:sz="5" w:space="0" w:color="000000"/>
              <w:bottom w:val="single" w:sz="5" w:space="0" w:color="000000"/>
              <w:right w:val="single" w:sz="5" w:space="0" w:color="000000"/>
            </w:tcBorders>
            <w:vAlign w:val="bottom"/>
          </w:tcPr>
          <w:p w14:paraId="07C76595" w14:textId="767F6755" w:rsidR="00F45C9F" w:rsidRDefault="00502E23">
            <w:pPr>
              <w:spacing w:before="522" w:line="246" w:lineRule="exact"/>
              <w:jc w:val="center"/>
              <w:textAlignment w:val="baseline"/>
              <w:rPr>
                <w:rFonts w:ascii="Arial" w:eastAsia="Arial" w:hAnsi="Arial"/>
                <w:color w:val="000000"/>
              </w:rPr>
            </w:pPr>
            <w:r>
              <w:rPr>
                <w:rFonts w:ascii="Arial" w:eastAsia="Arial" w:hAnsi="Arial"/>
                <w:color w:val="000000"/>
              </w:rPr>
              <w:t>$</w:t>
            </w:r>
            <w:r w:rsidR="00AD17A9">
              <w:rPr>
                <w:rFonts w:ascii="Arial" w:eastAsia="Arial" w:hAnsi="Arial"/>
                <w:color w:val="000000"/>
              </w:rPr>
              <w:t>7,756,832</w:t>
            </w:r>
          </w:p>
        </w:tc>
        <w:tc>
          <w:tcPr>
            <w:tcW w:w="1685" w:type="dxa"/>
            <w:tcBorders>
              <w:top w:val="single" w:sz="5" w:space="0" w:color="000000"/>
              <w:left w:val="single" w:sz="5" w:space="0" w:color="000000"/>
              <w:bottom w:val="single" w:sz="5" w:space="0" w:color="000000"/>
              <w:right w:val="single" w:sz="5" w:space="0" w:color="000000"/>
            </w:tcBorders>
            <w:vAlign w:val="bottom"/>
          </w:tcPr>
          <w:p w14:paraId="0790C5F2" w14:textId="2E015096" w:rsidR="00F45C9F" w:rsidRDefault="00AD17A9">
            <w:pPr>
              <w:spacing w:before="522" w:line="246" w:lineRule="exact"/>
              <w:jc w:val="center"/>
              <w:textAlignment w:val="baseline"/>
              <w:rPr>
                <w:rFonts w:ascii="Arial" w:eastAsia="Arial" w:hAnsi="Arial"/>
                <w:color w:val="000000"/>
              </w:rPr>
            </w:pPr>
            <w:r>
              <w:rPr>
                <w:rFonts w:ascii="Arial" w:eastAsia="Arial" w:hAnsi="Arial"/>
                <w:color w:val="000000"/>
              </w:rPr>
              <w:t>32</w:t>
            </w:r>
          </w:p>
        </w:tc>
        <w:tc>
          <w:tcPr>
            <w:tcW w:w="802" w:type="dxa"/>
            <w:tcBorders>
              <w:top w:val="single" w:sz="5" w:space="0" w:color="000000"/>
              <w:left w:val="single" w:sz="5" w:space="0" w:color="000000"/>
              <w:bottom w:val="single" w:sz="5" w:space="0" w:color="000000"/>
              <w:right w:val="single" w:sz="5" w:space="0" w:color="000000"/>
            </w:tcBorders>
            <w:vAlign w:val="bottom"/>
          </w:tcPr>
          <w:p w14:paraId="58068CF6" w14:textId="7CF79D1E" w:rsidR="00F45C9F" w:rsidRDefault="00502E23">
            <w:pPr>
              <w:spacing w:before="522" w:line="246" w:lineRule="exact"/>
              <w:jc w:val="center"/>
              <w:textAlignment w:val="baseline"/>
              <w:rPr>
                <w:rFonts w:ascii="Arial" w:eastAsia="Arial" w:hAnsi="Arial"/>
                <w:color w:val="000000"/>
              </w:rPr>
            </w:pPr>
            <w:r>
              <w:rPr>
                <w:rFonts w:ascii="Arial" w:eastAsia="Arial" w:hAnsi="Arial"/>
                <w:color w:val="000000"/>
              </w:rPr>
              <w:t>1</w:t>
            </w:r>
            <w:r w:rsidR="00AD17A9">
              <w:rPr>
                <w:rFonts w:ascii="Arial" w:eastAsia="Arial" w:hAnsi="Arial"/>
                <w:color w:val="000000"/>
              </w:rPr>
              <w:t>0</w:t>
            </w:r>
          </w:p>
        </w:tc>
        <w:tc>
          <w:tcPr>
            <w:tcW w:w="1699" w:type="dxa"/>
            <w:tcBorders>
              <w:top w:val="single" w:sz="5" w:space="0" w:color="000000"/>
              <w:left w:val="single" w:sz="5" w:space="0" w:color="000000"/>
              <w:bottom w:val="single" w:sz="5" w:space="0" w:color="000000"/>
              <w:right w:val="single" w:sz="5" w:space="0" w:color="000000"/>
            </w:tcBorders>
            <w:vAlign w:val="bottom"/>
          </w:tcPr>
          <w:p w14:paraId="0E5A8E1D" w14:textId="73E2D984" w:rsidR="00F45C9F" w:rsidRDefault="00AD17A9">
            <w:pPr>
              <w:spacing w:before="522" w:line="246" w:lineRule="exact"/>
              <w:ind w:right="125"/>
              <w:jc w:val="right"/>
              <w:textAlignment w:val="baseline"/>
              <w:rPr>
                <w:rFonts w:ascii="Arial" w:eastAsia="Arial" w:hAnsi="Arial"/>
                <w:color w:val="000000"/>
              </w:rPr>
            </w:pPr>
            <w:r>
              <w:rPr>
                <w:rFonts w:ascii="Arial" w:eastAsia="Arial" w:hAnsi="Arial"/>
                <w:color w:val="000000"/>
              </w:rPr>
              <w:t>31.25</w:t>
            </w:r>
            <w:r w:rsidR="00502E23">
              <w:rPr>
                <w:rFonts w:ascii="Arial" w:eastAsia="Arial" w:hAnsi="Arial"/>
                <w:color w:val="000000"/>
              </w:rPr>
              <w:t>%</w:t>
            </w:r>
          </w:p>
        </w:tc>
      </w:tr>
    </w:tbl>
    <w:p w14:paraId="0C7721ED" w14:textId="77777777" w:rsidR="00F45C9F" w:rsidRDefault="00F45C9F">
      <w:pPr>
        <w:spacing w:after="256" w:line="20" w:lineRule="exact"/>
      </w:pPr>
    </w:p>
    <w:p w14:paraId="515D35D9" w14:textId="74807EB6" w:rsidR="00F45C9F" w:rsidRDefault="00502E23">
      <w:pPr>
        <w:spacing w:line="275" w:lineRule="exact"/>
        <w:jc w:val="both"/>
        <w:textAlignment w:val="baseline"/>
        <w:rPr>
          <w:rFonts w:ascii="Arial" w:eastAsia="Arial" w:hAnsi="Arial"/>
          <w:color w:val="000000"/>
          <w:sz w:val="24"/>
        </w:rPr>
      </w:pPr>
      <w:r>
        <w:rPr>
          <w:rFonts w:ascii="Arial" w:eastAsia="Arial" w:hAnsi="Arial"/>
          <w:color w:val="000000"/>
          <w:sz w:val="24"/>
        </w:rPr>
        <w:t xml:space="preserve">Given that </w:t>
      </w:r>
      <w:r w:rsidR="00AD17A9">
        <w:rPr>
          <w:rFonts w:ascii="Arial" w:eastAsia="Arial" w:hAnsi="Arial"/>
          <w:color w:val="000000"/>
          <w:sz w:val="24"/>
        </w:rPr>
        <w:t>19.46</w:t>
      </w:r>
      <w:r>
        <w:rPr>
          <w:rFonts w:ascii="Arial" w:eastAsia="Arial" w:hAnsi="Arial"/>
          <w:color w:val="000000"/>
          <w:sz w:val="24"/>
        </w:rPr>
        <w:t xml:space="preserve">% of FDOT’s FTA 5311 are available for DBEs and that </w:t>
      </w:r>
      <w:r w:rsidR="00AD17A9">
        <w:rPr>
          <w:rFonts w:ascii="Arial" w:eastAsia="Arial" w:hAnsi="Arial"/>
          <w:color w:val="000000"/>
          <w:sz w:val="24"/>
        </w:rPr>
        <w:t>31.25</w:t>
      </w:r>
      <w:r>
        <w:rPr>
          <w:rFonts w:ascii="Arial" w:eastAsia="Arial" w:hAnsi="Arial"/>
          <w:color w:val="000000"/>
          <w:sz w:val="24"/>
        </w:rPr>
        <w:t xml:space="preserve">% of the businesses are DBEs, FDOT would expect that </w:t>
      </w:r>
      <w:r w:rsidR="00AD17A9">
        <w:rPr>
          <w:rFonts w:ascii="Arial" w:eastAsia="Arial" w:hAnsi="Arial"/>
          <w:color w:val="000000"/>
          <w:sz w:val="24"/>
        </w:rPr>
        <w:t>6.08</w:t>
      </w:r>
      <w:r>
        <w:rPr>
          <w:rFonts w:ascii="Arial" w:eastAsia="Arial" w:hAnsi="Arial"/>
          <w:color w:val="000000"/>
          <w:sz w:val="24"/>
        </w:rPr>
        <w:t xml:space="preserve">% of the total dollars awarded would be awarded to DBEs on 5311 operating contracts. This is represented by the following calculation: </w:t>
      </w:r>
      <w:r w:rsidR="00AD17A9">
        <w:rPr>
          <w:rFonts w:ascii="Arial" w:eastAsia="Arial" w:hAnsi="Arial"/>
          <w:b/>
          <w:color w:val="000000"/>
          <w:sz w:val="24"/>
        </w:rPr>
        <w:t>31.25</w:t>
      </w:r>
      <w:r>
        <w:rPr>
          <w:rFonts w:ascii="Arial" w:eastAsia="Arial" w:hAnsi="Arial"/>
          <w:b/>
          <w:color w:val="000000"/>
          <w:sz w:val="24"/>
        </w:rPr>
        <w:t xml:space="preserve">% x </w:t>
      </w:r>
      <w:r w:rsidR="00AD17A9">
        <w:rPr>
          <w:rFonts w:ascii="Arial" w:eastAsia="Arial" w:hAnsi="Arial"/>
          <w:b/>
          <w:color w:val="000000"/>
          <w:sz w:val="24"/>
        </w:rPr>
        <w:t>19.46</w:t>
      </w:r>
      <w:r>
        <w:rPr>
          <w:rFonts w:ascii="Arial" w:eastAsia="Arial" w:hAnsi="Arial"/>
          <w:b/>
          <w:color w:val="000000"/>
          <w:sz w:val="24"/>
        </w:rPr>
        <w:t xml:space="preserve">% = </w:t>
      </w:r>
      <w:r w:rsidR="00AD17A9">
        <w:rPr>
          <w:rFonts w:ascii="Arial" w:eastAsia="Arial" w:hAnsi="Arial"/>
          <w:b/>
          <w:color w:val="000000"/>
          <w:sz w:val="24"/>
        </w:rPr>
        <w:t>6.08</w:t>
      </w:r>
      <w:r>
        <w:rPr>
          <w:rFonts w:ascii="Arial" w:eastAsia="Arial" w:hAnsi="Arial"/>
          <w:b/>
          <w:color w:val="000000"/>
          <w:sz w:val="24"/>
        </w:rPr>
        <w:t>%.</w:t>
      </w:r>
    </w:p>
    <w:p w14:paraId="7FE79ADF" w14:textId="77777777" w:rsidR="00F45C9F" w:rsidRDefault="00502E23">
      <w:pPr>
        <w:spacing w:before="274" w:line="277" w:lineRule="exact"/>
        <w:textAlignment w:val="baseline"/>
        <w:rPr>
          <w:rFonts w:ascii="Arial" w:eastAsia="Arial" w:hAnsi="Arial"/>
          <w:color w:val="000000"/>
          <w:sz w:val="24"/>
        </w:rPr>
      </w:pPr>
      <w:r>
        <w:rPr>
          <w:rFonts w:ascii="Arial" w:eastAsia="Arial" w:hAnsi="Arial"/>
          <w:color w:val="000000"/>
          <w:sz w:val="24"/>
        </w:rPr>
        <w:t>5310 OPERATING FUNDS:</w:t>
      </w:r>
    </w:p>
    <w:p w14:paraId="732D636E" w14:textId="23C29346" w:rsidR="00F45C9F" w:rsidRDefault="00502E23">
      <w:pPr>
        <w:spacing w:before="273" w:line="277" w:lineRule="exact"/>
        <w:jc w:val="both"/>
        <w:textAlignment w:val="baseline"/>
        <w:rPr>
          <w:rFonts w:ascii="Arial" w:eastAsia="Arial" w:hAnsi="Arial"/>
          <w:color w:val="000000"/>
          <w:sz w:val="24"/>
        </w:rPr>
      </w:pPr>
      <w:r>
        <w:rPr>
          <w:rFonts w:ascii="Arial" w:eastAsia="Arial" w:hAnsi="Arial"/>
          <w:color w:val="000000"/>
          <w:sz w:val="24"/>
        </w:rPr>
        <w:t xml:space="preserve">5310 operating funds account for </w:t>
      </w:r>
      <w:r w:rsidR="00AD17A9">
        <w:rPr>
          <w:rFonts w:ascii="Arial" w:eastAsia="Arial" w:hAnsi="Arial"/>
          <w:color w:val="000000"/>
          <w:sz w:val="24"/>
        </w:rPr>
        <w:t>33.59</w:t>
      </w:r>
      <w:r>
        <w:rPr>
          <w:rFonts w:ascii="Arial" w:eastAsia="Arial" w:hAnsi="Arial"/>
          <w:color w:val="000000"/>
          <w:sz w:val="24"/>
        </w:rPr>
        <w:t>% (Table 1) of the total dollars used to calculate the FTA DBE goal. NAICS code 48599 was identified to be the best fit for this type of work. The number of total businesses for this NAICS code was identified by using the 201</w:t>
      </w:r>
      <w:r w:rsidR="00AD17A9">
        <w:rPr>
          <w:rFonts w:ascii="Arial" w:eastAsia="Arial" w:hAnsi="Arial"/>
          <w:color w:val="000000"/>
          <w:sz w:val="24"/>
        </w:rPr>
        <w:t>7</w:t>
      </w:r>
      <w:r>
        <w:rPr>
          <w:rFonts w:ascii="Arial" w:eastAsia="Arial" w:hAnsi="Arial"/>
          <w:color w:val="000000"/>
          <w:sz w:val="24"/>
        </w:rPr>
        <w:t xml:space="preserve"> Statewide County Business Patterns data. The number of DBEs available statewide for this NAICS code was identified by using the Florida DBE Directory. Table 4 provides the percentage of dollars that DBEs would be expected to receive for these NAICS code:</w:t>
      </w:r>
    </w:p>
    <w:p w14:paraId="2F4C6E12" w14:textId="77777777" w:rsidR="00F45C9F" w:rsidRDefault="00502E23">
      <w:pPr>
        <w:spacing w:before="270" w:line="271" w:lineRule="exact"/>
        <w:jc w:val="center"/>
        <w:textAlignment w:val="baseline"/>
        <w:rPr>
          <w:rFonts w:ascii="Arial" w:eastAsia="Arial" w:hAnsi="Arial"/>
          <w:color w:val="000000"/>
          <w:sz w:val="24"/>
        </w:rPr>
      </w:pPr>
      <w:r>
        <w:rPr>
          <w:rFonts w:ascii="Arial" w:eastAsia="Arial" w:hAnsi="Arial"/>
          <w:color w:val="000000"/>
          <w:sz w:val="24"/>
        </w:rPr>
        <w:t>Table 4: Section 5310 Percent of Dollars by NAICS Code</w:t>
      </w:r>
    </w:p>
    <w:tbl>
      <w:tblPr>
        <w:tblW w:w="0" w:type="auto"/>
        <w:tblInd w:w="13" w:type="dxa"/>
        <w:tblLayout w:type="fixed"/>
        <w:tblCellMar>
          <w:left w:w="0" w:type="dxa"/>
          <w:right w:w="0" w:type="dxa"/>
        </w:tblCellMar>
        <w:tblLook w:val="04A0" w:firstRow="1" w:lastRow="0" w:firstColumn="1" w:lastColumn="0" w:noHBand="0" w:noVBand="1"/>
      </w:tblPr>
      <w:tblGrid>
        <w:gridCol w:w="3120"/>
        <w:gridCol w:w="950"/>
        <w:gridCol w:w="2021"/>
        <w:gridCol w:w="1685"/>
        <w:gridCol w:w="802"/>
        <w:gridCol w:w="1507"/>
      </w:tblGrid>
      <w:tr w:rsidR="00F45C9F" w14:paraId="5D85BA28" w14:textId="77777777">
        <w:trPr>
          <w:trHeight w:hRule="exact" w:val="312"/>
        </w:trPr>
        <w:tc>
          <w:tcPr>
            <w:tcW w:w="10085" w:type="dxa"/>
            <w:gridSpan w:val="6"/>
            <w:tcBorders>
              <w:top w:val="single" w:sz="5" w:space="0" w:color="000000"/>
              <w:left w:val="single" w:sz="5" w:space="0" w:color="000000"/>
              <w:bottom w:val="single" w:sz="5" w:space="0" w:color="000000"/>
              <w:right w:val="single" w:sz="5" w:space="0" w:color="000000"/>
            </w:tcBorders>
            <w:vAlign w:val="center"/>
          </w:tcPr>
          <w:p w14:paraId="22276CCD" w14:textId="77777777" w:rsidR="00F45C9F" w:rsidRDefault="00502E23">
            <w:pPr>
              <w:spacing w:before="62" w:line="249" w:lineRule="exact"/>
              <w:jc w:val="center"/>
              <w:textAlignment w:val="baseline"/>
              <w:rPr>
                <w:rFonts w:ascii="Arial" w:eastAsia="Arial" w:hAnsi="Arial"/>
                <w:b/>
                <w:color w:val="000000"/>
              </w:rPr>
            </w:pPr>
            <w:r>
              <w:rPr>
                <w:rFonts w:ascii="Arial" w:eastAsia="Arial" w:hAnsi="Arial"/>
                <w:b/>
                <w:color w:val="000000"/>
              </w:rPr>
              <w:t>Section 5310</w:t>
            </w:r>
          </w:p>
        </w:tc>
      </w:tr>
      <w:tr w:rsidR="00F45C9F" w14:paraId="691C15A7" w14:textId="77777777">
        <w:trPr>
          <w:trHeight w:hRule="exact" w:val="768"/>
        </w:trPr>
        <w:tc>
          <w:tcPr>
            <w:tcW w:w="3120" w:type="dxa"/>
            <w:tcBorders>
              <w:top w:val="single" w:sz="5" w:space="0" w:color="000000"/>
              <w:left w:val="single" w:sz="5" w:space="0" w:color="000000"/>
              <w:bottom w:val="single" w:sz="5" w:space="0" w:color="000000"/>
              <w:right w:val="single" w:sz="5" w:space="0" w:color="000000"/>
            </w:tcBorders>
            <w:vAlign w:val="bottom"/>
          </w:tcPr>
          <w:p w14:paraId="6E436785" w14:textId="77777777" w:rsidR="00F45C9F" w:rsidRDefault="00502E23">
            <w:pPr>
              <w:spacing w:before="518" w:line="244" w:lineRule="exact"/>
              <w:jc w:val="center"/>
              <w:textAlignment w:val="baseline"/>
              <w:rPr>
                <w:rFonts w:ascii="Arial" w:eastAsia="Arial" w:hAnsi="Arial"/>
                <w:b/>
                <w:color w:val="000000"/>
              </w:rPr>
            </w:pPr>
            <w:r>
              <w:rPr>
                <w:rFonts w:ascii="Arial" w:eastAsia="Arial" w:hAnsi="Arial"/>
                <w:b/>
                <w:color w:val="000000"/>
              </w:rPr>
              <w:t>Work Type</w:t>
            </w:r>
          </w:p>
        </w:tc>
        <w:tc>
          <w:tcPr>
            <w:tcW w:w="950" w:type="dxa"/>
            <w:tcBorders>
              <w:top w:val="single" w:sz="5" w:space="0" w:color="000000"/>
              <w:left w:val="single" w:sz="5" w:space="0" w:color="000000"/>
              <w:bottom w:val="single" w:sz="5" w:space="0" w:color="000000"/>
              <w:right w:val="single" w:sz="5" w:space="0" w:color="000000"/>
            </w:tcBorders>
            <w:vAlign w:val="bottom"/>
          </w:tcPr>
          <w:p w14:paraId="2AE75519" w14:textId="77777777" w:rsidR="00F45C9F" w:rsidRDefault="00502E23">
            <w:pPr>
              <w:spacing w:before="518" w:line="244" w:lineRule="exact"/>
              <w:jc w:val="center"/>
              <w:textAlignment w:val="baseline"/>
              <w:rPr>
                <w:rFonts w:ascii="Arial" w:eastAsia="Arial" w:hAnsi="Arial"/>
                <w:b/>
                <w:color w:val="000000"/>
              </w:rPr>
            </w:pPr>
            <w:r>
              <w:rPr>
                <w:rFonts w:ascii="Arial" w:eastAsia="Arial" w:hAnsi="Arial"/>
                <w:b/>
                <w:color w:val="000000"/>
              </w:rPr>
              <w:t>NAICS</w:t>
            </w:r>
          </w:p>
        </w:tc>
        <w:tc>
          <w:tcPr>
            <w:tcW w:w="2021" w:type="dxa"/>
            <w:tcBorders>
              <w:top w:val="single" w:sz="5" w:space="0" w:color="000000"/>
              <w:left w:val="single" w:sz="5" w:space="0" w:color="000000"/>
              <w:bottom w:val="single" w:sz="5" w:space="0" w:color="000000"/>
              <w:right w:val="single" w:sz="5" w:space="0" w:color="000000"/>
            </w:tcBorders>
          </w:tcPr>
          <w:p w14:paraId="07B87C9F" w14:textId="77777777" w:rsidR="00F45C9F" w:rsidRDefault="00502E23">
            <w:pPr>
              <w:spacing w:line="250" w:lineRule="exact"/>
              <w:jc w:val="center"/>
              <w:textAlignment w:val="baseline"/>
              <w:rPr>
                <w:rFonts w:ascii="Arial" w:eastAsia="Arial" w:hAnsi="Arial"/>
                <w:b/>
                <w:color w:val="000000"/>
              </w:rPr>
            </w:pPr>
            <w:r>
              <w:rPr>
                <w:rFonts w:ascii="Arial" w:eastAsia="Arial" w:hAnsi="Arial"/>
                <w:b/>
                <w:color w:val="000000"/>
              </w:rPr>
              <w:t xml:space="preserve">Amount of DOT </w:t>
            </w:r>
            <w:r>
              <w:rPr>
                <w:rFonts w:ascii="Arial" w:eastAsia="Arial" w:hAnsi="Arial"/>
                <w:b/>
                <w:color w:val="000000"/>
              </w:rPr>
              <w:br/>
              <w:t xml:space="preserve">Funds Available </w:t>
            </w:r>
            <w:r>
              <w:rPr>
                <w:rFonts w:ascii="Arial" w:eastAsia="Arial" w:hAnsi="Arial"/>
                <w:b/>
                <w:color w:val="000000"/>
              </w:rPr>
              <w:br/>
              <w:t>for contracting</w:t>
            </w:r>
          </w:p>
        </w:tc>
        <w:tc>
          <w:tcPr>
            <w:tcW w:w="1685" w:type="dxa"/>
            <w:tcBorders>
              <w:top w:val="single" w:sz="5" w:space="0" w:color="000000"/>
              <w:left w:val="single" w:sz="5" w:space="0" w:color="000000"/>
              <w:bottom w:val="single" w:sz="5" w:space="0" w:color="000000"/>
              <w:right w:val="single" w:sz="5" w:space="0" w:color="000000"/>
            </w:tcBorders>
            <w:vAlign w:val="bottom"/>
          </w:tcPr>
          <w:p w14:paraId="4B919FC0" w14:textId="77777777" w:rsidR="00F45C9F" w:rsidRDefault="00502E23">
            <w:pPr>
              <w:spacing w:before="518" w:line="244" w:lineRule="exact"/>
              <w:jc w:val="center"/>
              <w:textAlignment w:val="baseline"/>
              <w:rPr>
                <w:rFonts w:ascii="Arial" w:eastAsia="Arial" w:hAnsi="Arial"/>
                <w:b/>
                <w:color w:val="000000"/>
              </w:rPr>
            </w:pPr>
            <w:r>
              <w:rPr>
                <w:rFonts w:ascii="Arial" w:eastAsia="Arial" w:hAnsi="Arial"/>
                <w:b/>
                <w:color w:val="000000"/>
              </w:rPr>
              <w:t>Total Vendors</w:t>
            </w:r>
          </w:p>
        </w:tc>
        <w:tc>
          <w:tcPr>
            <w:tcW w:w="802" w:type="dxa"/>
            <w:tcBorders>
              <w:top w:val="single" w:sz="5" w:space="0" w:color="000000"/>
              <w:left w:val="single" w:sz="5" w:space="0" w:color="000000"/>
              <w:bottom w:val="single" w:sz="5" w:space="0" w:color="000000"/>
              <w:right w:val="single" w:sz="5" w:space="0" w:color="000000"/>
            </w:tcBorders>
            <w:vAlign w:val="bottom"/>
          </w:tcPr>
          <w:p w14:paraId="2CAA673C" w14:textId="77777777" w:rsidR="00F45C9F" w:rsidRDefault="00502E23">
            <w:pPr>
              <w:spacing w:before="518" w:line="244" w:lineRule="exact"/>
              <w:jc w:val="center"/>
              <w:textAlignment w:val="baseline"/>
              <w:rPr>
                <w:rFonts w:ascii="Arial" w:eastAsia="Arial" w:hAnsi="Arial"/>
                <w:b/>
                <w:color w:val="000000"/>
              </w:rPr>
            </w:pPr>
            <w:r>
              <w:rPr>
                <w:rFonts w:ascii="Arial" w:eastAsia="Arial" w:hAnsi="Arial"/>
                <w:b/>
                <w:color w:val="000000"/>
              </w:rPr>
              <w:t>DBEs</w:t>
            </w:r>
          </w:p>
        </w:tc>
        <w:tc>
          <w:tcPr>
            <w:tcW w:w="1507" w:type="dxa"/>
            <w:tcBorders>
              <w:top w:val="single" w:sz="5" w:space="0" w:color="000000"/>
              <w:left w:val="single" w:sz="5" w:space="0" w:color="000000"/>
              <w:bottom w:val="single" w:sz="5" w:space="0" w:color="000000"/>
              <w:right w:val="single" w:sz="5" w:space="0" w:color="000000"/>
            </w:tcBorders>
            <w:vAlign w:val="bottom"/>
          </w:tcPr>
          <w:p w14:paraId="20474483" w14:textId="77777777" w:rsidR="00F45C9F" w:rsidRDefault="00502E23">
            <w:pPr>
              <w:spacing w:before="518" w:line="244" w:lineRule="exact"/>
              <w:ind w:right="125"/>
              <w:jc w:val="right"/>
              <w:textAlignment w:val="baseline"/>
              <w:rPr>
                <w:rFonts w:ascii="Arial" w:eastAsia="Arial" w:hAnsi="Arial"/>
                <w:b/>
                <w:color w:val="000000"/>
              </w:rPr>
            </w:pPr>
            <w:r>
              <w:rPr>
                <w:rFonts w:ascii="Arial" w:eastAsia="Arial" w:hAnsi="Arial"/>
                <w:b/>
                <w:color w:val="000000"/>
              </w:rPr>
              <w:t>% of DBES</w:t>
            </w:r>
          </w:p>
        </w:tc>
      </w:tr>
      <w:tr w:rsidR="00F45C9F" w14:paraId="2A737D41" w14:textId="77777777">
        <w:trPr>
          <w:trHeight w:hRule="exact" w:val="321"/>
        </w:trPr>
        <w:tc>
          <w:tcPr>
            <w:tcW w:w="3120" w:type="dxa"/>
            <w:tcBorders>
              <w:top w:val="single" w:sz="5" w:space="0" w:color="000000"/>
              <w:left w:val="single" w:sz="5" w:space="0" w:color="000000"/>
              <w:bottom w:val="single" w:sz="5" w:space="0" w:color="000000"/>
              <w:right w:val="single" w:sz="5" w:space="0" w:color="000000"/>
            </w:tcBorders>
            <w:vAlign w:val="center"/>
          </w:tcPr>
          <w:p w14:paraId="75778D1E" w14:textId="77777777" w:rsidR="00F45C9F" w:rsidRDefault="00502E23">
            <w:pPr>
              <w:spacing w:before="61" w:line="250" w:lineRule="exact"/>
              <w:jc w:val="center"/>
              <w:textAlignment w:val="baseline"/>
              <w:rPr>
                <w:rFonts w:ascii="Arial" w:eastAsia="Arial" w:hAnsi="Arial"/>
                <w:color w:val="000000"/>
              </w:rPr>
            </w:pPr>
            <w:r>
              <w:rPr>
                <w:rFonts w:ascii="Arial" w:eastAsia="Arial" w:hAnsi="Arial"/>
                <w:color w:val="000000"/>
              </w:rPr>
              <w:t>Special Needs Transportation</w:t>
            </w:r>
          </w:p>
        </w:tc>
        <w:tc>
          <w:tcPr>
            <w:tcW w:w="950" w:type="dxa"/>
            <w:tcBorders>
              <w:top w:val="single" w:sz="5" w:space="0" w:color="000000"/>
              <w:left w:val="single" w:sz="5" w:space="0" w:color="000000"/>
              <w:bottom w:val="single" w:sz="5" w:space="0" w:color="000000"/>
              <w:right w:val="single" w:sz="5" w:space="0" w:color="000000"/>
            </w:tcBorders>
            <w:vAlign w:val="center"/>
          </w:tcPr>
          <w:p w14:paraId="066DB5DB" w14:textId="77777777" w:rsidR="00F45C9F" w:rsidRDefault="00502E23">
            <w:pPr>
              <w:spacing w:before="61" w:line="250" w:lineRule="exact"/>
              <w:jc w:val="center"/>
              <w:textAlignment w:val="baseline"/>
              <w:rPr>
                <w:rFonts w:ascii="Arial" w:eastAsia="Arial" w:hAnsi="Arial"/>
                <w:color w:val="000000"/>
              </w:rPr>
            </w:pPr>
            <w:r>
              <w:rPr>
                <w:rFonts w:ascii="Arial" w:eastAsia="Arial" w:hAnsi="Arial"/>
                <w:color w:val="000000"/>
              </w:rPr>
              <w:t>485991</w:t>
            </w:r>
          </w:p>
        </w:tc>
        <w:tc>
          <w:tcPr>
            <w:tcW w:w="2021" w:type="dxa"/>
            <w:tcBorders>
              <w:top w:val="single" w:sz="5" w:space="0" w:color="000000"/>
              <w:left w:val="single" w:sz="5" w:space="0" w:color="000000"/>
              <w:bottom w:val="single" w:sz="5" w:space="0" w:color="000000"/>
              <w:right w:val="single" w:sz="5" w:space="0" w:color="000000"/>
            </w:tcBorders>
            <w:vAlign w:val="center"/>
          </w:tcPr>
          <w:p w14:paraId="39E65313" w14:textId="6577585B" w:rsidR="00F45C9F" w:rsidRDefault="00502E23">
            <w:pPr>
              <w:spacing w:before="61" w:line="250" w:lineRule="exact"/>
              <w:jc w:val="center"/>
              <w:textAlignment w:val="baseline"/>
              <w:rPr>
                <w:rFonts w:ascii="Arial" w:eastAsia="Arial" w:hAnsi="Arial"/>
                <w:color w:val="000000"/>
              </w:rPr>
            </w:pPr>
            <w:r>
              <w:rPr>
                <w:rFonts w:ascii="Arial" w:eastAsia="Arial" w:hAnsi="Arial"/>
                <w:color w:val="000000"/>
              </w:rPr>
              <w:t>$</w:t>
            </w:r>
            <w:r w:rsidR="00AD17A9">
              <w:rPr>
                <w:rFonts w:ascii="Arial" w:eastAsia="Arial" w:hAnsi="Arial"/>
                <w:color w:val="000000"/>
              </w:rPr>
              <w:t>13,391,863</w:t>
            </w:r>
          </w:p>
        </w:tc>
        <w:tc>
          <w:tcPr>
            <w:tcW w:w="1685" w:type="dxa"/>
            <w:tcBorders>
              <w:top w:val="single" w:sz="5" w:space="0" w:color="000000"/>
              <w:left w:val="single" w:sz="5" w:space="0" w:color="000000"/>
              <w:bottom w:val="single" w:sz="5" w:space="0" w:color="000000"/>
              <w:right w:val="single" w:sz="5" w:space="0" w:color="000000"/>
            </w:tcBorders>
            <w:vAlign w:val="center"/>
          </w:tcPr>
          <w:p w14:paraId="540DC270" w14:textId="3A379FDE" w:rsidR="00F45C9F" w:rsidRDefault="00AD17A9">
            <w:pPr>
              <w:spacing w:before="61" w:line="250" w:lineRule="exact"/>
              <w:jc w:val="center"/>
              <w:textAlignment w:val="baseline"/>
              <w:rPr>
                <w:rFonts w:ascii="Arial" w:eastAsia="Arial" w:hAnsi="Arial"/>
                <w:color w:val="000000"/>
              </w:rPr>
            </w:pPr>
            <w:r>
              <w:rPr>
                <w:rFonts w:ascii="Arial" w:eastAsia="Arial" w:hAnsi="Arial"/>
                <w:color w:val="000000"/>
              </w:rPr>
              <w:t>90</w:t>
            </w:r>
          </w:p>
        </w:tc>
        <w:tc>
          <w:tcPr>
            <w:tcW w:w="802" w:type="dxa"/>
            <w:tcBorders>
              <w:top w:val="single" w:sz="5" w:space="0" w:color="000000"/>
              <w:left w:val="single" w:sz="5" w:space="0" w:color="000000"/>
              <w:bottom w:val="single" w:sz="5" w:space="0" w:color="000000"/>
              <w:right w:val="single" w:sz="5" w:space="0" w:color="000000"/>
            </w:tcBorders>
            <w:vAlign w:val="center"/>
          </w:tcPr>
          <w:p w14:paraId="2EE927EB" w14:textId="39A911EC" w:rsidR="00F45C9F" w:rsidRDefault="00AD17A9">
            <w:pPr>
              <w:spacing w:before="61" w:line="250" w:lineRule="exact"/>
              <w:jc w:val="center"/>
              <w:textAlignment w:val="baseline"/>
              <w:rPr>
                <w:rFonts w:ascii="Arial" w:eastAsia="Arial" w:hAnsi="Arial"/>
                <w:color w:val="000000"/>
              </w:rPr>
            </w:pPr>
            <w:r>
              <w:rPr>
                <w:rFonts w:ascii="Arial" w:eastAsia="Arial" w:hAnsi="Arial"/>
                <w:color w:val="000000"/>
              </w:rPr>
              <w:t>16</w:t>
            </w:r>
          </w:p>
        </w:tc>
        <w:tc>
          <w:tcPr>
            <w:tcW w:w="1507" w:type="dxa"/>
            <w:tcBorders>
              <w:top w:val="single" w:sz="5" w:space="0" w:color="000000"/>
              <w:left w:val="single" w:sz="5" w:space="0" w:color="000000"/>
              <w:bottom w:val="single" w:sz="5" w:space="0" w:color="000000"/>
              <w:right w:val="single" w:sz="5" w:space="0" w:color="000000"/>
            </w:tcBorders>
            <w:vAlign w:val="center"/>
          </w:tcPr>
          <w:p w14:paraId="41AD250F" w14:textId="3AE1C610" w:rsidR="00F45C9F" w:rsidRDefault="00AD17A9">
            <w:pPr>
              <w:spacing w:before="61" w:line="250" w:lineRule="exact"/>
              <w:ind w:right="125"/>
              <w:jc w:val="right"/>
              <w:textAlignment w:val="baseline"/>
              <w:rPr>
                <w:rFonts w:ascii="Arial" w:eastAsia="Arial" w:hAnsi="Arial"/>
                <w:color w:val="000000"/>
              </w:rPr>
            </w:pPr>
            <w:r>
              <w:rPr>
                <w:rFonts w:ascii="Arial" w:eastAsia="Arial" w:hAnsi="Arial"/>
                <w:color w:val="000000"/>
              </w:rPr>
              <w:t>17.78</w:t>
            </w:r>
            <w:r w:rsidR="00502E23">
              <w:rPr>
                <w:rFonts w:ascii="Arial" w:eastAsia="Arial" w:hAnsi="Arial"/>
                <w:color w:val="000000"/>
              </w:rPr>
              <w:t>%</w:t>
            </w:r>
          </w:p>
        </w:tc>
      </w:tr>
    </w:tbl>
    <w:p w14:paraId="2B98E10F" w14:textId="77777777" w:rsidR="00F45C9F" w:rsidRDefault="00F45C9F">
      <w:pPr>
        <w:spacing w:after="256" w:line="20" w:lineRule="exact"/>
      </w:pPr>
    </w:p>
    <w:p w14:paraId="22FECA01" w14:textId="532BB75B" w:rsidR="00F45C9F" w:rsidRDefault="00502E23">
      <w:pPr>
        <w:spacing w:before="4" w:line="276" w:lineRule="exact"/>
        <w:jc w:val="both"/>
        <w:textAlignment w:val="baseline"/>
        <w:rPr>
          <w:rFonts w:ascii="Arial" w:eastAsia="Arial" w:hAnsi="Arial"/>
          <w:color w:val="000000"/>
          <w:sz w:val="24"/>
        </w:rPr>
      </w:pPr>
      <w:r>
        <w:rPr>
          <w:rFonts w:ascii="Arial" w:eastAsia="Arial" w:hAnsi="Arial"/>
          <w:color w:val="000000"/>
          <w:sz w:val="24"/>
        </w:rPr>
        <w:t xml:space="preserve">Given that </w:t>
      </w:r>
      <w:r w:rsidR="00AD17A9">
        <w:rPr>
          <w:rFonts w:ascii="Arial" w:eastAsia="Arial" w:hAnsi="Arial"/>
          <w:color w:val="000000"/>
          <w:sz w:val="24"/>
        </w:rPr>
        <w:t>5.97</w:t>
      </w:r>
      <w:r>
        <w:rPr>
          <w:rFonts w:ascii="Arial" w:eastAsia="Arial" w:hAnsi="Arial"/>
          <w:color w:val="000000"/>
          <w:sz w:val="24"/>
        </w:rPr>
        <w:t xml:space="preserve">% of FDOT’s FTA 5310 are available for DBEs and that </w:t>
      </w:r>
      <w:r w:rsidR="00AD17A9">
        <w:rPr>
          <w:rFonts w:ascii="Arial" w:eastAsia="Arial" w:hAnsi="Arial"/>
          <w:color w:val="000000"/>
          <w:sz w:val="24"/>
        </w:rPr>
        <w:t>17.78</w:t>
      </w:r>
      <w:r>
        <w:rPr>
          <w:rFonts w:ascii="Arial" w:eastAsia="Arial" w:hAnsi="Arial"/>
          <w:color w:val="000000"/>
          <w:sz w:val="24"/>
        </w:rPr>
        <w:t xml:space="preserve">% of the businesses are DBEs, FDOT would expect that </w:t>
      </w:r>
      <w:r w:rsidR="001B6F63">
        <w:rPr>
          <w:rFonts w:ascii="Arial" w:eastAsia="Arial" w:hAnsi="Arial"/>
          <w:color w:val="000000"/>
          <w:sz w:val="24"/>
        </w:rPr>
        <w:t>5.97</w:t>
      </w:r>
      <w:r>
        <w:rPr>
          <w:rFonts w:ascii="Arial" w:eastAsia="Arial" w:hAnsi="Arial"/>
          <w:color w:val="000000"/>
          <w:sz w:val="24"/>
        </w:rPr>
        <w:t xml:space="preserve">% of the total dollars awarded would be awarded to DBEs on 5310 operating contracts. This is represented by the following calculation: </w:t>
      </w:r>
      <w:r w:rsidR="00AD17A9">
        <w:rPr>
          <w:rFonts w:ascii="Arial" w:eastAsia="Arial" w:hAnsi="Arial"/>
          <w:b/>
          <w:color w:val="000000"/>
          <w:sz w:val="24"/>
        </w:rPr>
        <w:t>17.78</w:t>
      </w:r>
      <w:r>
        <w:rPr>
          <w:rFonts w:ascii="Arial" w:eastAsia="Arial" w:hAnsi="Arial"/>
          <w:b/>
          <w:color w:val="000000"/>
          <w:sz w:val="24"/>
        </w:rPr>
        <w:t xml:space="preserve">% x </w:t>
      </w:r>
      <w:r w:rsidR="00AD17A9">
        <w:rPr>
          <w:rFonts w:ascii="Arial" w:eastAsia="Arial" w:hAnsi="Arial"/>
          <w:b/>
          <w:color w:val="000000"/>
          <w:sz w:val="24"/>
        </w:rPr>
        <w:t>33.59</w:t>
      </w:r>
      <w:r>
        <w:rPr>
          <w:rFonts w:ascii="Arial" w:eastAsia="Arial" w:hAnsi="Arial"/>
          <w:b/>
          <w:color w:val="000000"/>
          <w:sz w:val="24"/>
        </w:rPr>
        <w:t xml:space="preserve">% = </w:t>
      </w:r>
      <w:r w:rsidR="00AD17A9">
        <w:rPr>
          <w:rFonts w:ascii="Arial" w:eastAsia="Arial" w:hAnsi="Arial"/>
          <w:b/>
          <w:color w:val="000000"/>
          <w:sz w:val="24"/>
        </w:rPr>
        <w:t>5.97</w:t>
      </w:r>
      <w:r>
        <w:rPr>
          <w:rFonts w:ascii="Arial" w:eastAsia="Arial" w:hAnsi="Arial"/>
          <w:b/>
          <w:color w:val="000000"/>
          <w:sz w:val="24"/>
        </w:rPr>
        <w:t>%.</w:t>
      </w:r>
    </w:p>
    <w:p w14:paraId="223998E9" w14:textId="28B52F5F" w:rsidR="00F45C9F" w:rsidRDefault="0076044B" w:rsidP="0076044B">
      <w:pPr>
        <w:spacing w:before="210" w:line="271" w:lineRule="exact"/>
        <w:textAlignment w:val="baseline"/>
        <w:rPr>
          <w:rFonts w:eastAsia="Times New Roman"/>
          <w:color w:val="000000"/>
          <w:sz w:val="24"/>
        </w:rPr>
      </w:pPr>
      <w:r>
        <w:rPr>
          <w:rFonts w:ascii="Arial" w:eastAsia="Arial" w:hAnsi="Arial"/>
          <w:color w:val="000000"/>
          <w:sz w:val="24"/>
        </w:rPr>
        <w:t xml:space="preserve">Combining the SunRail project, the 5311 and 5310 operating funds, FDOT would expect that 30.14% of the FTA dollars awarded that have contracting opportunities would be awarded to DBEs. This is represented by the following calculation: </w:t>
      </w:r>
      <w:r>
        <w:rPr>
          <w:rFonts w:ascii="Arial" w:eastAsia="Arial" w:hAnsi="Arial"/>
          <w:b/>
          <w:color w:val="000000"/>
          <w:sz w:val="24"/>
        </w:rPr>
        <w:t>18.09% + 6.08% + 5.97% = 30.14%.</w:t>
      </w:r>
    </w:p>
    <w:p w14:paraId="16ABD9CB" w14:textId="77777777" w:rsidR="00F45C9F" w:rsidRDefault="00F45C9F">
      <w:pPr>
        <w:sectPr w:rsidR="00F45C9F">
          <w:pgSz w:w="12240" w:h="15840"/>
          <w:pgMar w:top="1440" w:right="1053" w:bottom="584" w:left="1067" w:header="720" w:footer="720" w:gutter="0"/>
          <w:cols w:space="720"/>
        </w:sectPr>
      </w:pPr>
    </w:p>
    <w:p w14:paraId="59CF0E98" w14:textId="77777777" w:rsidR="00F45C9F" w:rsidRDefault="00502E23">
      <w:pPr>
        <w:spacing w:before="6" w:line="273" w:lineRule="exact"/>
        <w:textAlignment w:val="baseline"/>
        <w:rPr>
          <w:rFonts w:ascii="Arial" w:eastAsia="Arial" w:hAnsi="Arial"/>
          <w:b/>
          <w:color w:val="000000"/>
          <w:spacing w:val="-1"/>
          <w:sz w:val="24"/>
        </w:rPr>
      </w:pPr>
      <w:r>
        <w:rPr>
          <w:rFonts w:ascii="Arial" w:eastAsia="Arial" w:hAnsi="Arial"/>
          <w:b/>
          <w:color w:val="000000"/>
          <w:spacing w:val="-1"/>
          <w:sz w:val="24"/>
        </w:rPr>
        <w:lastRenderedPageBreak/>
        <w:t>Step One Result:</w:t>
      </w:r>
    </w:p>
    <w:p w14:paraId="776FD2DA" w14:textId="5D84AC35" w:rsidR="00F45C9F" w:rsidRDefault="00502E23">
      <w:pPr>
        <w:tabs>
          <w:tab w:val="decimal" w:pos="4536"/>
        </w:tabs>
        <w:spacing w:before="279" w:line="273" w:lineRule="exact"/>
        <w:ind w:left="720"/>
        <w:textAlignment w:val="baseline"/>
        <w:rPr>
          <w:rFonts w:ascii="Arial" w:eastAsia="Arial" w:hAnsi="Arial"/>
          <w:b/>
          <w:color w:val="000000"/>
          <w:sz w:val="24"/>
        </w:rPr>
      </w:pPr>
      <w:r>
        <w:rPr>
          <w:rFonts w:ascii="Arial" w:eastAsia="Arial" w:hAnsi="Arial"/>
          <w:b/>
          <w:color w:val="000000"/>
          <w:sz w:val="24"/>
        </w:rPr>
        <w:t>SunRail Project</w:t>
      </w:r>
      <w:r>
        <w:rPr>
          <w:rFonts w:ascii="Arial" w:eastAsia="Arial" w:hAnsi="Arial"/>
          <w:b/>
          <w:color w:val="000000"/>
          <w:sz w:val="24"/>
        </w:rPr>
        <w:tab/>
      </w:r>
      <w:r w:rsidR="0076044B">
        <w:rPr>
          <w:rFonts w:ascii="Arial" w:eastAsia="Arial" w:hAnsi="Arial"/>
          <w:b/>
          <w:color w:val="000000"/>
          <w:sz w:val="24"/>
        </w:rPr>
        <w:t>18.0</w:t>
      </w:r>
      <w:r w:rsidR="00864E14">
        <w:rPr>
          <w:rFonts w:ascii="Arial" w:eastAsia="Arial" w:hAnsi="Arial"/>
          <w:b/>
          <w:color w:val="000000"/>
          <w:sz w:val="24"/>
        </w:rPr>
        <w:t>2</w:t>
      </w:r>
      <w:r>
        <w:rPr>
          <w:rFonts w:ascii="Arial" w:eastAsia="Arial" w:hAnsi="Arial"/>
          <w:b/>
          <w:color w:val="000000"/>
          <w:sz w:val="24"/>
        </w:rPr>
        <w:t>%</w:t>
      </w:r>
    </w:p>
    <w:p w14:paraId="17F8FC25" w14:textId="305ECB82" w:rsidR="00F45C9F" w:rsidRDefault="00502E23">
      <w:pPr>
        <w:tabs>
          <w:tab w:val="decimal" w:pos="4536"/>
        </w:tabs>
        <w:spacing w:before="5" w:line="273" w:lineRule="exact"/>
        <w:ind w:left="720"/>
        <w:textAlignment w:val="baseline"/>
        <w:rPr>
          <w:rFonts w:ascii="Arial" w:eastAsia="Arial" w:hAnsi="Arial"/>
          <w:b/>
          <w:color w:val="000000"/>
          <w:sz w:val="24"/>
        </w:rPr>
      </w:pPr>
      <w:r>
        <w:rPr>
          <w:rFonts w:ascii="Arial" w:eastAsia="Arial" w:hAnsi="Arial"/>
          <w:b/>
          <w:color w:val="000000"/>
          <w:sz w:val="24"/>
        </w:rPr>
        <w:t>5311 Operating Funds</w:t>
      </w:r>
      <w:r>
        <w:rPr>
          <w:rFonts w:ascii="Arial" w:eastAsia="Arial" w:hAnsi="Arial"/>
          <w:b/>
          <w:color w:val="000000"/>
          <w:sz w:val="24"/>
        </w:rPr>
        <w:tab/>
      </w:r>
      <w:r w:rsidR="0076044B">
        <w:rPr>
          <w:rFonts w:ascii="Arial" w:eastAsia="Arial" w:hAnsi="Arial"/>
          <w:b/>
          <w:color w:val="000000"/>
          <w:sz w:val="24"/>
        </w:rPr>
        <w:t>6.08</w:t>
      </w:r>
      <w:r>
        <w:rPr>
          <w:rFonts w:ascii="Arial" w:eastAsia="Arial" w:hAnsi="Arial"/>
          <w:b/>
          <w:color w:val="000000"/>
          <w:sz w:val="24"/>
        </w:rPr>
        <w:t>%</w:t>
      </w:r>
    </w:p>
    <w:p w14:paraId="45EDD029" w14:textId="087DB870" w:rsidR="00F45C9F" w:rsidRDefault="00502E23">
      <w:pPr>
        <w:tabs>
          <w:tab w:val="decimal" w:pos="4536"/>
        </w:tabs>
        <w:spacing w:before="1" w:after="229" w:line="273" w:lineRule="exact"/>
        <w:ind w:left="720"/>
        <w:textAlignment w:val="baseline"/>
        <w:rPr>
          <w:rFonts w:ascii="Arial" w:eastAsia="Arial" w:hAnsi="Arial"/>
          <w:b/>
          <w:color w:val="000000"/>
          <w:sz w:val="24"/>
        </w:rPr>
      </w:pPr>
      <w:r>
        <w:rPr>
          <w:rFonts w:ascii="Arial" w:eastAsia="Arial" w:hAnsi="Arial"/>
          <w:b/>
          <w:color w:val="000000"/>
          <w:sz w:val="24"/>
        </w:rPr>
        <w:t>5310 Operating Funds</w:t>
      </w:r>
      <w:r>
        <w:rPr>
          <w:rFonts w:ascii="Arial" w:eastAsia="Arial" w:hAnsi="Arial"/>
          <w:b/>
          <w:color w:val="000000"/>
          <w:sz w:val="24"/>
        </w:rPr>
        <w:tab/>
      </w:r>
      <w:r w:rsidR="0076044B">
        <w:rPr>
          <w:rFonts w:ascii="Arial" w:eastAsia="Arial" w:hAnsi="Arial"/>
          <w:b/>
          <w:color w:val="000000"/>
          <w:sz w:val="24"/>
        </w:rPr>
        <w:t>5.97</w:t>
      </w:r>
      <w:r>
        <w:rPr>
          <w:rFonts w:ascii="Arial" w:eastAsia="Arial" w:hAnsi="Arial"/>
          <w:b/>
          <w:color w:val="000000"/>
          <w:sz w:val="24"/>
        </w:rPr>
        <w:t>%</w:t>
      </w:r>
    </w:p>
    <w:p w14:paraId="4F57A1FD" w14:textId="50886C9E" w:rsidR="00F45C9F" w:rsidRDefault="00864E14">
      <w:pPr>
        <w:tabs>
          <w:tab w:val="left" w:pos="4392"/>
        </w:tabs>
        <w:spacing w:before="38" w:line="273" w:lineRule="exact"/>
        <w:ind w:left="720"/>
        <w:textAlignment w:val="baseline"/>
        <w:rPr>
          <w:rFonts w:ascii="Arial" w:eastAsia="Arial" w:hAnsi="Arial"/>
          <w:b/>
          <w:color w:val="000000"/>
          <w:sz w:val="24"/>
        </w:rPr>
      </w:pPr>
      <w:r>
        <w:rPr>
          <w:noProof/>
        </w:rPr>
        <mc:AlternateContent>
          <mc:Choice Requires="wps">
            <w:drawing>
              <wp:anchor distT="0" distB="0" distL="114300" distR="114300" simplePos="0" relativeHeight="251657216" behindDoc="0" locked="0" layoutInCell="1" allowOverlap="1" wp14:anchorId="186B8A7B" wp14:editId="239970C8">
                <wp:simplePos x="0" y="0"/>
                <wp:positionH relativeFrom="page">
                  <wp:posOffset>669925</wp:posOffset>
                </wp:positionH>
                <wp:positionV relativeFrom="page">
                  <wp:posOffset>1953895</wp:posOffset>
                </wp:positionV>
                <wp:extent cx="510032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032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B2890"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75pt,153.85pt" to="454.35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" strokeweight="1.2pt">
                <w10:wrap anchorx="page" anchory="page"/>
              </v:line>
            </w:pict>
          </mc:Fallback>
        </mc:AlternateContent>
      </w:r>
      <w:r w:rsidR="00502E23">
        <w:rPr>
          <w:rFonts w:ascii="Arial" w:eastAsia="Arial" w:hAnsi="Arial"/>
          <w:b/>
          <w:color w:val="000000"/>
          <w:sz w:val="24"/>
        </w:rPr>
        <w:t>Baseline Figure</w:t>
      </w:r>
      <w:r w:rsidR="00502E23">
        <w:rPr>
          <w:rFonts w:ascii="Arial" w:eastAsia="Arial" w:hAnsi="Arial"/>
          <w:b/>
          <w:color w:val="000000"/>
          <w:sz w:val="24"/>
        </w:rPr>
        <w:tab/>
      </w:r>
      <w:r w:rsidR="0076044B">
        <w:rPr>
          <w:rFonts w:ascii="Arial" w:eastAsia="Arial" w:hAnsi="Arial"/>
          <w:b/>
          <w:color w:val="000000"/>
          <w:sz w:val="24"/>
        </w:rPr>
        <w:t>30.</w:t>
      </w:r>
      <w:r>
        <w:rPr>
          <w:rFonts w:ascii="Arial" w:eastAsia="Arial" w:hAnsi="Arial"/>
          <w:b/>
          <w:color w:val="000000"/>
          <w:sz w:val="24"/>
        </w:rPr>
        <w:t>07</w:t>
      </w:r>
      <w:r w:rsidR="00502E23">
        <w:rPr>
          <w:rFonts w:ascii="Arial" w:eastAsia="Arial" w:hAnsi="Arial"/>
          <w:b/>
          <w:color w:val="000000"/>
          <w:sz w:val="24"/>
        </w:rPr>
        <w:t>% relative DBE availability</w:t>
      </w:r>
    </w:p>
    <w:p w14:paraId="6FEE52BB" w14:textId="5516869B" w:rsidR="00F45C9F" w:rsidRDefault="00502E23">
      <w:pPr>
        <w:spacing w:before="277" w:line="276" w:lineRule="exact"/>
        <w:jc w:val="both"/>
        <w:textAlignment w:val="baseline"/>
        <w:rPr>
          <w:rFonts w:ascii="Arial" w:eastAsia="Arial" w:hAnsi="Arial"/>
          <w:color w:val="000000"/>
          <w:sz w:val="24"/>
        </w:rPr>
      </w:pPr>
      <w:r>
        <w:rPr>
          <w:rFonts w:ascii="Arial" w:eastAsia="Arial" w:hAnsi="Arial"/>
          <w:color w:val="000000"/>
          <w:sz w:val="24"/>
        </w:rPr>
        <w:t xml:space="preserve">The results of step one </w:t>
      </w:r>
      <w:r w:rsidR="0076044B">
        <w:rPr>
          <w:rFonts w:ascii="Arial" w:eastAsia="Arial" w:hAnsi="Arial"/>
          <w:color w:val="000000"/>
          <w:sz w:val="24"/>
        </w:rPr>
        <w:t>indicates</w:t>
      </w:r>
      <w:r>
        <w:rPr>
          <w:rFonts w:ascii="Arial" w:eastAsia="Arial" w:hAnsi="Arial"/>
          <w:color w:val="000000"/>
          <w:sz w:val="24"/>
        </w:rPr>
        <w:t xml:space="preserve"> that </w:t>
      </w:r>
      <w:r w:rsidR="0076044B">
        <w:rPr>
          <w:rFonts w:ascii="Arial" w:eastAsia="Arial" w:hAnsi="Arial"/>
          <w:color w:val="000000"/>
          <w:sz w:val="24"/>
        </w:rPr>
        <w:t>30.</w:t>
      </w:r>
      <w:r w:rsidR="00864E14">
        <w:rPr>
          <w:rFonts w:ascii="Arial" w:eastAsia="Arial" w:hAnsi="Arial"/>
          <w:color w:val="000000"/>
          <w:sz w:val="24"/>
        </w:rPr>
        <w:t>07</w:t>
      </w:r>
      <w:r>
        <w:rPr>
          <w:rFonts w:ascii="Arial" w:eastAsia="Arial" w:hAnsi="Arial"/>
          <w:color w:val="000000"/>
          <w:sz w:val="24"/>
        </w:rPr>
        <w:t>% is a valid base figure under current rules and processes for the determination of availability. This has been determined based on the most accurate information available.</w:t>
      </w:r>
    </w:p>
    <w:p w14:paraId="24E8B863" w14:textId="77777777" w:rsidR="00F45C9F" w:rsidRDefault="00502E23">
      <w:pPr>
        <w:spacing w:before="278" w:line="273" w:lineRule="exact"/>
        <w:textAlignment w:val="baseline"/>
        <w:rPr>
          <w:rFonts w:ascii="Arial" w:eastAsia="Arial" w:hAnsi="Arial"/>
          <w:b/>
          <w:color w:val="000000"/>
          <w:sz w:val="24"/>
        </w:rPr>
      </w:pPr>
      <w:r>
        <w:rPr>
          <w:rFonts w:ascii="Arial" w:eastAsia="Arial" w:hAnsi="Arial"/>
          <w:b/>
          <w:color w:val="000000"/>
          <w:sz w:val="24"/>
        </w:rPr>
        <w:t>Step Two</w:t>
      </w:r>
    </w:p>
    <w:p w14:paraId="0EF66989" w14:textId="77777777" w:rsidR="00F45C9F" w:rsidRDefault="00502E23">
      <w:pPr>
        <w:spacing w:before="277" w:line="276" w:lineRule="exact"/>
        <w:jc w:val="both"/>
        <w:textAlignment w:val="baseline"/>
        <w:rPr>
          <w:rFonts w:ascii="Arial" w:eastAsia="Arial" w:hAnsi="Arial"/>
          <w:color w:val="000000"/>
          <w:sz w:val="24"/>
        </w:rPr>
      </w:pPr>
      <w:r>
        <w:rPr>
          <w:rFonts w:ascii="Arial" w:eastAsia="Arial" w:hAnsi="Arial"/>
          <w:color w:val="000000"/>
          <w:sz w:val="24"/>
        </w:rPr>
        <w:t>FDOT has examined all the evidence available for any adjustments to the base figure and have determined that the FDOT does not have any significant information that would warrant an adjustment to the base figure.</w:t>
      </w:r>
    </w:p>
    <w:p w14:paraId="1E3B6FC2" w14:textId="77777777" w:rsidR="00F45C9F" w:rsidRDefault="00502E23">
      <w:pPr>
        <w:spacing w:before="278" w:line="274" w:lineRule="exact"/>
        <w:textAlignment w:val="baseline"/>
        <w:rPr>
          <w:rFonts w:ascii="Arial" w:eastAsia="Arial" w:hAnsi="Arial"/>
          <w:b/>
          <w:color w:val="000000"/>
          <w:sz w:val="24"/>
          <w:u w:val="single"/>
        </w:rPr>
      </w:pPr>
      <w:r>
        <w:rPr>
          <w:rFonts w:ascii="Arial" w:eastAsia="Arial" w:hAnsi="Arial"/>
          <w:b/>
          <w:color w:val="000000"/>
          <w:sz w:val="24"/>
          <w:u w:val="single"/>
        </w:rPr>
        <w:t>RACE NEUTRAL METHODS</w:t>
      </w:r>
    </w:p>
    <w:p w14:paraId="693B27C9" w14:textId="24499C77" w:rsidR="00F45C9F" w:rsidRDefault="00502E23">
      <w:pPr>
        <w:spacing w:before="276" w:line="276" w:lineRule="exact"/>
        <w:jc w:val="both"/>
        <w:textAlignment w:val="baseline"/>
        <w:rPr>
          <w:rFonts w:ascii="Arial" w:eastAsia="Arial" w:hAnsi="Arial"/>
          <w:color w:val="000000"/>
          <w:sz w:val="24"/>
        </w:rPr>
      </w:pPr>
      <w:r>
        <w:rPr>
          <w:rFonts w:ascii="Arial" w:eastAsia="Arial" w:hAnsi="Arial"/>
          <w:color w:val="000000"/>
          <w:sz w:val="24"/>
        </w:rPr>
        <w:t xml:space="preserve">FDOT shall meet the overall goal of </w:t>
      </w:r>
      <w:r w:rsidR="0076044B">
        <w:rPr>
          <w:rFonts w:ascii="Arial" w:eastAsia="Arial" w:hAnsi="Arial"/>
          <w:color w:val="000000"/>
          <w:sz w:val="24"/>
        </w:rPr>
        <w:t>30.</w:t>
      </w:r>
      <w:r w:rsidR="00864E14">
        <w:rPr>
          <w:rFonts w:ascii="Arial" w:eastAsia="Arial" w:hAnsi="Arial"/>
          <w:color w:val="000000"/>
          <w:sz w:val="24"/>
        </w:rPr>
        <w:t>07</w:t>
      </w:r>
      <w:r>
        <w:rPr>
          <w:rFonts w:ascii="Arial" w:eastAsia="Arial" w:hAnsi="Arial"/>
          <w:color w:val="000000"/>
          <w:sz w:val="24"/>
        </w:rPr>
        <w:t>% through the use of race neutral methods. The DBE Liaison Officer will work closely with the Transit Office to monitor DBE participation in order to determine if mid-course corrections are needed.</w:t>
      </w:r>
    </w:p>
    <w:p w14:paraId="1D7240B5" w14:textId="77777777" w:rsidR="00F45C9F" w:rsidRDefault="00502E23">
      <w:pPr>
        <w:spacing w:before="276" w:line="276" w:lineRule="exact"/>
        <w:textAlignment w:val="baseline"/>
        <w:rPr>
          <w:rFonts w:ascii="Arial" w:eastAsia="Arial" w:hAnsi="Arial"/>
          <w:color w:val="000000"/>
          <w:sz w:val="24"/>
        </w:rPr>
      </w:pPr>
      <w:r>
        <w:rPr>
          <w:rFonts w:ascii="Arial" w:eastAsia="Arial" w:hAnsi="Arial"/>
          <w:color w:val="000000"/>
          <w:sz w:val="24"/>
        </w:rPr>
        <w:t>Race neutral methods will include:</w:t>
      </w:r>
    </w:p>
    <w:p w14:paraId="43292ECE" w14:textId="77777777" w:rsidR="00F45C9F" w:rsidRDefault="00502E23">
      <w:pPr>
        <w:numPr>
          <w:ilvl w:val="0"/>
          <w:numId w:val="1"/>
        </w:numPr>
        <w:tabs>
          <w:tab w:val="clear" w:pos="288"/>
          <w:tab w:val="left" w:pos="720"/>
        </w:tabs>
        <w:spacing w:before="278" w:line="276" w:lineRule="exact"/>
        <w:ind w:left="720" w:right="432" w:hanging="288"/>
        <w:textAlignment w:val="baseline"/>
        <w:rPr>
          <w:rFonts w:ascii="Arial" w:eastAsia="Arial" w:hAnsi="Arial"/>
          <w:color w:val="000000"/>
          <w:sz w:val="24"/>
        </w:rPr>
      </w:pPr>
      <w:r>
        <w:rPr>
          <w:rFonts w:ascii="Arial" w:eastAsia="Arial" w:hAnsi="Arial"/>
          <w:color w:val="000000"/>
          <w:sz w:val="24"/>
        </w:rPr>
        <w:t>Providing technical assistance and other services to DBEs with special emphasis on marketing.</w:t>
      </w:r>
    </w:p>
    <w:p w14:paraId="1DF56084" w14:textId="77777777" w:rsidR="00F45C9F" w:rsidRDefault="00502E23">
      <w:pPr>
        <w:numPr>
          <w:ilvl w:val="0"/>
          <w:numId w:val="1"/>
        </w:numPr>
        <w:tabs>
          <w:tab w:val="clear" w:pos="288"/>
          <w:tab w:val="left" w:pos="720"/>
        </w:tabs>
        <w:spacing w:line="276" w:lineRule="exact"/>
        <w:ind w:left="720" w:right="504" w:hanging="288"/>
        <w:textAlignment w:val="baseline"/>
        <w:rPr>
          <w:rFonts w:ascii="Arial" w:eastAsia="Arial" w:hAnsi="Arial"/>
          <w:color w:val="000000"/>
          <w:sz w:val="24"/>
        </w:rPr>
      </w:pPr>
      <w:r>
        <w:rPr>
          <w:rFonts w:ascii="Arial" w:eastAsia="Arial" w:hAnsi="Arial"/>
          <w:color w:val="000000"/>
          <w:sz w:val="24"/>
        </w:rPr>
        <w:t>Providing assistance in overcoming limitations such as inability to obtain bonding or financing.</w:t>
      </w:r>
    </w:p>
    <w:p w14:paraId="69846CF6" w14:textId="77777777" w:rsidR="00F45C9F" w:rsidRDefault="00502E23">
      <w:pPr>
        <w:numPr>
          <w:ilvl w:val="0"/>
          <w:numId w:val="1"/>
        </w:numPr>
        <w:tabs>
          <w:tab w:val="clear" w:pos="288"/>
          <w:tab w:val="left" w:pos="720"/>
        </w:tabs>
        <w:spacing w:line="276" w:lineRule="exact"/>
        <w:ind w:left="720" w:right="936" w:hanging="288"/>
        <w:jc w:val="both"/>
        <w:textAlignment w:val="baseline"/>
        <w:rPr>
          <w:rFonts w:ascii="Arial" w:eastAsia="Arial" w:hAnsi="Arial"/>
          <w:color w:val="000000"/>
          <w:sz w:val="24"/>
        </w:rPr>
      </w:pPr>
      <w:r>
        <w:rPr>
          <w:rFonts w:ascii="Arial" w:eastAsia="Arial" w:hAnsi="Arial"/>
          <w:color w:val="000000"/>
          <w:sz w:val="24"/>
        </w:rPr>
        <w:t>Providing the name, phone number and email address for additional information concerning a contract.</w:t>
      </w:r>
    </w:p>
    <w:p w14:paraId="1854FE60" w14:textId="77777777" w:rsidR="00F45C9F" w:rsidRDefault="00502E23">
      <w:pPr>
        <w:numPr>
          <w:ilvl w:val="0"/>
          <w:numId w:val="1"/>
        </w:numPr>
        <w:tabs>
          <w:tab w:val="clear" w:pos="288"/>
          <w:tab w:val="left" w:pos="720"/>
        </w:tabs>
        <w:spacing w:line="276" w:lineRule="exact"/>
        <w:ind w:left="720" w:right="936" w:hanging="288"/>
        <w:textAlignment w:val="baseline"/>
        <w:rPr>
          <w:rFonts w:ascii="Arial" w:eastAsia="Arial" w:hAnsi="Arial"/>
          <w:color w:val="000000"/>
          <w:spacing w:val="-1"/>
          <w:sz w:val="24"/>
        </w:rPr>
      </w:pPr>
      <w:r>
        <w:rPr>
          <w:rFonts w:ascii="Arial" w:eastAsia="Arial" w:hAnsi="Arial"/>
          <w:color w:val="000000"/>
          <w:spacing w:val="-1"/>
          <w:sz w:val="24"/>
        </w:rPr>
        <w:t>Continuing DBE supportive services program to develop and improve business management, record keeping, and financial and accounting capability for DBEs.</w:t>
      </w:r>
    </w:p>
    <w:p w14:paraId="0FAF56A9" w14:textId="77777777" w:rsidR="00F45C9F" w:rsidRDefault="00502E23">
      <w:pPr>
        <w:numPr>
          <w:ilvl w:val="0"/>
          <w:numId w:val="1"/>
        </w:numPr>
        <w:tabs>
          <w:tab w:val="clear" w:pos="288"/>
          <w:tab w:val="left" w:pos="720"/>
        </w:tabs>
        <w:spacing w:line="276" w:lineRule="exact"/>
        <w:ind w:left="720" w:right="1008" w:hanging="288"/>
        <w:textAlignment w:val="baseline"/>
        <w:rPr>
          <w:rFonts w:ascii="Arial" w:eastAsia="Arial" w:hAnsi="Arial"/>
          <w:color w:val="000000"/>
          <w:sz w:val="24"/>
        </w:rPr>
      </w:pPr>
      <w:r>
        <w:rPr>
          <w:rFonts w:ascii="Arial" w:eastAsia="Arial" w:hAnsi="Arial"/>
          <w:color w:val="000000"/>
          <w:sz w:val="24"/>
        </w:rPr>
        <w:t>Working very closely with new start-up firms, particularly in fields in which DBE participation has been historically low.</w:t>
      </w:r>
    </w:p>
    <w:p w14:paraId="549C4432" w14:textId="77777777" w:rsidR="00F45C9F" w:rsidRDefault="00502E23">
      <w:pPr>
        <w:numPr>
          <w:ilvl w:val="0"/>
          <w:numId w:val="1"/>
        </w:numPr>
        <w:tabs>
          <w:tab w:val="clear" w:pos="288"/>
          <w:tab w:val="left" w:pos="720"/>
        </w:tabs>
        <w:spacing w:line="276" w:lineRule="exact"/>
        <w:ind w:left="720" w:right="288" w:hanging="288"/>
        <w:textAlignment w:val="baseline"/>
        <w:rPr>
          <w:rFonts w:ascii="Arial" w:eastAsia="Arial" w:hAnsi="Arial"/>
          <w:color w:val="000000"/>
          <w:sz w:val="24"/>
        </w:rPr>
      </w:pPr>
      <w:r>
        <w:rPr>
          <w:rFonts w:ascii="Arial" w:eastAsia="Arial" w:hAnsi="Arial"/>
          <w:color w:val="000000"/>
          <w:sz w:val="24"/>
        </w:rPr>
        <w:t>Assisting DBEs to develop their capability to utilize emerging technology and conduct business through electronic media.</w:t>
      </w:r>
    </w:p>
    <w:p w14:paraId="09F111DA" w14:textId="17C4DB50" w:rsidR="00F45C9F" w:rsidRDefault="00864E14">
      <w:pPr>
        <w:numPr>
          <w:ilvl w:val="0"/>
          <w:numId w:val="1"/>
        </w:numPr>
        <w:tabs>
          <w:tab w:val="clear" w:pos="288"/>
          <w:tab w:val="left" w:pos="720"/>
        </w:tabs>
        <w:spacing w:line="275" w:lineRule="exact"/>
        <w:ind w:left="720" w:right="288" w:hanging="288"/>
        <w:textAlignment w:val="baseline"/>
        <w:rPr>
          <w:rFonts w:ascii="Arial" w:eastAsia="Arial" w:hAnsi="Arial"/>
          <w:color w:val="000000"/>
          <w:sz w:val="24"/>
        </w:rPr>
      </w:pPr>
      <w:r>
        <w:rPr>
          <w:noProof/>
        </w:rPr>
        <mc:AlternateContent>
          <mc:Choice Requires="wps">
            <w:drawing>
              <wp:anchor distT="0" distB="0" distL="0" distR="0" simplePos="0" relativeHeight="251658240" behindDoc="1" locked="0" layoutInCell="1" allowOverlap="1" wp14:anchorId="70AC5218" wp14:editId="4CCE0C90">
                <wp:simplePos x="0" y="0"/>
                <wp:positionH relativeFrom="page">
                  <wp:posOffset>6953250</wp:posOffset>
                </wp:positionH>
                <wp:positionV relativeFrom="page">
                  <wp:posOffset>9251950</wp:posOffset>
                </wp:positionV>
                <wp:extent cx="187325" cy="175260"/>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65284" w14:textId="77777777" w:rsidR="00F45C9F" w:rsidRDefault="00502E23">
                            <w:pPr>
                              <w:spacing w:before="3" w:line="259" w:lineRule="exact"/>
                              <w:textAlignment w:val="baseline"/>
                              <w:rPr>
                                <w:rFonts w:eastAsia="Times New Roman"/>
                                <w:color w:val="000000"/>
                                <w:sz w:val="24"/>
                              </w:rPr>
                            </w:pPr>
                            <w:r>
                              <w:rPr>
                                <w:rFonts w:eastAsia="Times New Roman"/>
                                <w:color w:val="000000"/>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C5218" id="_x0000_t202" coordsize="21600,21600" o:spt="202" path="m,l,21600r21600,l21600,xe">
                <v:stroke joinstyle="miter"/>
                <v:path gradientshapeok="t" o:connecttype="rect"/>
              </v:shapetype>
              <v:shape id="_x0000_s0" o:spid="_x0000_s1026" type="#_x0000_t202" style="position:absolute;left:0;text-align:left;margin-left:547.5pt;margin-top:728.5pt;width:14.75pt;height:13.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" filled="f" stroked="f">
                <v:textbox inset="0,0,0,0">
                  <w:txbxContent>
                    <w:p w14:paraId="1DD65284" w14:textId="77777777" w:rsidR="00F45C9F" w:rsidRDefault="00502E23">
                      <w:pPr>
                        <w:spacing w:before="3" w:line="259" w:lineRule="exact"/>
                        <w:textAlignment w:val="baseline"/>
                        <w:rPr>
                          <w:rFonts w:eastAsia="Times New Roman"/>
                          <w:color w:val="000000"/>
                          <w:sz w:val="24"/>
                        </w:rPr>
                      </w:pPr>
                      <w:r>
                        <w:rPr>
                          <w:rFonts w:eastAsia="Times New Roman"/>
                          <w:color w:val="000000"/>
                          <w:sz w:val="24"/>
                        </w:rPr>
                        <w:t>4</w:t>
                      </w:r>
                    </w:p>
                  </w:txbxContent>
                </v:textbox>
                <w10:wrap type="square" anchorx="page" anchory="page"/>
              </v:shape>
            </w:pict>
          </mc:Fallback>
        </mc:AlternateContent>
      </w:r>
      <w:r w:rsidR="00502E23">
        <w:rPr>
          <w:rFonts w:ascii="Arial" w:eastAsia="Arial" w:hAnsi="Arial"/>
          <w:color w:val="000000"/>
          <w:sz w:val="24"/>
        </w:rPr>
        <w:t>Working with prime contractors, consultants, the Florida Transportation Builders Association, and the Florida Institute of Consulting Engineers to encourage the use of DBEs.</w:t>
      </w:r>
    </w:p>
    <w:p w14:paraId="004689F4" w14:textId="77777777" w:rsidR="00F45C9F" w:rsidRDefault="00F45C9F">
      <w:pPr>
        <w:sectPr w:rsidR="00F45C9F">
          <w:pgSz w:w="12240" w:h="15840"/>
          <w:pgMar w:top="1440" w:right="1065" w:bottom="874" w:left="1055" w:header="720" w:footer="720" w:gutter="0"/>
          <w:cols w:space="720"/>
        </w:sectPr>
      </w:pPr>
    </w:p>
    <w:p w14:paraId="410CB422" w14:textId="63190728" w:rsidR="00F45C9F" w:rsidRDefault="00502E23" w:rsidP="003B5519">
      <w:pPr>
        <w:spacing w:line="415" w:lineRule="exact"/>
        <w:textAlignment w:val="baseline"/>
        <w:rPr>
          <w:rFonts w:ascii="Arial" w:eastAsia="Arial" w:hAnsi="Arial"/>
          <w:color w:val="000000"/>
          <w:sz w:val="24"/>
        </w:rPr>
      </w:pPr>
      <w:r>
        <w:rPr>
          <w:rFonts w:ascii="Arial" w:eastAsia="Arial" w:hAnsi="Arial"/>
          <w:b/>
          <w:color w:val="000000"/>
          <w:sz w:val="24"/>
          <w:u w:val="single"/>
        </w:rPr>
        <w:lastRenderedPageBreak/>
        <w:t xml:space="preserve">PUBLIC PARTICIPATION  </w:t>
      </w:r>
      <w:r>
        <w:rPr>
          <w:rFonts w:ascii="Arial" w:eastAsia="Arial" w:hAnsi="Arial"/>
          <w:b/>
          <w:color w:val="000000"/>
          <w:sz w:val="24"/>
          <w:u w:val="single"/>
        </w:rPr>
        <w:br/>
      </w:r>
    </w:p>
    <w:p w14:paraId="1F674449" w14:textId="77777777" w:rsidR="00F45C9F" w:rsidRDefault="00F45C9F">
      <w:pPr>
        <w:spacing w:before="278" w:after="2903" w:line="274" w:lineRule="exact"/>
        <w:sectPr w:rsidR="00F45C9F">
          <w:pgSz w:w="12240" w:h="15840"/>
          <w:pgMar w:top="1440" w:right="1057" w:bottom="584" w:left="1063" w:header="720" w:footer="720" w:gutter="0"/>
          <w:cols w:space="720"/>
        </w:sectPr>
      </w:pPr>
    </w:p>
    <w:p w14:paraId="57B36661" w14:textId="77777777" w:rsidR="00F45C9F" w:rsidRDefault="00502E23">
      <w:pPr>
        <w:spacing w:before="3" w:line="273" w:lineRule="exact"/>
        <w:textAlignment w:val="baseline"/>
        <w:rPr>
          <w:rFonts w:eastAsia="Times New Roman"/>
          <w:color w:val="000000"/>
          <w:sz w:val="24"/>
        </w:rPr>
      </w:pPr>
      <w:r>
        <w:rPr>
          <w:rFonts w:eastAsia="Times New Roman"/>
          <w:color w:val="000000"/>
          <w:sz w:val="24"/>
        </w:rPr>
        <w:t>5</w:t>
      </w:r>
    </w:p>
    <w:sectPr w:rsidR="00F45C9F">
      <w:type w:val="continuous"/>
      <w:pgSz w:w="12240" w:h="15840"/>
      <w:pgMar w:top="1440" w:right="1025" w:bottom="584" w:left="109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B883E" w14:textId="77777777" w:rsidR="007E0E06" w:rsidRDefault="007E0E06" w:rsidP="001B6F63">
      <w:r>
        <w:separator/>
      </w:r>
    </w:p>
  </w:endnote>
  <w:endnote w:type="continuationSeparator" w:id="0">
    <w:p w14:paraId="55916BA0" w14:textId="77777777" w:rsidR="007E0E06" w:rsidRDefault="007E0E06" w:rsidP="001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0F69A" w14:textId="77777777" w:rsidR="001B6F63" w:rsidRDefault="001B6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63902" w14:textId="77777777" w:rsidR="001B6F63" w:rsidRDefault="001B6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1E8D3" w14:textId="77777777" w:rsidR="001B6F63" w:rsidRDefault="001B6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0E155" w14:textId="77777777" w:rsidR="007E0E06" w:rsidRDefault="007E0E06" w:rsidP="001B6F63">
      <w:r>
        <w:separator/>
      </w:r>
    </w:p>
  </w:footnote>
  <w:footnote w:type="continuationSeparator" w:id="0">
    <w:p w14:paraId="0655D823" w14:textId="77777777" w:rsidR="007E0E06" w:rsidRDefault="007E0E06" w:rsidP="001B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A75A2" w14:textId="77777777" w:rsidR="001B6F63" w:rsidRDefault="001B6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91334"/>
      <w:docPartObj>
        <w:docPartGallery w:val="Watermarks"/>
        <w:docPartUnique/>
      </w:docPartObj>
    </w:sdtPr>
    <w:sdtEndPr/>
    <w:sdtContent>
      <w:p w14:paraId="68004E3F" w14:textId="6DB12BAA" w:rsidR="001B6F63" w:rsidRDefault="007E0E06">
        <w:pPr>
          <w:pStyle w:val="Header"/>
        </w:pPr>
        <w:r>
          <w:rPr>
            <w:noProof/>
          </w:rPr>
          <w:pict w14:anchorId="31FDB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D2FEE" w14:textId="77777777" w:rsidR="001B6F63" w:rsidRDefault="001B6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602E4"/>
    <w:multiLevelType w:val="multilevel"/>
    <w:tmpl w:val="33661E92"/>
    <w:lvl w:ilvl="0">
      <w:start w:val="1"/>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9F"/>
    <w:rsid w:val="000C7F38"/>
    <w:rsid w:val="001B6F63"/>
    <w:rsid w:val="003B5519"/>
    <w:rsid w:val="004F40AD"/>
    <w:rsid w:val="00502E23"/>
    <w:rsid w:val="00677E05"/>
    <w:rsid w:val="0076044B"/>
    <w:rsid w:val="007E0E06"/>
    <w:rsid w:val="00864E14"/>
    <w:rsid w:val="00AD17A9"/>
    <w:rsid w:val="00B653F5"/>
    <w:rsid w:val="00C008A5"/>
    <w:rsid w:val="00F4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0FC790"/>
  <w15:docId w15:val="{EB129616-B4E3-4C6D-AF48-A9D4FE64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F63"/>
    <w:pPr>
      <w:tabs>
        <w:tab w:val="center" w:pos="4680"/>
        <w:tab w:val="right" w:pos="9360"/>
      </w:tabs>
    </w:pPr>
  </w:style>
  <w:style w:type="character" w:customStyle="1" w:styleId="HeaderChar">
    <w:name w:val="Header Char"/>
    <w:basedOn w:val="DefaultParagraphFont"/>
    <w:link w:val="Header"/>
    <w:uiPriority w:val="99"/>
    <w:rsid w:val="001B6F63"/>
  </w:style>
  <w:style w:type="paragraph" w:styleId="Footer">
    <w:name w:val="footer"/>
    <w:basedOn w:val="Normal"/>
    <w:link w:val="FooterChar"/>
    <w:uiPriority w:val="99"/>
    <w:unhideWhenUsed/>
    <w:rsid w:val="001B6F63"/>
    <w:pPr>
      <w:tabs>
        <w:tab w:val="center" w:pos="4680"/>
        <w:tab w:val="right" w:pos="9360"/>
      </w:tabs>
    </w:pPr>
  </w:style>
  <w:style w:type="character" w:customStyle="1" w:styleId="FooterChar">
    <w:name w:val="Footer Char"/>
    <w:basedOn w:val="DefaultParagraphFont"/>
    <w:link w:val="Footer"/>
    <w:uiPriority w:val="99"/>
    <w:rsid w:val="001B6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832085">
      <w:bodyDiv w:val="1"/>
      <w:marLeft w:val="0"/>
      <w:marRight w:val="0"/>
      <w:marTop w:val="0"/>
      <w:marBottom w:val="0"/>
      <w:divBdr>
        <w:top w:val="none" w:sz="0" w:space="0" w:color="auto"/>
        <w:left w:val="none" w:sz="0" w:space="0" w:color="auto"/>
        <w:bottom w:val="none" w:sz="0" w:space="0" w:color="auto"/>
        <w:right w:val="none" w:sz="0" w:space="0" w:color="auto"/>
      </w:divBdr>
    </w:div>
    <w:div w:id="128804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Heather</dc:creator>
  <cp:lastModifiedBy>Heather</cp:lastModifiedBy>
  <cp:revision>2</cp:revision>
  <dcterms:created xsi:type="dcterms:W3CDTF">2020-07-21T23:10:00Z</dcterms:created>
  <dcterms:modified xsi:type="dcterms:W3CDTF">2020-07-21T23:10:00Z</dcterms:modified>
</cp:coreProperties>
</file>