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E49D" w14:textId="77777777" w:rsidR="00F45C9F" w:rsidRDefault="00502E23">
      <w:pPr>
        <w:spacing w:before="6" w:line="273" w:lineRule="exact"/>
        <w:jc w:val="center"/>
        <w:textAlignment w:val="baseline"/>
        <w:rPr>
          <w:rFonts w:ascii="Arial" w:eastAsia="Arial" w:hAnsi="Arial"/>
          <w:b/>
          <w:color w:val="000000"/>
          <w:sz w:val="24"/>
        </w:rPr>
      </w:pPr>
      <w:r>
        <w:rPr>
          <w:rFonts w:ascii="Arial" w:eastAsia="Arial" w:hAnsi="Arial"/>
          <w:b/>
          <w:color w:val="000000"/>
          <w:sz w:val="24"/>
        </w:rPr>
        <w:t>FLORIDA DEPARTMENT OF TRANSPORTATION</w:t>
      </w:r>
    </w:p>
    <w:p w14:paraId="2F6F3447" w14:textId="77777777" w:rsidR="00F45C9F" w:rsidRDefault="00502E23">
      <w:pPr>
        <w:spacing w:before="557" w:line="273" w:lineRule="exact"/>
        <w:jc w:val="center"/>
        <w:textAlignment w:val="baseline"/>
        <w:rPr>
          <w:rFonts w:ascii="Arial" w:eastAsia="Arial" w:hAnsi="Arial"/>
          <w:b/>
          <w:color w:val="000000"/>
          <w:sz w:val="24"/>
        </w:rPr>
      </w:pPr>
      <w:r>
        <w:rPr>
          <w:rFonts w:ascii="Arial" w:eastAsia="Arial" w:hAnsi="Arial"/>
          <w:b/>
          <w:color w:val="000000"/>
          <w:sz w:val="24"/>
        </w:rPr>
        <w:t>METHODOLOGY FOR DETERMINING DBE GOAL (49 CFR 26.45)</w:t>
      </w:r>
    </w:p>
    <w:p w14:paraId="58354815" w14:textId="77777777" w:rsidR="00F45C9F" w:rsidRDefault="00502E23">
      <w:pPr>
        <w:spacing w:before="1" w:line="273" w:lineRule="exact"/>
        <w:jc w:val="center"/>
        <w:textAlignment w:val="baseline"/>
        <w:rPr>
          <w:rFonts w:ascii="Arial" w:eastAsia="Arial" w:hAnsi="Arial"/>
          <w:b/>
          <w:color w:val="000000"/>
          <w:sz w:val="24"/>
        </w:rPr>
      </w:pPr>
      <w:r>
        <w:rPr>
          <w:rFonts w:ascii="Arial" w:eastAsia="Arial" w:hAnsi="Arial"/>
          <w:b/>
          <w:color w:val="000000"/>
          <w:sz w:val="24"/>
        </w:rPr>
        <w:t>FEDERAL TRANSIT ADMINISTRATION</w:t>
      </w:r>
    </w:p>
    <w:p w14:paraId="0F1B21A0" w14:textId="591B1941" w:rsidR="00F45C9F" w:rsidRDefault="00502E23">
      <w:pPr>
        <w:spacing w:before="5" w:line="273" w:lineRule="exact"/>
        <w:jc w:val="center"/>
        <w:textAlignment w:val="baseline"/>
        <w:rPr>
          <w:rFonts w:ascii="Arial" w:eastAsia="Arial" w:hAnsi="Arial"/>
          <w:b/>
          <w:color w:val="000000"/>
          <w:sz w:val="24"/>
        </w:rPr>
      </w:pPr>
      <w:r>
        <w:rPr>
          <w:rFonts w:ascii="Arial" w:eastAsia="Arial" w:hAnsi="Arial"/>
          <w:b/>
          <w:color w:val="000000"/>
          <w:sz w:val="24"/>
        </w:rPr>
        <w:t xml:space="preserve">FEDERAL FISCAL YEARS </w:t>
      </w:r>
      <w:r w:rsidR="000C7F38">
        <w:rPr>
          <w:rFonts w:ascii="Arial" w:eastAsia="Arial" w:hAnsi="Arial"/>
          <w:b/>
          <w:color w:val="000000"/>
          <w:sz w:val="24"/>
        </w:rPr>
        <w:t>202</w:t>
      </w:r>
      <w:r w:rsidR="0011511C">
        <w:rPr>
          <w:rFonts w:ascii="Arial" w:eastAsia="Arial" w:hAnsi="Arial"/>
          <w:b/>
          <w:color w:val="000000"/>
          <w:sz w:val="24"/>
        </w:rPr>
        <w:t>4</w:t>
      </w:r>
      <w:r>
        <w:rPr>
          <w:rFonts w:ascii="Arial" w:eastAsia="Arial" w:hAnsi="Arial"/>
          <w:b/>
          <w:color w:val="000000"/>
          <w:sz w:val="24"/>
        </w:rPr>
        <w:t>-202</w:t>
      </w:r>
      <w:r w:rsidR="0011511C">
        <w:rPr>
          <w:rFonts w:ascii="Arial" w:eastAsia="Arial" w:hAnsi="Arial"/>
          <w:b/>
          <w:color w:val="000000"/>
          <w:sz w:val="24"/>
        </w:rPr>
        <w:t>6</w:t>
      </w:r>
    </w:p>
    <w:p w14:paraId="1EE5C25B" w14:textId="77777777" w:rsidR="00F45C9F" w:rsidRDefault="00502E23">
      <w:pPr>
        <w:spacing w:before="553" w:line="274" w:lineRule="exact"/>
        <w:textAlignment w:val="baseline"/>
        <w:rPr>
          <w:rFonts w:ascii="Arial" w:eastAsia="Arial" w:hAnsi="Arial"/>
          <w:b/>
          <w:color w:val="000000"/>
          <w:sz w:val="24"/>
          <w:u w:val="single"/>
        </w:rPr>
      </w:pPr>
      <w:r>
        <w:rPr>
          <w:rFonts w:ascii="Arial" w:eastAsia="Arial" w:hAnsi="Arial"/>
          <w:b/>
          <w:color w:val="000000"/>
          <w:sz w:val="24"/>
          <w:u w:val="single"/>
        </w:rPr>
        <w:t>OVERALL GOAL</w:t>
      </w:r>
    </w:p>
    <w:p w14:paraId="75724186" w14:textId="79ED7F15" w:rsidR="00477EE0" w:rsidRPr="007D2D41" w:rsidRDefault="00477EE0" w:rsidP="007D2D41">
      <w:pPr>
        <w:spacing w:before="278" w:line="276" w:lineRule="exact"/>
        <w:jc w:val="both"/>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 xml:space="preserve">Pursuant to the U.S. Department of Transportation (DOT) rules and regulations provided in 49 CFR Part 26 (DBE Regulations), </w:t>
      </w:r>
      <w:r w:rsidR="00B97342">
        <w:rPr>
          <w:rFonts w:ascii="Arial" w:eastAsia="Times New Roman" w:hAnsi="Arial" w:cs="Arial"/>
          <w:bCs/>
          <w:sz w:val="24"/>
          <w:szCs w:val="24"/>
          <w:lang w:eastAsia="x-none"/>
        </w:rPr>
        <w:t xml:space="preserve">the </w:t>
      </w:r>
      <w:r w:rsidR="00626028">
        <w:rPr>
          <w:rFonts w:ascii="Arial" w:eastAsia="Times New Roman" w:hAnsi="Arial" w:cs="Arial"/>
          <w:bCs/>
          <w:sz w:val="24"/>
          <w:szCs w:val="24"/>
          <w:lang w:eastAsia="x-none"/>
        </w:rPr>
        <w:t>Florida Department of Transportation (</w:t>
      </w:r>
      <w:r w:rsidRPr="007D2D41">
        <w:rPr>
          <w:rFonts w:ascii="Arial" w:eastAsia="Times New Roman" w:hAnsi="Arial" w:cs="Arial"/>
          <w:bCs/>
          <w:sz w:val="24"/>
          <w:szCs w:val="24"/>
          <w:lang w:val="x-none" w:eastAsia="x-none"/>
        </w:rPr>
        <w:t>FDOT</w:t>
      </w:r>
      <w:r w:rsidR="00626028">
        <w:rPr>
          <w:rFonts w:ascii="Arial" w:eastAsia="Times New Roman" w:hAnsi="Arial" w:cs="Arial"/>
          <w:bCs/>
          <w:sz w:val="24"/>
          <w:szCs w:val="24"/>
          <w:lang w:eastAsia="x-none"/>
        </w:rPr>
        <w:t xml:space="preserve">) </w:t>
      </w:r>
      <w:r w:rsidRPr="007D2D41">
        <w:rPr>
          <w:rFonts w:ascii="Arial" w:eastAsia="Times New Roman" w:hAnsi="Arial" w:cs="Arial"/>
          <w:bCs/>
          <w:sz w:val="24"/>
          <w:szCs w:val="24"/>
          <w:lang w:val="x-none" w:eastAsia="x-none"/>
        </w:rPr>
        <w:t xml:space="preserve">proposes an overall DBE goal that is applicable to the DOT-assisted contracting opportunities for Federal Fiscal Year (FFY) 2024 through 2026. The proposed overall goal for DBE participation is </w:t>
      </w:r>
      <w:r w:rsidRPr="007D2D41">
        <w:rPr>
          <w:rFonts w:ascii="Arial" w:eastAsia="Times New Roman" w:hAnsi="Arial" w:cs="Arial"/>
          <w:b/>
          <w:sz w:val="24"/>
          <w:szCs w:val="24"/>
          <w:lang w:val="x-none" w:eastAsia="x-none"/>
        </w:rPr>
        <w:t>3.59%</w:t>
      </w:r>
      <w:r w:rsidRPr="007D2D41">
        <w:rPr>
          <w:rFonts w:ascii="Arial" w:eastAsia="Times New Roman" w:hAnsi="Arial" w:cs="Arial"/>
          <w:bCs/>
          <w:sz w:val="24"/>
          <w:szCs w:val="24"/>
          <w:lang w:val="x-none" w:eastAsia="x-none"/>
        </w:rPr>
        <w:t xml:space="preserve"> of the projected </w:t>
      </w:r>
      <w:r w:rsidR="00626028">
        <w:rPr>
          <w:rFonts w:ascii="Arial" w:eastAsia="Times New Roman" w:hAnsi="Arial" w:cs="Arial"/>
          <w:bCs/>
          <w:sz w:val="24"/>
          <w:szCs w:val="24"/>
          <w:lang w:eastAsia="x-none"/>
        </w:rPr>
        <w:t>Federal Transit Administration (</w:t>
      </w:r>
      <w:r w:rsidRPr="007D2D41">
        <w:rPr>
          <w:rFonts w:ascii="Arial" w:eastAsia="Times New Roman" w:hAnsi="Arial" w:cs="Arial"/>
          <w:bCs/>
          <w:sz w:val="24"/>
          <w:szCs w:val="24"/>
          <w:lang w:val="x-none" w:eastAsia="x-none"/>
        </w:rPr>
        <w:t>FTA</w:t>
      </w:r>
      <w:r w:rsidR="00626028">
        <w:rPr>
          <w:rFonts w:ascii="Arial" w:eastAsia="Times New Roman" w:hAnsi="Arial" w:cs="Arial"/>
          <w:bCs/>
          <w:sz w:val="24"/>
          <w:szCs w:val="24"/>
          <w:lang w:eastAsia="x-none"/>
        </w:rPr>
        <w:t>)</w:t>
      </w:r>
      <w:r w:rsidRPr="007D2D41">
        <w:rPr>
          <w:rFonts w:ascii="Arial" w:eastAsia="Times New Roman" w:hAnsi="Arial" w:cs="Arial"/>
          <w:bCs/>
          <w:sz w:val="24"/>
          <w:szCs w:val="24"/>
          <w:lang w:val="x-none" w:eastAsia="x-none"/>
        </w:rPr>
        <w:t xml:space="preserve"> funds that will be subject to DBE participation requirements as demonstrated by the calculation show below.</w:t>
      </w:r>
    </w:p>
    <w:p w14:paraId="7F325120" w14:textId="77777777" w:rsidR="00F45C9F" w:rsidRDefault="00502E23">
      <w:pPr>
        <w:spacing w:before="278" w:line="274" w:lineRule="exact"/>
        <w:textAlignment w:val="baseline"/>
        <w:rPr>
          <w:rFonts w:ascii="Arial" w:eastAsia="Arial" w:hAnsi="Arial"/>
          <w:b/>
          <w:color w:val="000000"/>
          <w:sz w:val="24"/>
        </w:rPr>
      </w:pPr>
      <w:r>
        <w:rPr>
          <w:rFonts w:ascii="Arial" w:eastAsia="Arial" w:hAnsi="Arial"/>
          <w:b/>
          <w:color w:val="000000"/>
          <w:sz w:val="24"/>
          <w:u w:val="single"/>
        </w:rPr>
        <w:t>METHODOLOGY</w:t>
      </w:r>
      <w:r>
        <w:rPr>
          <w:rFonts w:ascii="Arial" w:eastAsia="Arial" w:hAnsi="Arial"/>
          <w:b/>
          <w:color w:val="000000"/>
          <w:sz w:val="24"/>
        </w:rPr>
        <w:t xml:space="preserve"> </w:t>
      </w:r>
    </w:p>
    <w:p w14:paraId="3B64E27D" w14:textId="7F616E6B" w:rsidR="00477EE0" w:rsidRPr="007D2D41" w:rsidRDefault="00477EE0" w:rsidP="00477EE0">
      <w:pPr>
        <w:spacing w:before="278" w:line="276" w:lineRule="exact"/>
        <w:jc w:val="both"/>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 xml:space="preserve">Pursuant to Section 26.45(b), the overall goal must be based upon demonstrable evidence of relative availability of DBEs in FDOT’s geographic market. Accordingly, FDOT proposes an overall goal for DBE participation that is consistent with FDOT's historical spending patterns and with the amount of DBE participation the FDOT expects to achieve. The following sections and accompanying tables, explain the process that was followed to calculate the 3.59% proposed overall DBE goal for </w:t>
      </w:r>
      <w:r w:rsidR="00EC7BC4" w:rsidRPr="007D2D41">
        <w:rPr>
          <w:rFonts w:ascii="Arial" w:eastAsia="Times New Roman" w:hAnsi="Arial" w:cs="Arial"/>
          <w:bCs/>
          <w:sz w:val="24"/>
          <w:szCs w:val="24"/>
          <w:lang w:val="x-none" w:eastAsia="x-none"/>
        </w:rPr>
        <w:t>FFY</w:t>
      </w:r>
      <w:r w:rsidR="00EC7BC4">
        <w:rPr>
          <w:rFonts w:ascii="Arial" w:eastAsia="Times New Roman" w:hAnsi="Arial" w:cs="Arial"/>
          <w:bCs/>
          <w:sz w:val="24"/>
          <w:szCs w:val="24"/>
          <w:lang w:eastAsia="x-none"/>
        </w:rPr>
        <w:t xml:space="preserve"> </w:t>
      </w:r>
      <w:r w:rsidR="00EC7BC4" w:rsidRPr="007D2D41">
        <w:rPr>
          <w:rFonts w:ascii="Arial" w:eastAsia="Times New Roman" w:hAnsi="Arial" w:cs="Arial"/>
          <w:bCs/>
          <w:sz w:val="24"/>
          <w:szCs w:val="24"/>
          <w:lang w:val="x-none" w:eastAsia="x-none"/>
        </w:rPr>
        <w:t>2024-FFY</w:t>
      </w:r>
      <w:r w:rsidR="00EC7BC4">
        <w:rPr>
          <w:rFonts w:ascii="Arial" w:eastAsia="Times New Roman" w:hAnsi="Arial" w:cs="Arial"/>
          <w:bCs/>
          <w:sz w:val="24"/>
          <w:szCs w:val="24"/>
          <w:lang w:eastAsia="x-none"/>
        </w:rPr>
        <w:t xml:space="preserve"> </w:t>
      </w:r>
      <w:r w:rsidR="00EC7BC4" w:rsidRPr="007D2D41">
        <w:rPr>
          <w:rFonts w:ascii="Arial" w:eastAsia="Times New Roman" w:hAnsi="Arial" w:cs="Arial"/>
          <w:bCs/>
          <w:sz w:val="24"/>
          <w:szCs w:val="24"/>
          <w:lang w:val="x-none" w:eastAsia="x-none"/>
        </w:rPr>
        <w:t>2026</w:t>
      </w:r>
      <w:r w:rsidRPr="007D2D41">
        <w:rPr>
          <w:rFonts w:ascii="Arial" w:eastAsia="Times New Roman" w:hAnsi="Arial" w:cs="Arial"/>
          <w:bCs/>
          <w:sz w:val="24"/>
          <w:szCs w:val="24"/>
          <w:lang w:val="x-none" w:eastAsia="x-none"/>
        </w:rPr>
        <w:t>.</w:t>
      </w:r>
    </w:p>
    <w:p w14:paraId="75606CFA" w14:textId="70E67AF0" w:rsidR="00283138" w:rsidRPr="000F18A8" w:rsidRDefault="00502E23">
      <w:pPr>
        <w:spacing w:before="278" w:line="273" w:lineRule="exact"/>
        <w:textAlignment w:val="baseline"/>
        <w:rPr>
          <w:rFonts w:ascii="Arial" w:eastAsia="Arial" w:hAnsi="Arial"/>
          <w:b/>
          <w:color w:val="000000"/>
          <w:spacing w:val="-1"/>
          <w:sz w:val="24"/>
        </w:rPr>
      </w:pPr>
      <w:r w:rsidRPr="000F18A8">
        <w:rPr>
          <w:rFonts w:ascii="Arial" w:eastAsia="Arial" w:hAnsi="Arial"/>
          <w:b/>
          <w:color w:val="000000"/>
          <w:spacing w:val="-1"/>
          <w:sz w:val="24"/>
        </w:rPr>
        <w:t>Step One</w:t>
      </w:r>
      <w:r w:rsidR="00283138" w:rsidRPr="000F18A8">
        <w:rPr>
          <w:rFonts w:ascii="Arial" w:eastAsia="Arial" w:hAnsi="Arial"/>
          <w:b/>
          <w:color w:val="000000"/>
          <w:spacing w:val="-1"/>
          <w:sz w:val="24"/>
        </w:rPr>
        <w:t xml:space="preserve">: </w:t>
      </w:r>
      <w:r w:rsidR="00C50E08">
        <w:rPr>
          <w:rFonts w:ascii="Arial" w:eastAsia="Arial" w:hAnsi="Arial"/>
          <w:b/>
          <w:color w:val="000000"/>
          <w:sz w:val="24"/>
        </w:rPr>
        <w:t>Relative</w:t>
      </w:r>
      <w:r w:rsidR="0074035D">
        <w:rPr>
          <w:rFonts w:ascii="Arial" w:eastAsia="Arial" w:hAnsi="Arial"/>
          <w:b/>
          <w:color w:val="000000"/>
          <w:sz w:val="24"/>
        </w:rPr>
        <w:t xml:space="preserve"> Availability</w:t>
      </w:r>
    </w:p>
    <w:p w14:paraId="2E85D31D" w14:textId="676714AA" w:rsidR="00477EE0" w:rsidRPr="007D2D41" w:rsidRDefault="00477EE0" w:rsidP="007D2D41">
      <w:pPr>
        <w:spacing w:before="278" w:line="276" w:lineRule="exact"/>
        <w:jc w:val="both"/>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 xml:space="preserve">Section 26.45(c) requires the measurement of ready, </w:t>
      </w:r>
      <w:r w:rsidR="0001513A" w:rsidRPr="007D2D41">
        <w:rPr>
          <w:rFonts w:ascii="Arial" w:eastAsia="Times New Roman" w:hAnsi="Arial" w:cs="Arial"/>
          <w:bCs/>
          <w:sz w:val="24"/>
          <w:szCs w:val="24"/>
          <w:lang w:val="x-none" w:eastAsia="x-none"/>
        </w:rPr>
        <w:t>willing,</w:t>
      </w:r>
      <w:r w:rsidRPr="007D2D41">
        <w:rPr>
          <w:rFonts w:ascii="Arial" w:eastAsia="Times New Roman" w:hAnsi="Arial" w:cs="Arial"/>
          <w:bCs/>
          <w:sz w:val="24"/>
          <w:szCs w:val="24"/>
          <w:lang w:val="x-none" w:eastAsia="x-none"/>
        </w:rPr>
        <w:t xml:space="preserve"> and able </w:t>
      </w:r>
      <w:r w:rsidR="00273DFF" w:rsidRPr="007D2D41">
        <w:rPr>
          <w:rFonts w:ascii="Arial" w:eastAsia="Times New Roman" w:hAnsi="Arial" w:cs="Arial"/>
          <w:bCs/>
          <w:sz w:val="24"/>
          <w:szCs w:val="24"/>
          <w:lang w:val="x-none" w:eastAsia="x-none"/>
        </w:rPr>
        <w:t xml:space="preserve">DBE </w:t>
      </w:r>
      <w:r w:rsidRPr="007D2D41">
        <w:rPr>
          <w:rFonts w:ascii="Arial" w:eastAsia="Times New Roman" w:hAnsi="Arial" w:cs="Arial"/>
          <w:bCs/>
          <w:sz w:val="24"/>
          <w:szCs w:val="24"/>
          <w:lang w:val="x-none" w:eastAsia="x-none"/>
        </w:rPr>
        <w:t>businesses in the FDOT’s local market, using the best available evidence to derive a fair and accurate base figure</w:t>
      </w:r>
      <w:r w:rsidR="00273DFF" w:rsidRPr="007D2D41">
        <w:rPr>
          <w:rFonts w:ascii="Arial" w:eastAsia="Times New Roman" w:hAnsi="Arial" w:cs="Arial"/>
          <w:bCs/>
          <w:sz w:val="24"/>
          <w:szCs w:val="24"/>
          <w:lang w:val="x-none" w:eastAsia="x-none"/>
        </w:rPr>
        <w:t>.</w:t>
      </w:r>
      <w:r w:rsidRPr="007D2D41">
        <w:rPr>
          <w:rFonts w:ascii="Arial" w:eastAsia="Times New Roman" w:hAnsi="Arial" w:cs="Arial"/>
          <w:bCs/>
          <w:sz w:val="24"/>
          <w:szCs w:val="24"/>
          <w:lang w:val="x-none" w:eastAsia="x-none"/>
        </w:rPr>
        <w:t xml:space="preserve">  </w:t>
      </w:r>
    </w:p>
    <w:p w14:paraId="16433D54" w14:textId="489D49A2" w:rsidR="002C787C" w:rsidRPr="007D2D41" w:rsidRDefault="00477EE0" w:rsidP="007D2D41">
      <w:pPr>
        <w:spacing w:before="278" w:line="276" w:lineRule="exact"/>
        <w:jc w:val="both"/>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 xml:space="preserve">To establish this base figure, </w:t>
      </w:r>
      <w:r w:rsidR="000E27CE" w:rsidRPr="007D2D41">
        <w:rPr>
          <w:rFonts w:ascii="Arial" w:eastAsia="Times New Roman" w:hAnsi="Arial" w:cs="Arial"/>
          <w:bCs/>
          <w:sz w:val="24"/>
          <w:szCs w:val="24"/>
          <w:lang w:val="x-none" w:eastAsia="x-none"/>
        </w:rPr>
        <w:t xml:space="preserve">the </w:t>
      </w:r>
      <w:r w:rsidRPr="007D2D41">
        <w:rPr>
          <w:rFonts w:ascii="Arial" w:eastAsia="Times New Roman" w:hAnsi="Arial" w:cs="Arial"/>
          <w:bCs/>
          <w:sz w:val="24"/>
          <w:szCs w:val="24"/>
          <w:lang w:val="x-none" w:eastAsia="x-none"/>
        </w:rPr>
        <w:t>total DBE</w:t>
      </w:r>
      <w:r w:rsidR="000E27CE" w:rsidRPr="007D2D41">
        <w:rPr>
          <w:rFonts w:ascii="Arial" w:eastAsia="Times New Roman" w:hAnsi="Arial" w:cs="Arial"/>
          <w:bCs/>
          <w:sz w:val="24"/>
          <w:szCs w:val="24"/>
          <w:lang w:val="x-none" w:eastAsia="x-none"/>
        </w:rPr>
        <w:t>’s</w:t>
      </w:r>
      <w:r w:rsidRPr="007D2D41">
        <w:rPr>
          <w:rFonts w:ascii="Arial" w:eastAsia="Times New Roman" w:hAnsi="Arial" w:cs="Arial"/>
          <w:bCs/>
          <w:sz w:val="24"/>
          <w:szCs w:val="24"/>
          <w:lang w:val="x-none" w:eastAsia="x-none"/>
        </w:rPr>
        <w:t xml:space="preserve"> by NAICS code w</w:t>
      </w:r>
      <w:r w:rsidR="000E27CE" w:rsidRPr="007D2D41">
        <w:rPr>
          <w:rFonts w:ascii="Arial" w:eastAsia="Times New Roman" w:hAnsi="Arial" w:cs="Arial"/>
          <w:bCs/>
          <w:sz w:val="24"/>
          <w:szCs w:val="24"/>
          <w:lang w:val="x-none" w:eastAsia="x-none"/>
        </w:rPr>
        <w:t>ere</w:t>
      </w:r>
      <w:r w:rsidRPr="007D2D41">
        <w:rPr>
          <w:rFonts w:ascii="Arial" w:eastAsia="Times New Roman" w:hAnsi="Arial" w:cs="Arial"/>
          <w:bCs/>
          <w:sz w:val="24"/>
          <w:szCs w:val="24"/>
          <w:lang w:val="x-none" w:eastAsia="x-none"/>
        </w:rPr>
        <w:t xml:space="preserve"> collected</w:t>
      </w:r>
      <w:r w:rsidR="000E27CE" w:rsidRPr="007D2D41">
        <w:rPr>
          <w:rFonts w:ascii="Arial" w:eastAsia="Times New Roman" w:hAnsi="Arial" w:cs="Arial"/>
          <w:bCs/>
          <w:sz w:val="24"/>
          <w:szCs w:val="24"/>
          <w:lang w:val="x-none" w:eastAsia="x-none"/>
        </w:rPr>
        <w:t xml:space="preserve"> using</w:t>
      </w:r>
      <w:r w:rsidRPr="007D2D41">
        <w:rPr>
          <w:rFonts w:ascii="Arial" w:eastAsia="Times New Roman" w:hAnsi="Arial" w:cs="Arial"/>
          <w:bCs/>
          <w:sz w:val="24"/>
          <w:szCs w:val="24"/>
          <w:lang w:val="x-none" w:eastAsia="x-none"/>
        </w:rPr>
        <w:t xml:space="preserve"> </w:t>
      </w:r>
      <w:r w:rsidR="002C787C" w:rsidRPr="007D2D41">
        <w:rPr>
          <w:rFonts w:ascii="Arial" w:eastAsia="Times New Roman" w:hAnsi="Arial" w:cs="Arial"/>
          <w:bCs/>
          <w:sz w:val="24"/>
          <w:szCs w:val="24"/>
          <w:lang w:val="x-none" w:eastAsia="x-none"/>
        </w:rPr>
        <w:t>FDOT DBE Directory</w:t>
      </w:r>
      <w:r w:rsidR="002C787C" w:rsidRPr="007D2D41">
        <w:rPr>
          <w:rFonts w:eastAsia="Times New Roman" w:cs="Arial"/>
          <w:bCs/>
          <w:szCs w:val="24"/>
          <w:lang w:val="x-none" w:eastAsia="x-none"/>
        </w:rPr>
        <w:footnoteReference w:id="1"/>
      </w:r>
      <w:r w:rsidR="002C787C" w:rsidRPr="007D2D41">
        <w:rPr>
          <w:rFonts w:ascii="Arial" w:eastAsia="Times New Roman" w:hAnsi="Arial" w:cs="Arial"/>
          <w:bCs/>
          <w:sz w:val="24"/>
          <w:szCs w:val="24"/>
          <w:lang w:val="x-none" w:eastAsia="x-none"/>
        </w:rPr>
        <w:t xml:space="preserve">. These </w:t>
      </w:r>
      <w:r w:rsidR="000E27CE" w:rsidRPr="007D2D41">
        <w:rPr>
          <w:rFonts w:ascii="Arial" w:eastAsia="Times New Roman" w:hAnsi="Arial" w:cs="Arial"/>
          <w:bCs/>
          <w:sz w:val="24"/>
          <w:szCs w:val="24"/>
          <w:lang w:val="x-none" w:eastAsia="x-none"/>
        </w:rPr>
        <w:t>totals</w:t>
      </w:r>
      <w:r w:rsidR="002C787C" w:rsidRPr="007D2D41">
        <w:rPr>
          <w:rFonts w:ascii="Arial" w:eastAsia="Times New Roman" w:hAnsi="Arial" w:cs="Arial"/>
          <w:bCs/>
          <w:sz w:val="24"/>
          <w:szCs w:val="24"/>
          <w:lang w:val="x-none" w:eastAsia="x-none"/>
        </w:rPr>
        <w:t xml:space="preserve"> were then compared to the total number of businesses by NAICS code as reported in the 2020 SUS Annual Data Tables by Establishment</w:t>
      </w:r>
      <w:r w:rsidR="002C787C" w:rsidRPr="007D2D41">
        <w:rPr>
          <w:rFonts w:eastAsia="Times New Roman" w:cs="Arial"/>
          <w:bCs/>
          <w:szCs w:val="24"/>
          <w:lang w:val="x-none" w:eastAsia="x-none"/>
        </w:rPr>
        <w:footnoteReference w:id="2"/>
      </w:r>
      <w:r w:rsidR="002C787C" w:rsidRPr="007D2D41">
        <w:rPr>
          <w:rFonts w:ascii="Arial" w:eastAsia="Times New Roman" w:hAnsi="Arial" w:cs="Arial"/>
          <w:bCs/>
          <w:sz w:val="24"/>
          <w:szCs w:val="24"/>
          <w:lang w:val="x-none" w:eastAsia="x-none"/>
        </w:rPr>
        <w:t xml:space="preserve">. </w:t>
      </w:r>
      <w:r w:rsidR="000E27CE" w:rsidRPr="007D2D41">
        <w:rPr>
          <w:rFonts w:ascii="Arial" w:eastAsia="Times New Roman" w:hAnsi="Arial" w:cs="Arial"/>
          <w:bCs/>
          <w:sz w:val="24"/>
          <w:szCs w:val="24"/>
          <w:lang w:val="x-none" w:eastAsia="x-none"/>
        </w:rPr>
        <w:t xml:space="preserve">The number representing all DBEs and the number representing all firms </w:t>
      </w:r>
      <w:r w:rsidR="00273DFF" w:rsidRPr="007D2D41">
        <w:rPr>
          <w:rFonts w:ascii="Arial" w:eastAsia="Times New Roman" w:hAnsi="Arial" w:cs="Arial"/>
          <w:bCs/>
          <w:sz w:val="24"/>
          <w:szCs w:val="24"/>
          <w:lang w:val="x-none" w:eastAsia="x-none"/>
        </w:rPr>
        <w:t xml:space="preserve">(both DBE and non-DBE) </w:t>
      </w:r>
      <w:r w:rsidR="000E27CE" w:rsidRPr="007D2D41">
        <w:rPr>
          <w:rFonts w:ascii="Arial" w:eastAsia="Times New Roman" w:hAnsi="Arial" w:cs="Arial"/>
          <w:bCs/>
          <w:sz w:val="24"/>
          <w:szCs w:val="24"/>
          <w:lang w:val="x-none" w:eastAsia="x-none"/>
        </w:rPr>
        <w:t>were then used to determine the percentage of ready, willing and able “DBE firms to all firms” ratio for each NAICS code category (</w:t>
      </w:r>
      <w:r w:rsidR="000E27CE" w:rsidRPr="007D2D41">
        <w:rPr>
          <w:rFonts w:ascii="Arial" w:eastAsia="Times New Roman" w:hAnsi="Arial" w:cs="Arial"/>
          <w:bCs/>
          <w:sz w:val="24"/>
          <w:szCs w:val="24"/>
          <w:lang w:val="x-none" w:eastAsia="x-none"/>
        </w:rPr>
        <w:fldChar w:fldCharType="begin"/>
      </w:r>
      <w:r w:rsidR="000E27CE" w:rsidRPr="007D2D41">
        <w:rPr>
          <w:rFonts w:ascii="Arial" w:eastAsia="Times New Roman" w:hAnsi="Arial" w:cs="Arial"/>
          <w:bCs/>
          <w:sz w:val="24"/>
          <w:szCs w:val="24"/>
          <w:lang w:val="x-none" w:eastAsia="x-none"/>
        </w:rPr>
        <w:instrText xml:space="preserve"> REF _Ref138849036 \h </w:instrText>
      </w:r>
      <w:r w:rsidR="00BD3EC1" w:rsidRPr="007D2D41">
        <w:rPr>
          <w:rFonts w:ascii="Arial" w:eastAsia="Times New Roman" w:hAnsi="Arial" w:cs="Arial"/>
          <w:bCs/>
          <w:sz w:val="24"/>
          <w:szCs w:val="24"/>
          <w:lang w:val="x-none" w:eastAsia="x-none"/>
        </w:rPr>
        <w:instrText xml:space="preserve"> \* MERGEFORMAT </w:instrText>
      </w:r>
      <w:r w:rsidR="000E27CE" w:rsidRPr="007D2D41">
        <w:rPr>
          <w:rFonts w:ascii="Arial" w:eastAsia="Times New Roman" w:hAnsi="Arial" w:cs="Arial"/>
          <w:bCs/>
          <w:sz w:val="24"/>
          <w:szCs w:val="24"/>
          <w:lang w:val="x-none" w:eastAsia="x-none"/>
        </w:rPr>
      </w:r>
      <w:r w:rsidR="00282332">
        <w:rPr>
          <w:rFonts w:ascii="Arial" w:eastAsia="Times New Roman" w:hAnsi="Arial" w:cs="Arial"/>
          <w:bCs/>
          <w:sz w:val="24"/>
          <w:szCs w:val="24"/>
          <w:lang w:val="x-none" w:eastAsia="x-none"/>
        </w:rPr>
        <w:fldChar w:fldCharType="separate"/>
      </w:r>
      <w:r w:rsidR="000E27CE" w:rsidRPr="007D2D41">
        <w:rPr>
          <w:rFonts w:ascii="Arial" w:eastAsia="Times New Roman" w:hAnsi="Arial" w:cs="Arial"/>
          <w:bCs/>
          <w:sz w:val="24"/>
          <w:szCs w:val="24"/>
          <w:lang w:val="x-none" w:eastAsia="x-none"/>
        </w:rPr>
        <w:fldChar w:fldCharType="end"/>
      </w:r>
      <w:r w:rsidR="000E27CE" w:rsidRPr="007D2D41">
        <w:rPr>
          <w:rFonts w:ascii="Arial" w:eastAsia="Times New Roman" w:hAnsi="Arial" w:cs="Arial"/>
          <w:bCs/>
          <w:sz w:val="24"/>
          <w:szCs w:val="24"/>
          <w:lang w:val="x-none" w:eastAsia="x-none"/>
        </w:rPr>
        <w:fldChar w:fldCharType="begin"/>
      </w:r>
      <w:r w:rsidR="000E27CE" w:rsidRPr="007D2D41">
        <w:rPr>
          <w:rFonts w:ascii="Arial" w:eastAsia="Times New Roman" w:hAnsi="Arial" w:cs="Arial"/>
          <w:bCs/>
          <w:sz w:val="24"/>
          <w:szCs w:val="24"/>
          <w:lang w:val="x-none" w:eastAsia="x-none"/>
        </w:rPr>
        <w:instrText xml:space="preserve"> REF _Ref138849042 \h </w:instrText>
      </w:r>
      <w:r w:rsidR="00BD3EC1" w:rsidRPr="007D2D41">
        <w:rPr>
          <w:rFonts w:ascii="Arial" w:eastAsia="Times New Roman" w:hAnsi="Arial" w:cs="Arial"/>
          <w:bCs/>
          <w:sz w:val="24"/>
          <w:szCs w:val="24"/>
          <w:lang w:val="x-none" w:eastAsia="x-none"/>
        </w:rPr>
        <w:instrText xml:space="preserve"> \* MERGEFORMAT </w:instrText>
      </w:r>
      <w:r w:rsidR="000E27CE" w:rsidRPr="007D2D41">
        <w:rPr>
          <w:rFonts w:ascii="Arial" w:eastAsia="Times New Roman" w:hAnsi="Arial" w:cs="Arial"/>
          <w:bCs/>
          <w:sz w:val="24"/>
          <w:szCs w:val="24"/>
          <w:lang w:val="x-none" w:eastAsia="x-none"/>
        </w:rPr>
      </w:r>
      <w:r w:rsidR="000E27CE" w:rsidRPr="007D2D41">
        <w:rPr>
          <w:rFonts w:ascii="Arial" w:eastAsia="Times New Roman" w:hAnsi="Arial" w:cs="Arial"/>
          <w:bCs/>
          <w:sz w:val="24"/>
          <w:szCs w:val="24"/>
          <w:lang w:val="x-none" w:eastAsia="x-none"/>
        </w:rPr>
        <w:fldChar w:fldCharType="separate"/>
      </w:r>
      <w:r w:rsidR="000E27CE" w:rsidRPr="007D2D41">
        <w:rPr>
          <w:rFonts w:ascii="Arial" w:eastAsia="Times New Roman" w:hAnsi="Arial" w:cs="Arial"/>
          <w:bCs/>
          <w:sz w:val="24"/>
          <w:szCs w:val="24"/>
          <w:lang w:val="x-none" w:eastAsia="x-none"/>
        </w:rPr>
        <w:t>Table 1</w:t>
      </w:r>
      <w:r w:rsidR="000E27CE" w:rsidRPr="007D2D41">
        <w:rPr>
          <w:rFonts w:ascii="Arial" w:eastAsia="Times New Roman" w:hAnsi="Arial" w:cs="Arial"/>
          <w:bCs/>
          <w:sz w:val="24"/>
          <w:szCs w:val="24"/>
          <w:lang w:val="x-none" w:eastAsia="x-none"/>
        </w:rPr>
        <w:fldChar w:fldCharType="end"/>
      </w:r>
      <w:r w:rsidR="000E27CE" w:rsidRPr="007D2D41">
        <w:rPr>
          <w:rFonts w:ascii="Arial" w:eastAsia="Times New Roman" w:hAnsi="Arial" w:cs="Arial"/>
          <w:bCs/>
          <w:sz w:val="24"/>
          <w:szCs w:val="24"/>
          <w:lang w:val="x-none" w:eastAsia="x-none"/>
        </w:rPr>
        <w:t>).</w:t>
      </w:r>
    </w:p>
    <w:p w14:paraId="264B3DD8" w14:textId="77777777" w:rsidR="007D2D41" w:rsidRPr="00477EE0" w:rsidRDefault="007D2D41" w:rsidP="000E27CE">
      <w:pPr>
        <w:spacing w:before="278" w:line="273" w:lineRule="exact"/>
        <w:textAlignment w:val="baseline"/>
        <w:rPr>
          <w:rFonts w:ascii="Arial" w:eastAsia="Arial" w:hAnsi="Arial"/>
          <w:color w:val="000000"/>
          <w:sz w:val="24"/>
        </w:rPr>
      </w:pPr>
    </w:p>
    <w:p w14:paraId="1C4D911C" w14:textId="77777777" w:rsidR="000F18A8" w:rsidRDefault="000F18A8">
      <w:pPr>
        <w:spacing w:before="278" w:line="273" w:lineRule="exact"/>
        <w:textAlignment w:val="baseline"/>
        <w:rPr>
          <w:rFonts w:ascii="Arial" w:eastAsia="Arial" w:hAnsi="Arial"/>
          <w:b/>
          <w:bCs/>
          <w:color w:val="000000"/>
          <w:sz w:val="24"/>
        </w:rPr>
      </w:pPr>
    </w:p>
    <w:p w14:paraId="227F0AD6" w14:textId="77777777" w:rsidR="000F18A8" w:rsidRDefault="000F18A8">
      <w:pPr>
        <w:spacing w:before="278" w:line="273" w:lineRule="exact"/>
        <w:textAlignment w:val="baseline"/>
        <w:rPr>
          <w:rFonts w:ascii="Arial" w:eastAsia="Arial" w:hAnsi="Arial"/>
          <w:b/>
          <w:bCs/>
          <w:color w:val="000000"/>
          <w:sz w:val="24"/>
        </w:rPr>
      </w:pPr>
    </w:p>
    <w:p w14:paraId="068C560B" w14:textId="2F63502A" w:rsidR="000F18A8" w:rsidRDefault="000F18A8" w:rsidP="00626028">
      <w:pPr>
        <w:rPr>
          <w:rFonts w:ascii="Arial" w:eastAsia="Arial" w:hAnsi="Arial"/>
          <w:b/>
          <w:bCs/>
          <w:color w:val="000000"/>
          <w:sz w:val="24"/>
        </w:rPr>
      </w:pPr>
    </w:p>
    <w:p w14:paraId="7D960771" w14:textId="5DD4F345" w:rsidR="000E27CE" w:rsidRDefault="000E27CE" w:rsidP="000E27CE">
      <w:pPr>
        <w:pStyle w:val="Caption"/>
        <w:keepNext/>
      </w:pPr>
      <w:bookmarkStart w:id="0" w:name="_Ref138849042"/>
      <w:bookmarkStart w:id="1" w:name="_Ref138849036"/>
      <w:r>
        <w:lastRenderedPageBreak/>
        <w:t xml:space="preserve">Table </w:t>
      </w:r>
      <w:r w:rsidR="00282332">
        <w:fldChar w:fldCharType="begin"/>
      </w:r>
      <w:r w:rsidR="00282332">
        <w:instrText xml:space="preserve"> SEQ Table \* ARABIC </w:instrText>
      </w:r>
      <w:r w:rsidR="00282332">
        <w:fldChar w:fldCharType="separate"/>
      </w:r>
      <w:r>
        <w:rPr>
          <w:noProof/>
        </w:rPr>
        <w:t>1</w:t>
      </w:r>
      <w:r w:rsidR="00282332">
        <w:rPr>
          <w:noProof/>
        </w:rPr>
        <w:fldChar w:fldCharType="end"/>
      </w:r>
      <w:bookmarkEnd w:id="0"/>
      <w:r>
        <w:t>: Base Figure Calculations</w:t>
      </w:r>
      <w:bookmarkEnd w:id="1"/>
    </w:p>
    <w:tbl>
      <w:tblPr>
        <w:tblW w:w="10075" w:type="dxa"/>
        <w:tblLayout w:type="fixed"/>
        <w:tblLook w:val="04A0" w:firstRow="1" w:lastRow="0" w:firstColumn="1" w:lastColumn="0" w:noHBand="0" w:noVBand="1"/>
      </w:tblPr>
      <w:tblGrid>
        <w:gridCol w:w="1885"/>
        <w:gridCol w:w="900"/>
        <w:gridCol w:w="3600"/>
        <w:gridCol w:w="1230"/>
        <w:gridCol w:w="1230"/>
        <w:gridCol w:w="1230"/>
      </w:tblGrid>
      <w:tr w:rsidR="000F18A8" w:rsidRPr="00E764A7" w14:paraId="2C62EB1A" w14:textId="77777777" w:rsidTr="000F18A8">
        <w:trPr>
          <w:trHeight w:val="576"/>
        </w:trPr>
        <w:tc>
          <w:tcPr>
            <w:tcW w:w="1885"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7B406ADB" w14:textId="77777777" w:rsidR="00670ACD" w:rsidRPr="00E764A7" w:rsidRDefault="00670ACD" w:rsidP="00670ACD">
            <w:pPr>
              <w:rPr>
                <w:rFonts w:ascii="Arial" w:eastAsia="Times New Roman" w:hAnsi="Arial" w:cs="Arial"/>
                <w:b/>
                <w:bCs/>
                <w:color w:val="FFFFFF"/>
                <w:sz w:val="18"/>
                <w:szCs w:val="18"/>
              </w:rPr>
            </w:pPr>
            <w:r w:rsidRPr="00E764A7">
              <w:rPr>
                <w:rFonts w:ascii="Arial" w:eastAsia="Times New Roman" w:hAnsi="Arial" w:cs="Arial"/>
                <w:b/>
                <w:bCs/>
                <w:color w:val="FFFFFF"/>
                <w:sz w:val="18"/>
                <w:szCs w:val="18"/>
              </w:rPr>
              <w:t xml:space="preserve">Contracting Opportunity </w:t>
            </w:r>
          </w:p>
        </w:tc>
        <w:tc>
          <w:tcPr>
            <w:tcW w:w="900" w:type="dxa"/>
            <w:tcBorders>
              <w:top w:val="single" w:sz="4" w:space="0" w:color="auto"/>
              <w:left w:val="nil"/>
              <w:bottom w:val="single" w:sz="4" w:space="0" w:color="auto"/>
              <w:right w:val="single" w:sz="4" w:space="0" w:color="auto"/>
            </w:tcBorders>
            <w:shd w:val="clear" w:color="000000" w:fill="4472C4"/>
            <w:vAlign w:val="center"/>
            <w:hideMark/>
          </w:tcPr>
          <w:p w14:paraId="71504440" w14:textId="77777777" w:rsidR="00670ACD" w:rsidRPr="00E764A7" w:rsidRDefault="00670ACD" w:rsidP="00670ACD">
            <w:pPr>
              <w:rPr>
                <w:rFonts w:ascii="Arial" w:eastAsia="Times New Roman" w:hAnsi="Arial" w:cs="Arial"/>
                <w:b/>
                <w:bCs/>
                <w:color w:val="FFFFFF"/>
                <w:sz w:val="18"/>
                <w:szCs w:val="18"/>
              </w:rPr>
            </w:pPr>
            <w:r w:rsidRPr="00E764A7">
              <w:rPr>
                <w:rFonts w:ascii="Arial" w:eastAsia="Times New Roman" w:hAnsi="Arial" w:cs="Arial"/>
                <w:b/>
                <w:bCs/>
                <w:color w:val="FFFFFF"/>
                <w:sz w:val="18"/>
                <w:szCs w:val="18"/>
              </w:rPr>
              <w:t xml:space="preserve">NAICS Code </w:t>
            </w:r>
          </w:p>
        </w:tc>
        <w:tc>
          <w:tcPr>
            <w:tcW w:w="3600" w:type="dxa"/>
            <w:tcBorders>
              <w:top w:val="single" w:sz="4" w:space="0" w:color="auto"/>
              <w:left w:val="nil"/>
              <w:bottom w:val="single" w:sz="4" w:space="0" w:color="auto"/>
              <w:right w:val="single" w:sz="4" w:space="0" w:color="auto"/>
            </w:tcBorders>
            <w:shd w:val="clear" w:color="000000" w:fill="4472C4"/>
            <w:vAlign w:val="center"/>
            <w:hideMark/>
          </w:tcPr>
          <w:p w14:paraId="2F572C49" w14:textId="77777777" w:rsidR="00670ACD" w:rsidRPr="00E764A7" w:rsidRDefault="00670ACD" w:rsidP="00670ACD">
            <w:pPr>
              <w:rPr>
                <w:rFonts w:ascii="Arial" w:eastAsia="Times New Roman" w:hAnsi="Arial" w:cs="Arial"/>
                <w:b/>
                <w:bCs/>
                <w:color w:val="FFFFFF"/>
                <w:sz w:val="18"/>
                <w:szCs w:val="18"/>
              </w:rPr>
            </w:pPr>
            <w:r w:rsidRPr="00E764A7">
              <w:rPr>
                <w:rFonts w:ascii="Arial" w:eastAsia="Times New Roman" w:hAnsi="Arial" w:cs="Arial"/>
                <w:b/>
                <w:bCs/>
                <w:color w:val="FFFFFF"/>
                <w:sz w:val="18"/>
                <w:szCs w:val="18"/>
              </w:rPr>
              <w:t xml:space="preserve">NAICS Description </w:t>
            </w:r>
          </w:p>
        </w:tc>
        <w:tc>
          <w:tcPr>
            <w:tcW w:w="1230" w:type="dxa"/>
            <w:tcBorders>
              <w:top w:val="single" w:sz="4" w:space="0" w:color="auto"/>
              <w:left w:val="nil"/>
              <w:bottom w:val="single" w:sz="4" w:space="0" w:color="auto"/>
              <w:right w:val="single" w:sz="4" w:space="0" w:color="auto"/>
            </w:tcBorders>
            <w:shd w:val="clear" w:color="000000" w:fill="4472C4"/>
            <w:vAlign w:val="center"/>
            <w:hideMark/>
          </w:tcPr>
          <w:p w14:paraId="3E4AA8B0" w14:textId="77777777" w:rsidR="00670ACD" w:rsidRPr="00E764A7" w:rsidRDefault="00670ACD" w:rsidP="00670ACD">
            <w:pPr>
              <w:rPr>
                <w:rFonts w:ascii="Arial" w:eastAsia="Times New Roman" w:hAnsi="Arial" w:cs="Arial"/>
                <w:b/>
                <w:bCs/>
                <w:color w:val="FFFFFF"/>
                <w:sz w:val="18"/>
                <w:szCs w:val="18"/>
              </w:rPr>
            </w:pPr>
            <w:r w:rsidRPr="00E764A7">
              <w:rPr>
                <w:rFonts w:ascii="Arial" w:eastAsia="Times New Roman" w:hAnsi="Arial" w:cs="Arial"/>
                <w:b/>
                <w:bCs/>
                <w:color w:val="FFFFFF"/>
                <w:sz w:val="18"/>
                <w:szCs w:val="18"/>
              </w:rPr>
              <w:t># of DBE's</w:t>
            </w:r>
          </w:p>
        </w:tc>
        <w:tc>
          <w:tcPr>
            <w:tcW w:w="1230" w:type="dxa"/>
            <w:tcBorders>
              <w:top w:val="single" w:sz="4" w:space="0" w:color="auto"/>
              <w:left w:val="nil"/>
              <w:bottom w:val="single" w:sz="4" w:space="0" w:color="auto"/>
              <w:right w:val="single" w:sz="4" w:space="0" w:color="auto"/>
            </w:tcBorders>
            <w:shd w:val="clear" w:color="000000" w:fill="4472C4"/>
            <w:vAlign w:val="center"/>
            <w:hideMark/>
          </w:tcPr>
          <w:p w14:paraId="51363C4E" w14:textId="77777777" w:rsidR="00670ACD" w:rsidRPr="00E764A7" w:rsidRDefault="00670ACD" w:rsidP="00670ACD">
            <w:pPr>
              <w:rPr>
                <w:rFonts w:ascii="Arial" w:eastAsia="Times New Roman" w:hAnsi="Arial" w:cs="Arial"/>
                <w:b/>
                <w:bCs/>
                <w:color w:val="FFFFFF"/>
                <w:sz w:val="18"/>
                <w:szCs w:val="18"/>
              </w:rPr>
            </w:pPr>
            <w:r w:rsidRPr="00E764A7">
              <w:rPr>
                <w:rFonts w:ascii="Arial" w:eastAsia="Times New Roman" w:hAnsi="Arial" w:cs="Arial"/>
                <w:b/>
                <w:bCs/>
                <w:color w:val="FFFFFF"/>
                <w:sz w:val="18"/>
                <w:szCs w:val="18"/>
              </w:rPr>
              <w:t xml:space="preserve">Total Firms </w:t>
            </w:r>
          </w:p>
        </w:tc>
        <w:tc>
          <w:tcPr>
            <w:tcW w:w="1230" w:type="dxa"/>
            <w:tcBorders>
              <w:top w:val="single" w:sz="4" w:space="0" w:color="auto"/>
              <w:left w:val="nil"/>
              <w:bottom w:val="single" w:sz="4" w:space="0" w:color="auto"/>
              <w:right w:val="single" w:sz="4" w:space="0" w:color="auto"/>
            </w:tcBorders>
            <w:shd w:val="clear" w:color="000000" w:fill="4472C4"/>
            <w:vAlign w:val="center"/>
            <w:hideMark/>
          </w:tcPr>
          <w:p w14:paraId="28B46A68" w14:textId="7E21CE4C" w:rsidR="00670ACD" w:rsidRPr="00E764A7" w:rsidRDefault="00670ACD" w:rsidP="00670ACD">
            <w:pPr>
              <w:rPr>
                <w:rFonts w:ascii="Arial" w:eastAsia="Times New Roman" w:hAnsi="Arial" w:cs="Arial"/>
                <w:b/>
                <w:bCs/>
                <w:color w:val="FFFFFF"/>
                <w:sz w:val="18"/>
                <w:szCs w:val="18"/>
              </w:rPr>
            </w:pPr>
            <w:r w:rsidRPr="00E764A7">
              <w:rPr>
                <w:rFonts w:ascii="Arial" w:eastAsia="Times New Roman" w:hAnsi="Arial" w:cs="Arial"/>
                <w:b/>
                <w:bCs/>
                <w:color w:val="FFFFFF"/>
                <w:sz w:val="18"/>
                <w:szCs w:val="18"/>
              </w:rPr>
              <w:t xml:space="preserve">Availability </w:t>
            </w:r>
          </w:p>
        </w:tc>
      </w:tr>
      <w:tr w:rsidR="000F18A8" w:rsidRPr="00E764A7" w14:paraId="4ACA4C23"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69E21DAF" w14:textId="148F1E74"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Advertising</w:t>
            </w:r>
            <w:r w:rsidR="000F18A8" w:rsidRPr="00E764A7">
              <w:rPr>
                <w:rFonts w:ascii="Arial" w:eastAsia="Times New Roman" w:hAnsi="Arial" w:cs="Arial"/>
                <w:b/>
                <w:bCs/>
                <w:color w:val="000000"/>
                <w:sz w:val="18"/>
                <w:szCs w:val="18"/>
              </w:rPr>
              <w:t xml:space="preserve">/ </w:t>
            </w:r>
            <w:r w:rsidRPr="00E764A7">
              <w:rPr>
                <w:rFonts w:ascii="Arial" w:eastAsia="Times New Roman" w:hAnsi="Arial" w:cs="Arial"/>
                <w:b/>
                <w:bCs/>
                <w:color w:val="000000"/>
                <w:sz w:val="18"/>
                <w:szCs w:val="18"/>
              </w:rPr>
              <w:t xml:space="preserve">Marketing </w:t>
            </w:r>
          </w:p>
        </w:tc>
        <w:tc>
          <w:tcPr>
            <w:tcW w:w="900" w:type="dxa"/>
            <w:tcBorders>
              <w:top w:val="nil"/>
              <w:left w:val="nil"/>
              <w:bottom w:val="single" w:sz="4" w:space="0" w:color="auto"/>
              <w:right w:val="single" w:sz="4" w:space="0" w:color="auto"/>
            </w:tcBorders>
            <w:shd w:val="clear" w:color="000000" w:fill="D9E2F3"/>
            <w:vAlign w:val="center"/>
            <w:hideMark/>
          </w:tcPr>
          <w:p w14:paraId="2299A93A"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541810</w:t>
            </w:r>
          </w:p>
        </w:tc>
        <w:tc>
          <w:tcPr>
            <w:tcW w:w="3600" w:type="dxa"/>
            <w:tcBorders>
              <w:top w:val="nil"/>
              <w:left w:val="nil"/>
              <w:bottom w:val="single" w:sz="4" w:space="0" w:color="auto"/>
              <w:right w:val="single" w:sz="4" w:space="0" w:color="auto"/>
            </w:tcBorders>
            <w:shd w:val="clear" w:color="000000" w:fill="D9E2F3"/>
            <w:vAlign w:val="center"/>
            <w:hideMark/>
          </w:tcPr>
          <w:p w14:paraId="7BFDEA10"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Advertising Agencies</w:t>
            </w:r>
          </w:p>
        </w:tc>
        <w:tc>
          <w:tcPr>
            <w:tcW w:w="1230" w:type="dxa"/>
            <w:tcBorders>
              <w:top w:val="nil"/>
              <w:left w:val="nil"/>
              <w:bottom w:val="single" w:sz="4" w:space="0" w:color="auto"/>
              <w:right w:val="single" w:sz="4" w:space="0" w:color="auto"/>
            </w:tcBorders>
            <w:shd w:val="clear" w:color="000000" w:fill="D9E2F3"/>
            <w:vAlign w:val="center"/>
            <w:hideMark/>
          </w:tcPr>
          <w:p w14:paraId="57095967"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47</w:t>
            </w:r>
          </w:p>
        </w:tc>
        <w:tc>
          <w:tcPr>
            <w:tcW w:w="1230" w:type="dxa"/>
            <w:tcBorders>
              <w:top w:val="nil"/>
              <w:left w:val="nil"/>
              <w:bottom w:val="single" w:sz="4" w:space="0" w:color="auto"/>
              <w:right w:val="single" w:sz="4" w:space="0" w:color="auto"/>
            </w:tcBorders>
            <w:shd w:val="clear" w:color="000000" w:fill="D9E2F3"/>
            <w:vAlign w:val="center"/>
            <w:hideMark/>
          </w:tcPr>
          <w:p w14:paraId="1CB7AC59" w14:textId="4D9D367D"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125</w:t>
            </w:r>
          </w:p>
        </w:tc>
        <w:tc>
          <w:tcPr>
            <w:tcW w:w="1230" w:type="dxa"/>
            <w:tcBorders>
              <w:top w:val="nil"/>
              <w:left w:val="nil"/>
              <w:bottom w:val="single" w:sz="4" w:space="0" w:color="auto"/>
              <w:right w:val="single" w:sz="4" w:space="0" w:color="auto"/>
            </w:tcBorders>
            <w:shd w:val="clear" w:color="000000" w:fill="D9E2F3"/>
            <w:vAlign w:val="center"/>
            <w:hideMark/>
          </w:tcPr>
          <w:p w14:paraId="4D5B8356"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3F7DF448"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4DD7C902"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6A4739F3"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541850</w:t>
            </w:r>
          </w:p>
        </w:tc>
        <w:tc>
          <w:tcPr>
            <w:tcW w:w="3600" w:type="dxa"/>
            <w:tcBorders>
              <w:top w:val="nil"/>
              <w:left w:val="nil"/>
              <w:bottom w:val="single" w:sz="4" w:space="0" w:color="auto"/>
              <w:right w:val="single" w:sz="4" w:space="0" w:color="auto"/>
            </w:tcBorders>
            <w:shd w:val="clear" w:color="000000" w:fill="D9E2F3"/>
            <w:vAlign w:val="center"/>
            <w:hideMark/>
          </w:tcPr>
          <w:p w14:paraId="49871284"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xml:space="preserve">Outdoor Advertising </w:t>
            </w:r>
          </w:p>
        </w:tc>
        <w:tc>
          <w:tcPr>
            <w:tcW w:w="1230" w:type="dxa"/>
            <w:tcBorders>
              <w:top w:val="nil"/>
              <w:left w:val="nil"/>
              <w:bottom w:val="single" w:sz="4" w:space="0" w:color="auto"/>
              <w:right w:val="single" w:sz="4" w:space="0" w:color="auto"/>
            </w:tcBorders>
            <w:shd w:val="clear" w:color="000000" w:fill="D9E2F3"/>
            <w:vAlign w:val="center"/>
            <w:hideMark/>
          </w:tcPr>
          <w:p w14:paraId="5DDE39BA"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19</w:t>
            </w:r>
          </w:p>
        </w:tc>
        <w:tc>
          <w:tcPr>
            <w:tcW w:w="1230" w:type="dxa"/>
            <w:tcBorders>
              <w:top w:val="nil"/>
              <w:left w:val="nil"/>
              <w:bottom w:val="single" w:sz="4" w:space="0" w:color="auto"/>
              <w:right w:val="single" w:sz="4" w:space="0" w:color="auto"/>
            </w:tcBorders>
            <w:shd w:val="clear" w:color="000000" w:fill="D9E2F3"/>
            <w:vAlign w:val="center"/>
            <w:hideMark/>
          </w:tcPr>
          <w:p w14:paraId="3159845D"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175</w:t>
            </w:r>
          </w:p>
        </w:tc>
        <w:tc>
          <w:tcPr>
            <w:tcW w:w="1230" w:type="dxa"/>
            <w:tcBorders>
              <w:top w:val="nil"/>
              <w:left w:val="nil"/>
              <w:bottom w:val="single" w:sz="4" w:space="0" w:color="auto"/>
              <w:right w:val="single" w:sz="4" w:space="0" w:color="auto"/>
            </w:tcBorders>
            <w:shd w:val="clear" w:color="000000" w:fill="D9E2F3"/>
            <w:vAlign w:val="center"/>
            <w:hideMark/>
          </w:tcPr>
          <w:p w14:paraId="5237BDEC"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0A6EE63A" w14:textId="77777777" w:rsidTr="00557876">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06551EA7"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D9E2F3" w:themeFill="accent1" w:themeFillTint="33"/>
            <w:vAlign w:val="center"/>
          </w:tcPr>
          <w:p w14:paraId="0A859E93" w14:textId="77777777" w:rsidR="004D171D" w:rsidRPr="00E764A7" w:rsidRDefault="004D171D" w:rsidP="004D171D">
            <w:pPr>
              <w:jc w:val="right"/>
              <w:rPr>
                <w:rFonts w:ascii="Arial" w:eastAsia="Arial"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D9E2F3" w:themeFill="accent1" w:themeFillTint="33"/>
            <w:vAlign w:val="center"/>
          </w:tcPr>
          <w:p w14:paraId="43211FD4" w14:textId="77777777" w:rsidR="004D171D" w:rsidRPr="00E764A7" w:rsidRDefault="004D171D" w:rsidP="004D171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D9E2F3" w:themeFill="accent1" w:themeFillTint="33"/>
          </w:tcPr>
          <w:p w14:paraId="68CEEB38" w14:textId="1F64F28D"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66</w:t>
            </w:r>
          </w:p>
        </w:tc>
        <w:tc>
          <w:tcPr>
            <w:tcW w:w="123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6522B010" w14:textId="6D16224B"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CD5782">
              <w:rPr>
                <w:rFonts w:ascii="Arial" w:eastAsia="Times New Roman" w:hAnsi="Arial" w:cs="Arial"/>
                <w:color w:val="000000"/>
                <w:sz w:val="18"/>
                <w:szCs w:val="18"/>
              </w:rPr>
              <w:t>,</w:t>
            </w:r>
            <w:r w:rsidRPr="00E764A7">
              <w:rPr>
                <w:rFonts w:ascii="Arial" w:eastAsia="Times New Roman" w:hAnsi="Arial" w:cs="Arial"/>
                <w:color w:val="000000"/>
                <w:sz w:val="18"/>
                <w:szCs w:val="18"/>
              </w:rPr>
              <w:t>300</w:t>
            </w:r>
          </w:p>
        </w:tc>
        <w:tc>
          <w:tcPr>
            <w:tcW w:w="1230" w:type="dxa"/>
            <w:tcBorders>
              <w:top w:val="nil"/>
              <w:left w:val="single" w:sz="4" w:space="0" w:color="auto"/>
              <w:bottom w:val="single" w:sz="4" w:space="0" w:color="auto"/>
              <w:right w:val="single" w:sz="4" w:space="0" w:color="auto"/>
            </w:tcBorders>
            <w:shd w:val="clear" w:color="auto" w:fill="D9E2F3" w:themeFill="accent1" w:themeFillTint="33"/>
          </w:tcPr>
          <w:p w14:paraId="7EC94527" w14:textId="522904FA"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0.05076</w:t>
            </w:r>
          </w:p>
        </w:tc>
      </w:tr>
      <w:tr w:rsidR="000F18A8" w:rsidRPr="00E764A7" w14:paraId="592B9D3D" w14:textId="77777777" w:rsidTr="000F18A8">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11370F"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xml:space="preserve">Building Maintenance </w:t>
            </w:r>
          </w:p>
        </w:tc>
        <w:tc>
          <w:tcPr>
            <w:tcW w:w="900" w:type="dxa"/>
            <w:tcBorders>
              <w:top w:val="nil"/>
              <w:left w:val="nil"/>
              <w:bottom w:val="single" w:sz="4" w:space="0" w:color="auto"/>
              <w:right w:val="single" w:sz="4" w:space="0" w:color="auto"/>
            </w:tcBorders>
            <w:shd w:val="clear" w:color="auto" w:fill="auto"/>
            <w:vAlign w:val="center"/>
            <w:hideMark/>
          </w:tcPr>
          <w:p w14:paraId="557A3089"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561720</w:t>
            </w:r>
          </w:p>
        </w:tc>
        <w:tc>
          <w:tcPr>
            <w:tcW w:w="3600" w:type="dxa"/>
            <w:tcBorders>
              <w:top w:val="nil"/>
              <w:left w:val="nil"/>
              <w:bottom w:val="single" w:sz="4" w:space="0" w:color="auto"/>
              <w:right w:val="single" w:sz="4" w:space="0" w:color="auto"/>
            </w:tcBorders>
            <w:shd w:val="clear" w:color="auto" w:fill="auto"/>
            <w:vAlign w:val="center"/>
            <w:hideMark/>
          </w:tcPr>
          <w:p w14:paraId="4BA4DBCC"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Janitorial Services </w:t>
            </w:r>
          </w:p>
        </w:tc>
        <w:tc>
          <w:tcPr>
            <w:tcW w:w="1230" w:type="dxa"/>
            <w:tcBorders>
              <w:top w:val="nil"/>
              <w:left w:val="nil"/>
              <w:bottom w:val="single" w:sz="4" w:space="0" w:color="auto"/>
              <w:right w:val="single" w:sz="4" w:space="0" w:color="auto"/>
            </w:tcBorders>
            <w:shd w:val="clear" w:color="auto" w:fill="auto"/>
            <w:vAlign w:val="center"/>
            <w:hideMark/>
          </w:tcPr>
          <w:p w14:paraId="0E910DC2"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197</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8D7C"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6,074</w:t>
            </w:r>
          </w:p>
        </w:tc>
        <w:tc>
          <w:tcPr>
            <w:tcW w:w="1230" w:type="dxa"/>
            <w:tcBorders>
              <w:top w:val="nil"/>
              <w:left w:val="single" w:sz="4" w:space="0" w:color="auto"/>
              <w:bottom w:val="single" w:sz="4" w:space="0" w:color="auto"/>
              <w:right w:val="single" w:sz="4" w:space="0" w:color="auto"/>
            </w:tcBorders>
            <w:shd w:val="clear" w:color="auto" w:fill="auto"/>
            <w:vAlign w:val="center"/>
            <w:hideMark/>
          </w:tcPr>
          <w:p w14:paraId="6845CF39"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1F8FFD6B" w14:textId="77777777" w:rsidTr="000F18A8">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3C1DB3"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124C557D"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561730</w:t>
            </w:r>
          </w:p>
        </w:tc>
        <w:tc>
          <w:tcPr>
            <w:tcW w:w="3600" w:type="dxa"/>
            <w:tcBorders>
              <w:top w:val="nil"/>
              <w:left w:val="nil"/>
              <w:bottom w:val="single" w:sz="4" w:space="0" w:color="auto"/>
              <w:right w:val="single" w:sz="4" w:space="0" w:color="auto"/>
            </w:tcBorders>
            <w:shd w:val="clear" w:color="auto" w:fill="auto"/>
            <w:vAlign w:val="center"/>
            <w:hideMark/>
          </w:tcPr>
          <w:p w14:paraId="157860D3"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Landscaping </w:t>
            </w:r>
          </w:p>
        </w:tc>
        <w:tc>
          <w:tcPr>
            <w:tcW w:w="1230" w:type="dxa"/>
            <w:tcBorders>
              <w:top w:val="nil"/>
              <w:left w:val="nil"/>
              <w:bottom w:val="single" w:sz="4" w:space="0" w:color="auto"/>
              <w:right w:val="single" w:sz="4" w:space="0" w:color="auto"/>
            </w:tcBorders>
            <w:shd w:val="clear" w:color="auto" w:fill="auto"/>
            <w:vAlign w:val="center"/>
            <w:hideMark/>
          </w:tcPr>
          <w:p w14:paraId="46272BE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199</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7CC5864"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9,626</w:t>
            </w:r>
          </w:p>
        </w:tc>
        <w:tc>
          <w:tcPr>
            <w:tcW w:w="1230" w:type="dxa"/>
            <w:tcBorders>
              <w:top w:val="nil"/>
              <w:left w:val="nil"/>
              <w:bottom w:val="single" w:sz="4" w:space="0" w:color="auto"/>
              <w:right w:val="single" w:sz="4" w:space="0" w:color="auto"/>
            </w:tcBorders>
            <w:shd w:val="clear" w:color="auto" w:fill="auto"/>
            <w:vAlign w:val="center"/>
            <w:hideMark/>
          </w:tcPr>
          <w:p w14:paraId="2567F0DC"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02DF293C" w14:textId="77777777" w:rsidTr="000F18A8">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F9AF03"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12BBE853"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561790</w:t>
            </w:r>
          </w:p>
        </w:tc>
        <w:tc>
          <w:tcPr>
            <w:tcW w:w="3600" w:type="dxa"/>
            <w:tcBorders>
              <w:top w:val="nil"/>
              <w:left w:val="nil"/>
              <w:bottom w:val="single" w:sz="4" w:space="0" w:color="auto"/>
              <w:right w:val="single" w:sz="4" w:space="0" w:color="auto"/>
            </w:tcBorders>
            <w:shd w:val="clear" w:color="auto" w:fill="auto"/>
            <w:vAlign w:val="center"/>
            <w:hideMark/>
          </w:tcPr>
          <w:p w14:paraId="4DCC70B9" w14:textId="7FA2EE8B"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Services to Buildings and Dwellings </w:t>
            </w:r>
          </w:p>
        </w:tc>
        <w:tc>
          <w:tcPr>
            <w:tcW w:w="1230" w:type="dxa"/>
            <w:tcBorders>
              <w:top w:val="nil"/>
              <w:left w:val="nil"/>
              <w:bottom w:val="single" w:sz="4" w:space="0" w:color="auto"/>
              <w:right w:val="single" w:sz="4" w:space="0" w:color="auto"/>
            </w:tcBorders>
            <w:shd w:val="clear" w:color="auto" w:fill="auto"/>
            <w:vAlign w:val="center"/>
            <w:hideMark/>
          </w:tcPr>
          <w:p w14:paraId="370D485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51</w:t>
            </w:r>
          </w:p>
        </w:tc>
        <w:tc>
          <w:tcPr>
            <w:tcW w:w="1230" w:type="dxa"/>
            <w:tcBorders>
              <w:top w:val="nil"/>
              <w:left w:val="nil"/>
              <w:bottom w:val="single" w:sz="4" w:space="0" w:color="auto"/>
              <w:right w:val="single" w:sz="4" w:space="0" w:color="auto"/>
            </w:tcBorders>
            <w:shd w:val="clear" w:color="auto" w:fill="auto"/>
            <w:vAlign w:val="center"/>
            <w:hideMark/>
          </w:tcPr>
          <w:p w14:paraId="139E0BDA"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2,754</w:t>
            </w:r>
          </w:p>
        </w:tc>
        <w:tc>
          <w:tcPr>
            <w:tcW w:w="1230" w:type="dxa"/>
            <w:tcBorders>
              <w:top w:val="nil"/>
              <w:left w:val="nil"/>
              <w:bottom w:val="single" w:sz="4" w:space="0" w:color="auto"/>
              <w:right w:val="single" w:sz="4" w:space="0" w:color="auto"/>
            </w:tcBorders>
            <w:shd w:val="clear" w:color="auto" w:fill="auto"/>
            <w:vAlign w:val="center"/>
            <w:hideMark/>
          </w:tcPr>
          <w:p w14:paraId="31396B89"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51E96812" w14:textId="77777777" w:rsidTr="00D33CA6">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tcPr>
          <w:p w14:paraId="0012E475"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FFFFFF" w:themeFill="background1"/>
            <w:vAlign w:val="center"/>
          </w:tcPr>
          <w:p w14:paraId="6FD31479" w14:textId="77777777" w:rsidR="004D171D" w:rsidRPr="00E764A7" w:rsidRDefault="004D171D" w:rsidP="004D171D">
            <w:pPr>
              <w:jc w:val="right"/>
              <w:rPr>
                <w:rFonts w:ascii="Arial" w:eastAsia="Arial"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FFFFFF" w:themeFill="background1"/>
            <w:vAlign w:val="center"/>
          </w:tcPr>
          <w:p w14:paraId="0FC55A1A" w14:textId="77777777" w:rsidR="004D171D" w:rsidRPr="00E764A7" w:rsidRDefault="004D171D" w:rsidP="004D171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FFFFFF" w:themeFill="background1"/>
          </w:tcPr>
          <w:p w14:paraId="211E472D" w14:textId="7D579E8A"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447</w:t>
            </w:r>
          </w:p>
        </w:tc>
        <w:tc>
          <w:tcPr>
            <w:tcW w:w="1230" w:type="dxa"/>
            <w:tcBorders>
              <w:top w:val="nil"/>
              <w:left w:val="nil"/>
              <w:bottom w:val="single" w:sz="4" w:space="0" w:color="auto"/>
              <w:right w:val="single" w:sz="4" w:space="0" w:color="auto"/>
            </w:tcBorders>
            <w:shd w:val="clear" w:color="auto" w:fill="FFFFFF" w:themeFill="background1"/>
          </w:tcPr>
          <w:p w14:paraId="219D57E0" w14:textId="052E882B"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18</w:t>
            </w:r>
            <w:r w:rsidR="00CD5782">
              <w:rPr>
                <w:rFonts w:ascii="Arial" w:eastAsia="Times New Roman" w:hAnsi="Arial" w:cs="Arial"/>
                <w:color w:val="000000"/>
                <w:sz w:val="18"/>
                <w:szCs w:val="18"/>
              </w:rPr>
              <w:t>,</w:t>
            </w:r>
            <w:r w:rsidRPr="00E764A7">
              <w:rPr>
                <w:rFonts w:ascii="Arial" w:eastAsia="Times New Roman" w:hAnsi="Arial" w:cs="Arial"/>
                <w:color w:val="000000"/>
                <w:sz w:val="18"/>
                <w:szCs w:val="18"/>
              </w:rPr>
              <w:t>454</w:t>
            </w:r>
          </w:p>
        </w:tc>
        <w:tc>
          <w:tcPr>
            <w:tcW w:w="1230" w:type="dxa"/>
            <w:tcBorders>
              <w:top w:val="nil"/>
              <w:left w:val="nil"/>
              <w:bottom w:val="single" w:sz="4" w:space="0" w:color="auto"/>
              <w:right w:val="single" w:sz="4" w:space="0" w:color="auto"/>
            </w:tcBorders>
            <w:shd w:val="clear" w:color="auto" w:fill="FFFFFF" w:themeFill="background1"/>
          </w:tcPr>
          <w:p w14:paraId="2C40EDA4" w14:textId="26733E9B"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0.02422</w:t>
            </w:r>
          </w:p>
        </w:tc>
      </w:tr>
      <w:tr w:rsidR="000F18A8" w:rsidRPr="00E764A7" w14:paraId="3CF8247A"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463D9AB1"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xml:space="preserve">Construction </w:t>
            </w:r>
          </w:p>
        </w:tc>
        <w:tc>
          <w:tcPr>
            <w:tcW w:w="900" w:type="dxa"/>
            <w:tcBorders>
              <w:top w:val="nil"/>
              <w:left w:val="nil"/>
              <w:bottom w:val="single" w:sz="4" w:space="0" w:color="auto"/>
              <w:right w:val="single" w:sz="4" w:space="0" w:color="auto"/>
            </w:tcBorders>
            <w:shd w:val="clear" w:color="000000" w:fill="D9E2F3"/>
            <w:vAlign w:val="center"/>
            <w:hideMark/>
          </w:tcPr>
          <w:p w14:paraId="44646579"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236220</w:t>
            </w:r>
          </w:p>
        </w:tc>
        <w:tc>
          <w:tcPr>
            <w:tcW w:w="3600" w:type="dxa"/>
            <w:tcBorders>
              <w:top w:val="nil"/>
              <w:left w:val="nil"/>
              <w:bottom w:val="single" w:sz="4" w:space="0" w:color="auto"/>
              <w:right w:val="single" w:sz="4" w:space="0" w:color="auto"/>
            </w:tcBorders>
            <w:shd w:val="clear" w:color="000000" w:fill="D9E2F3"/>
            <w:vAlign w:val="center"/>
            <w:hideMark/>
          </w:tcPr>
          <w:p w14:paraId="5A95B663"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Commercial and Institutional Building Construction</w:t>
            </w:r>
          </w:p>
        </w:tc>
        <w:tc>
          <w:tcPr>
            <w:tcW w:w="1230" w:type="dxa"/>
            <w:tcBorders>
              <w:top w:val="nil"/>
              <w:left w:val="nil"/>
              <w:bottom w:val="single" w:sz="4" w:space="0" w:color="auto"/>
              <w:right w:val="single" w:sz="4" w:space="0" w:color="auto"/>
            </w:tcBorders>
            <w:shd w:val="clear" w:color="000000" w:fill="D9E2F3"/>
            <w:vAlign w:val="center"/>
            <w:hideMark/>
          </w:tcPr>
          <w:p w14:paraId="3C82CF3A"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411</w:t>
            </w:r>
          </w:p>
        </w:tc>
        <w:tc>
          <w:tcPr>
            <w:tcW w:w="1230" w:type="dxa"/>
            <w:tcBorders>
              <w:top w:val="nil"/>
              <w:left w:val="nil"/>
              <w:bottom w:val="single" w:sz="4" w:space="0" w:color="auto"/>
              <w:right w:val="single" w:sz="4" w:space="0" w:color="auto"/>
            </w:tcBorders>
            <w:shd w:val="clear" w:color="000000" w:fill="D9E2F3"/>
            <w:vAlign w:val="center"/>
            <w:hideMark/>
          </w:tcPr>
          <w:p w14:paraId="0154C70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2,656</w:t>
            </w:r>
          </w:p>
        </w:tc>
        <w:tc>
          <w:tcPr>
            <w:tcW w:w="1230" w:type="dxa"/>
            <w:tcBorders>
              <w:top w:val="nil"/>
              <w:left w:val="nil"/>
              <w:bottom w:val="single" w:sz="4" w:space="0" w:color="auto"/>
              <w:right w:val="single" w:sz="4" w:space="0" w:color="auto"/>
            </w:tcBorders>
            <w:shd w:val="clear" w:color="000000" w:fill="D9E2F3"/>
            <w:vAlign w:val="center"/>
            <w:hideMark/>
          </w:tcPr>
          <w:p w14:paraId="2C65158A"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1BF2EC23"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169C3D65"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02EBF80E"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237110</w:t>
            </w:r>
          </w:p>
        </w:tc>
        <w:tc>
          <w:tcPr>
            <w:tcW w:w="3600" w:type="dxa"/>
            <w:tcBorders>
              <w:top w:val="nil"/>
              <w:left w:val="nil"/>
              <w:bottom w:val="single" w:sz="4" w:space="0" w:color="auto"/>
              <w:right w:val="single" w:sz="4" w:space="0" w:color="auto"/>
            </w:tcBorders>
            <w:shd w:val="clear" w:color="000000" w:fill="D9E2F3"/>
            <w:vAlign w:val="center"/>
            <w:hideMark/>
          </w:tcPr>
          <w:p w14:paraId="3197D295"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Water and Sewer Line and Related Structures Construction</w:t>
            </w:r>
          </w:p>
        </w:tc>
        <w:tc>
          <w:tcPr>
            <w:tcW w:w="1230" w:type="dxa"/>
            <w:tcBorders>
              <w:top w:val="nil"/>
              <w:left w:val="nil"/>
              <w:bottom w:val="single" w:sz="4" w:space="0" w:color="auto"/>
              <w:right w:val="single" w:sz="4" w:space="0" w:color="auto"/>
            </w:tcBorders>
            <w:shd w:val="clear" w:color="000000" w:fill="D9E2F3"/>
            <w:vAlign w:val="center"/>
            <w:hideMark/>
          </w:tcPr>
          <w:p w14:paraId="28765907"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178</w:t>
            </w:r>
          </w:p>
        </w:tc>
        <w:tc>
          <w:tcPr>
            <w:tcW w:w="1230" w:type="dxa"/>
            <w:tcBorders>
              <w:top w:val="nil"/>
              <w:left w:val="nil"/>
              <w:bottom w:val="single" w:sz="4" w:space="0" w:color="auto"/>
              <w:right w:val="single" w:sz="4" w:space="0" w:color="auto"/>
            </w:tcBorders>
            <w:shd w:val="clear" w:color="000000" w:fill="D9E2F3"/>
            <w:vAlign w:val="center"/>
            <w:hideMark/>
          </w:tcPr>
          <w:p w14:paraId="5F42232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715</w:t>
            </w:r>
          </w:p>
        </w:tc>
        <w:tc>
          <w:tcPr>
            <w:tcW w:w="1230" w:type="dxa"/>
            <w:tcBorders>
              <w:top w:val="nil"/>
              <w:left w:val="nil"/>
              <w:bottom w:val="single" w:sz="4" w:space="0" w:color="auto"/>
              <w:right w:val="single" w:sz="4" w:space="0" w:color="auto"/>
            </w:tcBorders>
            <w:shd w:val="clear" w:color="000000" w:fill="D9E2F3"/>
            <w:vAlign w:val="center"/>
            <w:hideMark/>
          </w:tcPr>
          <w:p w14:paraId="074C7A0D"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326C95EA"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5159C305"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7B9B7B84"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237120</w:t>
            </w:r>
          </w:p>
        </w:tc>
        <w:tc>
          <w:tcPr>
            <w:tcW w:w="3600" w:type="dxa"/>
            <w:tcBorders>
              <w:top w:val="nil"/>
              <w:left w:val="nil"/>
              <w:bottom w:val="single" w:sz="4" w:space="0" w:color="auto"/>
              <w:right w:val="single" w:sz="4" w:space="0" w:color="auto"/>
            </w:tcBorders>
            <w:shd w:val="clear" w:color="000000" w:fill="D9E2F3"/>
            <w:vAlign w:val="center"/>
            <w:hideMark/>
          </w:tcPr>
          <w:p w14:paraId="16DE7BF4"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Oil and Gas Pipeline Construction</w:t>
            </w:r>
          </w:p>
        </w:tc>
        <w:tc>
          <w:tcPr>
            <w:tcW w:w="1230" w:type="dxa"/>
            <w:tcBorders>
              <w:top w:val="nil"/>
              <w:left w:val="nil"/>
              <w:bottom w:val="single" w:sz="4" w:space="0" w:color="auto"/>
              <w:right w:val="single" w:sz="4" w:space="0" w:color="auto"/>
            </w:tcBorders>
            <w:shd w:val="clear" w:color="000000" w:fill="D9E2F3"/>
            <w:vAlign w:val="center"/>
            <w:hideMark/>
          </w:tcPr>
          <w:p w14:paraId="70460300"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20</w:t>
            </w:r>
          </w:p>
        </w:tc>
        <w:tc>
          <w:tcPr>
            <w:tcW w:w="1230" w:type="dxa"/>
            <w:tcBorders>
              <w:top w:val="nil"/>
              <w:left w:val="nil"/>
              <w:bottom w:val="single" w:sz="4" w:space="0" w:color="auto"/>
              <w:right w:val="single" w:sz="4" w:space="0" w:color="auto"/>
            </w:tcBorders>
            <w:shd w:val="clear" w:color="000000" w:fill="D9E2F3"/>
            <w:vAlign w:val="center"/>
            <w:hideMark/>
          </w:tcPr>
          <w:p w14:paraId="48EDFC27"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53</w:t>
            </w:r>
          </w:p>
        </w:tc>
        <w:tc>
          <w:tcPr>
            <w:tcW w:w="1230" w:type="dxa"/>
            <w:tcBorders>
              <w:top w:val="nil"/>
              <w:left w:val="nil"/>
              <w:bottom w:val="single" w:sz="4" w:space="0" w:color="auto"/>
              <w:right w:val="single" w:sz="4" w:space="0" w:color="auto"/>
            </w:tcBorders>
            <w:shd w:val="clear" w:color="000000" w:fill="D9E2F3"/>
            <w:vAlign w:val="center"/>
            <w:hideMark/>
          </w:tcPr>
          <w:p w14:paraId="6CEF4666"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38527D59"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0AC00A5A"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0459D818"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237130</w:t>
            </w:r>
          </w:p>
        </w:tc>
        <w:tc>
          <w:tcPr>
            <w:tcW w:w="3600" w:type="dxa"/>
            <w:tcBorders>
              <w:top w:val="nil"/>
              <w:left w:val="nil"/>
              <w:bottom w:val="single" w:sz="4" w:space="0" w:color="auto"/>
              <w:right w:val="single" w:sz="4" w:space="0" w:color="auto"/>
            </w:tcBorders>
            <w:shd w:val="clear" w:color="000000" w:fill="D9E2F3"/>
            <w:vAlign w:val="center"/>
            <w:hideMark/>
          </w:tcPr>
          <w:p w14:paraId="05C3C971" w14:textId="4E7FD24F"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Power Line Construction </w:t>
            </w:r>
          </w:p>
        </w:tc>
        <w:tc>
          <w:tcPr>
            <w:tcW w:w="1230" w:type="dxa"/>
            <w:tcBorders>
              <w:top w:val="nil"/>
              <w:left w:val="nil"/>
              <w:bottom w:val="single" w:sz="4" w:space="0" w:color="auto"/>
              <w:right w:val="single" w:sz="4" w:space="0" w:color="auto"/>
            </w:tcBorders>
            <w:shd w:val="clear" w:color="000000" w:fill="D9E2F3"/>
            <w:vAlign w:val="center"/>
            <w:hideMark/>
          </w:tcPr>
          <w:p w14:paraId="4313BAC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41</w:t>
            </w:r>
          </w:p>
        </w:tc>
        <w:tc>
          <w:tcPr>
            <w:tcW w:w="1230" w:type="dxa"/>
            <w:tcBorders>
              <w:top w:val="nil"/>
              <w:left w:val="nil"/>
              <w:bottom w:val="single" w:sz="4" w:space="0" w:color="auto"/>
              <w:right w:val="single" w:sz="4" w:space="0" w:color="auto"/>
            </w:tcBorders>
            <w:shd w:val="clear" w:color="000000" w:fill="D9E2F3"/>
            <w:vAlign w:val="center"/>
            <w:hideMark/>
          </w:tcPr>
          <w:p w14:paraId="66F1767A"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356</w:t>
            </w:r>
          </w:p>
        </w:tc>
        <w:tc>
          <w:tcPr>
            <w:tcW w:w="1230" w:type="dxa"/>
            <w:tcBorders>
              <w:top w:val="nil"/>
              <w:left w:val="nil"/>
              <w:bottom w:val="single" w:sz="4" w:space="0" w:color="auto"/>
              <w:right w:val="single" w:sz="4" w:space="0" w:color="auto"/>
            </w:tcBorders>
            <w:shd w:val="clear" w:color="000000" w:fill="D9E2F3"/>
            <w:vAlign w:val="center"/>
            <w:hideMark/>
          </w:tcPr>
          <w:p w14:paraId="585B0EC5"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5B6C80C9"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4F9F9ABE"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39005BF1"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238110</w:t>
            </w:r>
          </w:p>
        </w:tc>
        <w:tc>
          <w:tcPr>
            <w:tcW w:w="3600" w:type="dxa"/>
            <w:tcBorders>
              <w:top w:val="nil"/>
              <w:left w:val="nil"/>
              <w:bottom w:val="single" w:sz="4" w:space="0" w:color="auto"/>
              <w:right w:val="single" w:sz="4" w:space="0" w:color="auto"/>
            </w:tcBorders>
            <w:shd w:val="clear" w:color="000000" w:fill="D9E2F3"/>
            <w:vAlign w:val="center"/>
            <w:hideMark/>
          </w:tcPr>
          <w:p w14:paraId="5DD3FC20"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Poured Concrete Foundation and Structure Contractors  </w:t>
            </w:r>
          </w:p>
        </w:tc>
        <w:tc>
          <w:tcPr>
            <w:tcW w:w="1230" w:type="dxa"/>
            <w:tcBorders>
              <w:top w:val="nil"/>
              <w:left w:val="nil"/>
              <w:bottom w:val="single" w:sz="4" w:space="0" w:color="auto"/>
              <w:right w:val="single" w:sz="4" w:space="0" w:color="auto"/>
            </w:tcBorders>
            <w:shd w:val="clear" w:color="000000" w:fill="D9E2F3"/>
            <w:vAlign w:val="center"/>
            <w:hideMark/>
          </w:tcPr>
          <w:p w14:paraId="287C2DB8"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198</w:t>
            </w:r>
          </w:p>
        </w:tc>
        <w:tc>
          <w:tcPr>
            <w:tcW w:w="1230" w:type="dxa"/>
            <w:tcBorders>
              <w:top w:val="nil"/>
              <w:left w:val="nil"/>
              <w:bottom w:val="single" w:sz="4" w:space="0" w:color="auto"/>
              <w:right w:val="single" w:sz="4" w:space="0" w:color="auto"/>
            </w:tcBorders>
            <w:shd w:val="clear" w:color="000000" w:fill="D9E2F3"/>
            <w:vAlign w:val="center"/>
            <w:hideMark/>
          </w:tcPr>
          <w:p w14:paraId="3EF2BA5E" w14:textId="51900F8C"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0F18A8"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575</w:t>
            </w:r>
          </w:p>
        </w:tc>
        <w:tc>
          <w:tcPr>
            <w:tcW w:w="1230" w:type="dxa"/>
            <w:tcBorders>
              <w:top w:val="nil"/>
              <w:left w:val="nil"/>
              <w:bottom w:val="single" w:sz="4" w:space="0" w:color="auto"/>
              <w:right w:val="single" w:sz="4" w:space="0" w:color="auto"/>
            </w:tcBorders>
            <w:shd w:val="clear" w:color="000000" w:fill="D9E2F3"/>
            <w:vAlign w:val="center"/>
            <w:hideMark/>
          </w:tcPr>
          <w:p w14:paraId="00E48FC7"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6DE6FB8A"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6C958166"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3E921E51"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238120</w:t>
            </w:r>
          </w:p>
        </w:tc>
        <w:tc>
          <w:tcPr>
            <w:tcW w:w="3600" w:type="dxa"/>
            <w:tcBorders>
              <w:top w:val="nil"/>
              <w:left w:val="nil"/>
              <w:bottom w:val="single" w:sz="4" w:space="0" w:color="auto"/>
              <w:right w:val="single" w:sz="4" w:space="0" w:color="auto"/>
            </w:tcBorders>
            <w:shd w:val="clear" w:color="000000" w:fill="D9E2F3"/>
            <w:vAlign w:val="center"/>
            <w:hideMark/>
          </w:tcPr>
          <w:p w14:paraId="06A1D170"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Structural Steel Contractors</w:t>
            </w:r>
          </w:p>
        </w:tc>
        <w:tc>
          <w:tcPr>
            <w:tcW w:w="1230" w:type="dxa"/>
            <w:tcBorders>
              <w:top w:val="nil"/>
              <w:left w:val="nil"/>
              <w:bottom w:val="single" w:sz="4" w:space="0" w:color="auto"/>
              <w:right w:val="single" w:sz="4" w:space="0" w:color="auto"/>
            </w:tcBorders>
            <w:shd w:val="clear" w:color="000000" w:fill="D9E2F3"/>
            <w:vAlign w:val="center"/>
            <w:hideMark/>
          </w:tcPr>
          <w:p w14:paraId="08EC582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183</w:t>
            </w:r>
          </w:p>
        </w:tc>
        <w:tc>
          <w:tcPr>
            <w:tcW w:w="1230" w:type="dxa"/>
            <w:tcBorders>
              <w:top w:val="nil"/>
              <w:left w:val="nil"/>
              <w:bottom w:val="single" w:sz="4" w:space="0" w:color="auto"/>
              <w:right w:val="single" w:sz="4" w:space="0" w:color="auto"/>
            </w:tcBorders>
            <w:shd w:val="clear" w:color="000000" w:fill="D9E2F3"/>
            <w:vAlign w:val="center"/>
            <w:hideMark/>
          </w:tcPr>
          <w:p w14:paraId="6DFEBF4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226</w:t>
            </w:r>
          </w:p>
        </w:tc>
        <w:tc>
          <w:tcPr>
            <w:tcW w:w="1230" w:type="dxa"/>
            <w:tcBorders>
              <w:top w:val="nil"/>
              <w:left w:val="nil"/>
              <w:bottom w:val="single" w:sz="4" w:space="0" w:color="auto"/>
              <w:right w:val="single" w:sz="4" w:space="0" w:color="auto"/>
            </w:tcBorders>
            <w:shd w:val="clear" w:color="000000" w:fill="D9E2F3"/>
            <w:vAlign w:val="center"/>
            <w:hideMark/>
          </w:tcPr>
          <w:p w14:paraId="60FD3BAB"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48C13E54"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514CD6F7"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0BDFA90F"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238160</w:t>
            </w:r>
          </w:p>
        </w:tc>
        <w:tc>
          <w:tcPr>
            <w:tcW w:w="3600" w:type="dxa"/>
            <w:tcBorders>
              <w:top w:val="nil"/>
              <w:left w:val="nil"/>
              <w:bottom w:val="single" w:sz="4" w:space="0" w:color="auto"/>
              <w:right w:val="single" w:sz="4" w:space="0" w:color="auto"/>
            </w:tcBorders>
            <w:shd w:val="clear" w:color="000000" w:fill="D9E2F3"/>
            <w:vAlign w:val="center"/>
            <w:hideMark/>
          </w:tcPr>
          <w:p w14:paraId="1E656A6F"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Roofing Contractors</w:t>
            </w:r>
          </w:p>
        </w:tc>
        <w:tc>
          <w:tcPr>
            <w:tcW w:w="1230" w:type="dxa"/>
            <w:tcBorders>
              <w:top w:val="nil"/>
              <w:left w:val="nil"/>
              <w:bottom w:val="single" w:sz="4" w:space="0" w:color="auto"/>
              <w:right w:val="single" w:sz="4" w:space="0" w:color="auto"/>
            </w:tcBorders>
            <w:shd w:val="clear" w:color="000000" w:fill="D9E2F3"/>
            <w:vAlign w:val="center"/>
            <w:hideMark/>
          </w:tcPr>
          <w:p w14:paraId="33B0F0D4"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50</w:t>
            </w:r>
          </w:p>
        </w:tc>
        <w:tc>
          <w:tcPr>
            <w:tcW w:w="1230" w:type="dxa"/>
            <w:tcBorders>
              <w:top w:val="nil"/>
              <w:left w:val="nil"/>
              <w:bottom w:val="single" w:sz="4" w:space="0" w:color="auto"/>
              <w:right w:val="single" w:sz="4" w:space="0" w:color="auto"/>
            </w:tcBorders>
            <w:shd w:val="clear" w:color="000000" w:fill="D9E2F3"/>
            <w:vAlign w:val="center"/>
            <w:hideMark/>
          </w:tcPr>
          <w:p w14:paraId="2613B9F4" w14:textId="108CDD71"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765</w:t>
            </w:r>
          </w:p>
        </w:tc>
        <w:tc>
          <w:tcPr>
            <w:tcW w:w="1230" w:type="dxa"/>
            <w:tcBorders>
              <w:top w:val="nil"/>
              <w:left w:val="nil"/>
              <w:bottom w:val="single" w:sz="4" w:space="0" w:color="auto"/>
              <w:right w:val="single" w:sz="4" w:space="0" w:color="auto"/>
            </w:tcBorders>
            <w:shd w:val="clear" w:color="000000" w:fill="D9E2F3"/>
            <w:vAlign w:val="center"/>
            <w:hideMark/>
          </w:tcPr>
          <w:p w14:paraId="5DD17D50"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1B4658C1"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3880F54E"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464F948A"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238190</w:t>
            </w:r>
          </w:p>
        </w:tc>
        <w:tc>
          <w:tcPr>
            <w:tcW w:w="3600" w:type="dxa"/>
            <w:tcBorders>
              <w:top w:val="nil"/>
              <w:left w:val="nil"/>
              <w:bottom w:val="single" w:sz="4" w:space="0" w:color="auto"/>
              <w:right w:val="single" w:sz="4" w:space="0" w:color="auto"/>
            </w:tcBorders>
            <w:shd w:val="clear" w:color="000000" w:fill="D9E2F3"/>
            <w:vAlign w:val="center"/>
            <w:hideMark/>
          </w:tcPr>
          <w:p w14:paraId="76025EDA"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Other Foundation, Structure, and Building Exterior Contractors</w:t>
            </w:r>
          </w:p>
        </w:tc>
        <w:tc>
          <w:tcPr>
            <w:tcW w:w="1230" w:type="dxa"/>
            <w:tcBorders>
              <w:top w:val="nil"/>
              <w:left w:val="nil"/>
              <w:bottom w:val="single" w:sz="4" w:space="0" w:color="auto"/>
              <w:right w:val="single" w:sz="4" w:space="0" w:color="auto"/>
            </w:tcBorders>
            <w:shd w:val="clear" w:color="000000" w:fill="D9E2F3"/>
            <w:vAlign w:val="center"/>
            <w:hideMark/>
          </w:tcPr>
          <w:p w14:paraId="53FDC08A"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51</w:t>
            </w:r>
          </w:p>
        </w:tc>
        <w:tc>
          <w:tcPr>
            <w:tcW w:w="1230" w:type="dxa"/>
            <w:tcBorders>
              <w:top w:val="nil"/>
              <w:left w:val="nil"/>
              <w:bottom w:val="single" w:sz="4" w:space="0" w:color="auto"/>
              <w:right w:val="single" w:sz="4" w:space="0" w:color="auto"/>
            </w:tcBorders>
            <w:shd w:val="clear" w:color="000000" w:fill="D9E2F3"/>
            <w:vAlign w:val="center"/>
            <w:hideMark/>
          </w:tcPr>
          <w:p w14:paraId="48D044F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548</w:t>
            </w:r>
          </w:p>
        </w:tc>
        <w:tc>
          <w:tcPr>
            <w:tcW w:w="1230" w:type="dxa"/>
            <w:tcBorders>
              <w:top w:val="nil"/>
              <w:left w:val="nil"/>
              <w:bottom w:val="single" w:sz="4" w:space="0" w:color="auto"/>
              <w:right w:val="single" w:sz="4" w:space="0" w:color="auto"/>
            </w:tcBorders>
            <w:shd w:val="clear" w:color="000000" w:fill="D9E2F3"/>
            <w:vAlign w:val="center"/>
            <w:hideMark/>
          </w:tcPr>
          <w:p w14:paraId="78F2F24C"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2749F22E"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74C7A36D"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29D57918"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238210</w:t>
            </w:r>
          </w:p>
        </w:tc>
        <w:tc>
          <w:tcPr>
            <w:tcW w:w="3600" w:type="dxa"/>
            <w:tcBorders>
              <w:top w:val="nil"/>
              <w:left w:val="nil"/>
              <w:bottom w:val="single" w:sz="4" w:space="0" w:color="auto"/>
              <w:right w:val="single" w:sz="4" w:space="0" w:color="auto"/>
            </w:tcBorders>
            <w:shd w:val="clear" w:color="000000" w:fill="D9E2F3"/>
            <w:vAlign w:val="center"/>
            <w:hideMark/>
          </w:tcPr>
          <w:p w14:paraId="7D936827"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Electrical Contractors and Other Wiring Installation Contractors</w:t>
            </w:r>
          </w:p>
        </w:tc>
        <w:tc>
          <w:tcPr>
            <w:tcW w:w="1230" w:type="dxa"/>
            <w:tcBorders>
              <w:top w:val="nil"/>
              <w:left w:val="nil"/>
              <w:bottom w:val="single" w:sz="4" w:space="0" w:color="auto"/>
              <w:right w:val="single" w:sz="4" w:space="0" w:color="auto"/>
            </w:tcBorders>
            <w:shd w:val="clear" w:color="000000" w:fill="D9E2F3"/>
            <w:vAlign w:val="center"/>
            <w:hideMark/>
          </w:tcPr>
          <w:p w14:paraId="1B0FA997"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179</w:t>
            </w:r>
          </w:p>
        </w:tc>
        <w:tc>
          <w:tcPr>
            <w:tcW w:w="1230" w:type="dxa"/>
            <w:tcBorders>
              <w:top w:val="nil"/>
              <w:left w:val="nil"/>
              <w:bottom w:val="single" w:sz="4" w:space="0" w:color="auto"/>
              <w:right w:val="single" w:sz="4" w:space="0" w:color="auto"/>
            </w:tcBorders>
            <w:shd w:val="clear" w:color="000000" w:fill="D9E2F3"/>
            <w:vAlign w:val="center"/>
            <w:hideMark/>
          </w:tcPr>
          <w:p w14:paraId="42E9BE6D" w14:textId="652A82E8"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w:t>
            </w:r>
            <w:r w:rsidR="00CD5782">
              <w:rPr>
                <w:rFonts w:ascii="Arial" w:eastAsia="Times New Roman" w:hAnsi="Arial" w:cs="Arial"/>
                <w:color w:val="000000"/>
                <w:sz w:val="18"/>
                <w:szCs w:val="18"/>
              </w:rPr>
              <w:t>,</w:t>
            </w:r>
            <w:r w:rsidRPr="00E764A7">
              <w:rPr>
                <w:rFonts w:ascii="Arial" w:eastAsia="Times New Roman" w:hAnsi="Arial" w:cs="Arial"/>
                <w:color w:val="000000"/>
                <w:sz w:val="18"/>
                <w:szCs w:val="18"/>
              </w:rPr>
              <w:t>675</w:t>
            </w:r>
          </w:p>
        </w:tc>
        <w:tc>
          <w:tcPr>
            <w:tcW w:w="1230" w:type="dxa"/>
            <w:tcBorders>
              <w:top w:val="nil"/>
              <w:left w:val="nil"/>
              <w:bottom w:val="single" w:sz="4" w:space="0" w:color="auto"/>
              <w:right w:val="single" w:sz="4" w:space="0" w:color="auto"/>
            </w:tcBorders>
            <w:shd w:val="clear" w:color="000000" w:fill="D9E2F3"/>
            <w:vAlign w:val="center"/>
            <w:hideMark/>
          </w:tcPr>
          <w:p w14:paraId="1C3B3AC2"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0A119B83"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5ADC900C"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5A8F052F"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238220</w:t>
            </w:r>
          </w:p>
        </w:tc>
        <w:tc>
          <w:tcPr>
            <w:tcW w:w="3600" w:type="dxa"/>
            <w:tcBorders>
              <w:top w:val="nil"/>
              <w:left w:val="nil"/>
              <w:bottom w:val="single" w:sz="4" w:space="0" w:color="auto"/>
              <w:right w:val="single" w:sz="4" w:space="0" w:color="auto"/>
            </w:tcBorders>
            <w:shd w:val="clear" w:color="000000" w:fill="D9E2F3"/>
            <w:vAlign w:val="center"/>
            <w:hideMark/>
          </w:tcPr>
          <w:p w14:paraId="3BC6BA56"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Plumbing, Heating, and Air Conditioning Contractors</w:t>
            </w:r>
          </w:p>
        </w:tc>
        <w:tc>
          <w:tcPr>
            <w:tcW w:w="1230" w:type="dxa"/>
            <w:tcBorders>
              <w:top w:val="nil"/>
              <w:left w:val="nil"/>
              <w:bottom w:val="single" w:sz="4" w:space="0" w:color="auto"/>
              <w:right w:val="single" w:sz="4" w:space="0" w:color="auto"/>
            </w:tcBorders>
            <w:shd w:val="clear" w:color="000000" w:fill="D9E2F3"/>
            <w:vAlign w:val="center"/>
            <w:hideMark/>
          </w:tcPr>
          <w:p w14:paraId="51E73C0C"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76</w:t>
            </w:r>
          </w:p>
        </w:tc>
        <w:tc>
          <w:tcPr>
            <w:tcW w:w="1230" w:type="dxa"/>
            <w:tcBorders>
              <w:top w:val="nil"/>
              <w:left w:val="nil"/>
              <w:bottom w:val="single" w:sz="4" w:space="0" w:color="auto"/>
              <w:right w:val="single" w:sz="4" w:space="0" w:color="auto"/>
            </w:tcBorders>
            <w:shd w:val="clear" w:color="000000" w:fill="D9E2F3"/>
            <w:vAlign w:val="center"/>
            <w:hideMark/>
          </w:tcPr>
          <w:p w14:paraId="2EF78B27" w14:textId="0717E503"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8</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334</w:t>
            </w:r>
          </w:p>
        </w:tc>
        <w:tc>
          <w:tcPr>
            <w:tcW w:w="1230" w:type="dxa"/>
            <w:tcBorders>
              <w:top w:val="nil"/>
              <w:left w:val="nil"/>
              <w:bottom w:val="single" w:sz="4" w:space="0" w:color="auto"/>
              <w:right w:val="single" w:sz="4" w:space="0" w:color="auto"/>
            </w:tcBorders>
            <w:shd w:val="clear" w:color="000000" w:fill="D9E2F3"/>
            <w:vAlign w:val="center"/>
            <w:hideMark/>
          </w:tcPr>
          <w:p w14:paraId="69A21522"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171959E5"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6087A21E"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4E633536"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238290</w:t>
            </w:r>
          </w:p>
        </w:tc>
        <w:tc>
          <w:tcPr>
            <w:tcW w:w="3600" w:type="dxa"/>
            <w:tcBorders>
              <w:top w:val="nil"/>
              <w:left w:val="nil"/>
              <w:bottom w:val="single" w:sz="4" w:space="0" w:color="auto"/>
              <w:right w:val="single" w:sz="4" w:space="0" w:color="auto"/>
            </w:tcBorders>
            <w:shd w:val="clear" w:color="000000" w:fill="D9E2F3"/>
            <w:vAlign w:val="center"/>
            <w:hideMark/>
          </w:tcPr>
          <w:p w14:paraId="4EFD2A10"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Other Building Equipment Contractors</w:t>
            </w:r>
          </w:p>
        </w:tc>
        <w:tc>
          <w:tcPr>
            <w:tcW w:w="1230" w:type="dxa"/>
            <w:tcBorders>
              <w:top w:val="nil"/>
              <w:left w:val="nil"/>
              <w:bottom w:val="single" w:sz="4" w:space="0" w:color="auto"/>
              <w:right w:val="single" w:sz="4" w:space="0" w:color="auto"/>
            </w:tcBorders>
            <w:shd w:val="clear" w:color="000000" w:fill="D9E2F3"/>
            <w:vAlign w:val="center"/>
            <w:hideMark/>
          </w:tcPr>
          <w:p w14:paraId="614392A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26</w:t>
            </w:r>
          </w:p>
        </w:tc>
        <w:tc>
          <w:tcPr>
            <w:tcW w:w="1230" w:type="dxa"/>
            <w:tcBorders>
              <w:top w:val="nil"/>
              <w:left w:val="nil"/>
              <w:bottom w:val="single" w:sz="4" w:space="0" w:color="auto"/>
              <w:right w:val="single" w:sz="4" w:space="0" w:color="auto"/>
            </w:tcBorders>
            <w:shd w:val="clear" w:color="000000" w:fill="D9E2F3"/>
            <w:vAlign w:val="center"/>
            <w:hideMark/>
          </w:tcPr>
          <w:p w14:paraId="785E37FB"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482</w:t>
            </w:r>
          </w:p>
        </w:tc>
        <w:tc>
          <w:tcPr>
            <w:tcW w:w="1230" w:type="dxa"/>
            <w:tcBorders>
              <w:top w:val="nil"/>
              <w:left w:val="nil"/>
              <w:bottom w:val="single" w:sz="4" w:space="0" w:color="auto"/>
              <w:right w:val="single" w:sz="4" w:space="0" w:color="auto"/>
            </w:tcBorders>
            <w:shd w:val="clear" w:color="000000" w:fill="D9E2F3"/>
            <w:vAlign w:val="center"/>
            <w:hideMark/>
          </w:tcPr>
          <w:p w14:paraId="5196892D"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7414E9CD"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429A51CD"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3540F460"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238310</w:t>
            </w:r>
          </w:p>
        </w:tc>
        <w:tc>
          <w:tcPr>
            <w:tcW w:w="3600" w:type="dxa"/>
            <w:tcBorders>
              <w:top w:val="nil"/>
              <w:left w:val="nil"/>
              <w:bottom w:val="single" w:sz="4" w:space="0" w:color="auto"/>
              <w:right w:val="single" w:sz="4" w:space="0" w:color="auto"/>
            </w:tcBorders>
            <w:shd w:val="clear" w:color="000000" w:fill="D9E2F3"/>
            <w:vAlign w:val="center"/>
            <w:hideMark/>
          </w:tcPr>
          <w:p w14:paraId="17EBC49E"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Drywall and Insulation Contractors </w:t>
            </w:r>
          </w:p>
        </w:tc>
        <w:tc>
          <w:tcPr>
            <w:tcW w:w="1230" w:type="dxa"/>
            <w:tcBorders>
              <w:top w:val="nil"/>
              <w:left w:val="nil"/>
              <w:bottom w:val="single" w:sz="4" w:space="0" w:color="auto"/>
              <w:right w:val="single" w:sz="4" w:space="0" w:color="auto"/>
            </w:tcBorders>
            <w:shd w:val="clear" w:color="000000" w:fill="D9E2F3"/>
            <w:vAlign w:val="center"/>
            <w:hideMark/>
          </w:tcPr>
          <w:p w14:paraId="4AE2AEA6"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65</w:t>
            </w:r>
          </w:p>
        </w:tc>
        <w:tc>
          <w:tcPr>
            <w:tcW w:w="1230" w:type="dxa"/>
            <w:tcBorders>
              <w:top w:val="nil"/>
              <w:left w:val="nil"/>
              <w:bottom w:val="single" w:sz="4" w:space="0" w:color="auto"/>
              <w:right w:val="single" w:sz="4" w:space="0" w:color="auto"/>
            </w:tcBorders>
            <w:shd w:val="clear" w:color="000000" w:fill="D9E2F3"/>
            <w:vAlign w:val="center"/>
            <w:hideMark/>
          </w:tcPr>
          <w:p w14:paraId="7552FA8E" w14:textId="3AB956F8"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656</w:t>
            </w:r>
          </w:p>
        </w:tc>
        <w:tc>
          <w:tcPr>
            <w:tcW w:w="1230" w:type="dxa"/>
            <w:tcBorders>
              <w:top w:val="nil"/>
              <w:left w:val="nil"/>
              <w:bottom w:val="single" w:sz="4" w:space="0" w:color="auto"/>
              <w:right w:val="single" w:sz="4" w:space="0" w:color="auto"/>
            </w:tcBorders>
            <w:shd w:val="clear" w:color="000000" w:fill="D9E2F3"/>
            <w:vAlign w:val="center"/>
            <w:hideMark/>
          </w:tcPr>
          <w:p w14:paraId="0B631B24"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23F241C0"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615A4060"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5E649A16"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238320</w:t>
            </w:r>
          </w:p>
        </w:tc>
        <w:tc>
          <w:tcPr>
            <w:tcW w:w="3600" w:type="dxa"/>
            <w:tcBorders>
              <w:top w:val="nil"/>
              <w:left w:val="nil"/>
              <w:bottom w:val="single" w:sz="4" w:space="0" w:color="auto"/>
              <w:right w:val="single" w:sz="4" w:space="0" w:color="auto"/>
            </w:tcBorders>
            <w:shd w:val="clear" w:color="000000" w:fill="D9E2F3"/>
            <w:vAlign w:val="center"/>
            <w:hideMark/>
          </w:tcPr>
          <w:p w14:paraId="54781775"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Painting and wall covering contractors </w:t>
            </w:r>
          </w:p>
        </w:tc>
        <w:tc>
          <w:tcPr>
            <w:tcW w:w="1230" w:type="dxa"/>
            <w:tcBorders>
              <w:top w:val="nil"/>
              <w:left w:val="nil"/>
              <w:bottom w:val="single" w:sz="4" w:space="0" w:color="auto"/>
              <w:right w:val="single" w:sz="4" w:space="0" w:color="auto"/>
            </w:tcBorders>
            <w:shd w:val="clear" w:color="000000" w:fill="D9E2F3"/>
            <w:vAlign w:val="center"/>
            <w:hideMark/>
          </w:tcPr>
          <w:p w14:paraId="1E28B8B3"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117</w:t>
            </w:r>
          </w:p>
        </w:tc>
        <w:tc>
          <w:tcPr>
            <w:tcW w:w="1230" w:type="dxa"/>
            <w:tcBorders>
              <w:top w:val="nil"/>
              <w:left w:val="nil"/>
              <w:bottom w:val="single" w:sz="4" w:space="0" w:color="auto"/>
              <w:right w:val="single" w:sz="4" w:space="0" w:color="auto"/>
            </w:tcBorders>
            <w:shd w:val="clear" w:color="000000" w:fill="D9E2F3"/>
            <w:vAlign w:val="center"/>
            <w:hideMark/>
          </w:tcPr>
          <w:p w14:paraId="1B4272A9" w14:textId="417C4812"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999</w:t>
            </w:r>
          </w:p>
        </w:tc>
        <w:tc>
          <w:tcPr>
            <w:tcW w:w="1230" w:type="dxa"/>
            <w:tcBorders>
              <w:top w:val="nil"/>
              <w:left w:val="nil"/>
              <w:bottom w:val="single" w:sz="4" w:space="0" w:color="auto"/>
              <w:right w:val="single" w:sz="4" w:space="0" w:color="auto"/>
            </w:tcBorders>
            <w:shd w:val="clear" w:color="000000" w:fill="D9E2F3"/>
            <w:vAlign w:val="center"/>
            <w:hideMark/>
          </w:tcPr>
          <w:p w14:paraId="5F3589BF"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3CE6CD6C"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1FD122AB"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352BAB46"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238330</w:t>
            </w:r>
          </w:p>
        </w:tc>
        <w:tc>
          <w:tcPr>
            <w:tcW w:w="3600" w:type="dxa"/>
            <w:tcBorders>
              <w:top w:val="nil"/>
              <w:left w:val="nil"/>
              <w:bottom w:val="single" w:sz="4" w:space="0" w:color="auto"/>
              <w:right w:val="single" w:sz="4" w:space="0" w:color="auto"/>
            </w:tcBorders>
            <w:shd w:val="clear" w:color="000000" w:fill="D9E2F3"/>
            <w:vAlign w:val="center"/>
            <w:hideMark/>
          </w:tcPr>
          <w:p w14:paraId="67567C43"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Flooring Contractors </w:t>
            </w:r>
          </w:p>
        </w:tc>
        <w:tc>
          <w:tcPr>
            <w:tcW w:w="1230" w:type="dxa"/>
            <w:tcBorders>
              <w:top w:val="nil"/>
              <w:left w:val="nil"/>
              <w:bottom w:val="single" w:sz="4" w:space="0" w:color="auto"/>
              <w:right w:val="single" w:sz="4" w:space="0" w:color="auto"/>
            </w:tcBorders>
            <w:shd w:val="clear" w:color="000000" w:fill="D9E2F3"/>
            <w:vAlign w:val="center"/>
            <w:hideMark/>
          </w:tcPr>
          <w:p w14:paraId="7BE9FC64"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32</w:t>
            </w:r>
          </w:p>
        </w:tc>
        <w:tc>
          <w:tcPr>
            <w:tcW w:w="1230" w:type="dxa"/>
            <w:tcBorders>
              <w:top w:val="nil"/>
              <w:left w:val="nil"/>
              <w:bottom w:val="single" w:sz="4" w:space="0" w:color="auto"/>
              <w:right w:val="single" w:sz="4" w:space="0" w:color="auto"/>
            </w:tcBorders>
            <w:shd w:val="clear" w:color="000000" w:fill="D9E2F3"/>
            <w:vAlign w:val="center"/>
            <w:hideMark/>
          </w:tcPr>
          <w:p w14:paraId="5A84714D" w14:textId="234048FB"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764</w:t>
            </w:r>
          </w:p>
        </w:tc>
        <w:tc>
          <w:tcPr>
            <w:tcW w:w="1230" w:type="dxa"/>
            <w:tcBorders>
              <w:top w:val="nil"/>
              <w:left w:val="nil"/>
              <w:bottom w:val="single" w:sz="4" w:space="0" w:color="auto"/>
              <w:right w:val="single" w:sz="4" w:space="0" w:color="auto"/>
            </w:tcBorders>
            <w:shd w:val="clear" w:color="000000" w:fill="D9E2F3"/>
            <w:vAlign w:val="center"/>
            <w:hideMark/>
          </w:tcPr>
          <w:p w14:paraId="25FB833F"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5A7F0871"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7D637149"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6AFE018A"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238910</w:t>
            </w:r>
          </w:p>
        </w:tc>
        <w:tc>
          <w:tcPr>
            <w:tcW w:w="3600" w:type="dxa"/>
            <w:tcBorders>
              <w:top w:val="nil"/>
              <w:left w:val="nil"/>
              <w:bottom w:val="single" w:sz="4" w:space="0" w:color="auto"/>
              <w:right w:val="single" w:sz="4" w:space="0" w:color="auto"/>
            </w:tcBorders>
            <w:shd w:val="clear" w:color="000000" w:fill="D9E2F3"/>
            <w:vAlign w:val="center"/>
            <w:hideMark/>
          </w:tcPr>
          <w:p w14:paraId="2D8E0D6F"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Site Preparation Contractors </w:t>
            </w:r>
          </w:p>
        </w:tc>
        <w:tc>
          <w:tcPr>
            <w:tcW w:w="1230" w:type="dxa"/>
            <w:tcBorders>
              <w:top w:val="nil"/>
              <w:left w:val="nil"/>
              <w:bottom w:val="single" w:sz="4" w:space="0" w:color="auto"/>
              <w:right w:val="single" w:sz="4" w:space="0" w:color="auto"/>
            </w:tcBorders>
            <w:shd w:val="clear" w:color="000000" w:fill="D9E2F3"/>
            <w:vAlign w:val="center"/>
            <w:hideMark/>
          </w:tcPr>
          <w:p w14:paraId="3DA6305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311</w:t>
            </w:r>
          </w:p>
        </w:tc>
        <w:tc>
          <w:tcPr>
            <w:tcW w:w="1230" w:type="dxa"/>
            <w:tcBorders>
              <w:top w:val="nil"/>
              <w:left w:val="nil"/>
              <w:bottom w:val="single" w:sz="4" w:space="0" w:color="auto"/>
              <w:right w:val="single" w:sz="4" w:space="0" w:color="auto"/>
            </w:tcBorders>
            <w:shd w:val="clear" w:color="000000" w:fill="D9E2F3"/>
            <w:vAlign w:val="center"/>
            <w:hideMark/>
          </w:tcPr>
          <w:p w14:paraId="2B9A6635" w14:textId="2655B7E3"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655</w:t>
            </w:r>
          </w:p>
        </w:tc>
        <w:tc>
          <w:tcPr>
            <w:tcW w:w="1230" w:type="dxa"/>
            <w:tcBorders>
              <w:top w:val="nil"/>
              <w:left w:val="nil"/>
              <w:bottom w:val="single" w:sz="4" w:space="0" w:color="auto"/>
              <w:right w:val="single" w:sz="4" w:space="0" w:color="auto"/>
            </w:tcBorders>
            <w:shd w:val="clear" w:color="000000" w:fill="D9E2F3"/>
            <w:vAlign w:val="center"/>
            <w:hideMark/>
          </w:tcPr>
          <w:p w14:paraId="5D4FD3D9"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345FB6D2"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5673C45F"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32414AE0"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238990</w:t>
            </w:r>
          </w:p>
        </w:tc>
        <w:tc>
          <w:tcPr>
            <w:tcW w:w="3600" w:type="dxa"/>
            <w:tcBorders>
              <w:top w:val="nil"/>
              <w:left w:val="nil"/>
              <w:bottom w:val="single" w:sz="4" w:space="0" w:color="auto"/>
              <w:right w:val="single" w:sz="4" w:space="0" w:color="auto"/>
            </w:tcBorders>
            <w:shd w:val="clear" w:color="000000" w:fill="D9E2F3"/>
            <w:vAlign w:val="center"/>
            <w:hideMark/>
          </w:tcPr>
          <w:p w14:paraId="0DE24F77"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All Other Specialty Trade Contractors  </w:t>
            </w:r>
          </w:p>
        </w:tc>
        <w:tc>
          <w:tcPr>
            <w:tcW w:w="1230" w:type="dxa"/>
            <w:tcBorders>
              <w:top w:val="nil"/>
              <w:left w:val="nil"/>
              <w:bottom w:val="single" w:sz="4" w:space="0" w:color="auto"/>
              <w:right w:val="single" w:sz="4" w:space="0" w:color="auto"/>
            </w:tcBorders>
            <w:shd w:val="clear" w:color="000000" w:fill="D9E2F3"/>
            <w:vAlign w:val="center"/>
            <w:hideMark/>
          </w:tcPr>
          <w:p w14:paraId="3E0F44C6"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383</w:t>
            </w:r>
          </w:p>
        </w:tc>
        <w:tc>
          <w:tcPr>
            <w:tcW w:w="1230" w:type="dxa"/>
            <w:tcBorders>
              <w:top w:val="nil"/>
              <w:left w:val="nil"/>
              <w:bottom w:val="single" w:sz="4" w:space="0" w:color="auto"/>
              <w:right w:val="single" w:sz="4" w:space="0" w:color="auto"/>
            </w:tcBorders>
            <w:shd w:val="clear" w:color="000000" w:fill="D9E2F3"/>
            <w:vAlign w:val="center"/>
            <w:hideMark/>
          </w:tcPr>
          <w:p w14:paraId="6ACE30C6" w14:textId="57E5B4C0"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705</w:t>
            </w:r>
          </w:p>
        </w:tc>
        <w:tc>
          <w:tcPr>
            <w:tcW w:w="1230" w:type="dxa"/>
            <w:tcBorders>
              <w:top w:val="nil"/>
              <w:left w:val="nil"/>
              <w:bottom w:val="single" w:sz="4" w:space="0" w:color="auto"/>
              <w:right w:val="single" w:sz="4" w:space="0" w:color="auto"/>
            </w:tcBorders>
            <w:shd w:val="clear" w:color="000000" w:fill="D9E2F3"/>
            <w:vAlign w:val="center"/>
            <w:hideMark/>
          </w:tcPr>
          <w:p w14:paraId="03321BC3"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0D0E3EF2"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56F56BDC"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2037B209"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339950</w:t>
            </w:r>
          </w:p>
        </w:tc>
        <w:tc>
          <w:tcPr>
            <w:tcW w:w="3600" w:type="dxa"/>
            <w:tcBorders>
              <w:top w:val="nil"/>
              <w:left w:val="nil"/>
              <w:bottom w:val="single" w:sz="4" w:space="0" w:color="auto"/>
              <w:right w:val="single" w:sz="4" w:space="0" w:color="auto"/>
            </w:tcBorders>
            <w:shd w:val="clear" w:color="000000" w:fill="D9E2F3"/>
            <w:vAlign w:val="center"/>
            <w:hideMark/>
          </w:tcPr>
          <w:p w14:paraId="13B5D851"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Sign Manufacturing </w:t>
            </w:r>
          </w:p>
        </w:tc>
        <w:tc>
          <w:tcPr>
            <w:tcW w:w="1230" w:type="dxa"/>
            <w:tcBorders>
              <w:top w:val="nil"/>
              <w:left w:val="nil"/>
              <w:bottom w:val="single" w:sz="4" w:space="0" w:color="auto"/>
              <w:right w:val="single" w:sz="4" w:space="0" w:color="auto"/>
            </w:tcBorders>
            <w:shd w:val="clear" w:color="000000" w:fill="D9E2F3"/>
            <w:vAlign w:val="center"/>
            <w:hideMark/>
          </w:tcPr>
          <w:p w14:paraId="4238551F"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19</w:t>
            </w:r>
          </w:p>
        </w:tc>
        <w:tc>
          <w:tcPr>
            <w:tcW w:w="1230" w:type="dxa"/>
            <w:tcBorders>
              <w:top w:val="nil"/>
              <w:left w:val="nil"/>
              <w:bottom w:val="single" w:sz="4" w:space="0" w:color="auto"/>
              <w:right w:val="single" w:sz="4" w:space="0" w:color="auto"/>
            </w:tcBorders>
            <w:shd w:val="clear" w:color="000000" w:fill="D9E2F3"/>
            <w:vAlign w:val="center"/>
            <w:hideMark/>
          </w:tcPr>
          <w:p w14:paraId="06265ADC"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420</w:t>
            </w:r>
          </w:p>
        </w:tc>
        <w:tc>
          <w:tcPr>
            <w:tcW w:w="1230" w:type="dxa"/>
            <w:tcBorders>
              <w:top w:val="nil"/>
              <w:left w:val="nil"/>
              <w:bottom w:val="single" w:sz="4" w:space="0" w:color="auto"/>
              <w:right w:val="single" w:sz="4" w:space="0" w:color="auto"/>
            </w:tcBorders>
            <w:shd w:val="clear" w:color="000000" w:fill="D9E2F3"/>
            <w:vAlign w:val="center"/>
            <w:hideMark/>
          </w:tcPr>
          <w:p w14:paraId="0878602C"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2F127F55" w14:textId="77777777" w:rsidTr="000F18A8">
        <w:trPr>
          <w:trHeight w:val="288"/>
        </w:trPr>
        <w:tc>
          <w:tcPr>
            <w:tcW w:w="1885" w:type="dxa"/>
            <w:tcBorders>
              <w:top w:val="nil"/>
              <w:left w:val="single" w:sz="4" w:space="0" w:color="auto"/>
              <w:bottom w:val="single" w:sz="4" w:space="0" w:color="auto"/>
              <w:right w:val="single" w:sz="4" w:space="0" w:color="auto"/>
            </w:tcBorders>
            <w:shd w:val="clear" w:color="000000" w:fill="D9E2F3"/>
            <w:vAlign w:val="center"/>
            <w:hideMark/>
          </w:tcPr>
          <w:p w14:paraId="76917DE9"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000000" w:fill="D9E2F3"/>
            <w:vAlign w:val="center"/>
            <w:hideMark/>
          </w:tcPr>
          <w:p w14:paraId="46985618"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541360</w:t>
            </w:r>
          </w:p>
        </w:tc>
        <w:tc>
          <w:tcPr>
            <w:tcW w:w="3600" w:type="dxa"/>
            <w:tcBorders>
              <w:top w:val="nil"/>
              <w:left w:val="nil"/>
              <w:bottom w:val="single" w:sz="4" w:space="0" w:color="auto"/>
              <w:right w:val="single" w:sz="4" w:space="0" w:color="auto"/>
            </w:tcBorders>
            <w:shd w:val="clear" w:color="000000" w:fill="D9E2F3"/>
            <w:vAlign w:val="center"/>
            <w:hideMark/>
          </w:tcPr>
          <w:p w14:paraId="5D2BB9B3"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Surveying and Mapping </w:t>
            </w:r>
          </w:p>
        </w:tc>
        <w:tc>
          <w:tcPr>
            <w:tcW w:w="1230" w:type="dxa"/>
            <w:tcBorders>
              <w:top w:val="nil"/>
              <w:left w:val="nil"/>
              <w:bottom w:val="single" w:sz="4" w:space="0" w:color="auto"/>
              <w:right w:val="single" w:sz="4" w:space="0" w:color="auto"/>
            </w:tcBorders>
            <w:shd w:val="clear" w:color="000000" w:fill="D9E2F3"/>
            <w:vAlign w:val="center"/>
            <w:hideMark/>
          </w:tcPr>
          <w:p w14:paraId="717FDFD7"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12</w:t>
            </w:r>
          </w:p>
        </w:tc>
        <w:tc>
          <w:tcPr>
            <w:tcW w:w="1230" w:type="dxa"/>
            <w:tcBorders>
              <w:top w:val="nil"/>
              <w:left w:val="nil"/>
              <w:bottom w:val="single" w:sz="4" w:space="0" w:color="auto"/>
              <w:right w:val="single" w:sz="4" w:space="0" w:color="auto"/>
            </w:tcBorders>
            <w:shd w:val="clear" w:color="000000" w:fill="D9E2F3"/>
            <w:vAlign w:val="center"/>
            <w:hideMark/>
          </w:tcPr>
          <w:p w14:paraId="51BB36D0"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51</w:t>
            </w:r>
          </w:p>
        </w:tc>
        <w:tc>
          <w:tcPr>
            <w:tcW w:w="1230" w:type="dxa"/>
            <w:tcBorders>
              <w:top w:val="nil"/>
              <w:left w:val="nil"/>
              <w:bottom w:val="single" w:sz="4" w:space="0" w:color="auto"/>
              <w:right w:val="single" w:sz="4" w:space="0" w:color="auto"/>
            </w:tcBorders>
            <w:shd w:val="clear" w:color="000000" w:fill="D9E2F3"/>
            <w:vAlign w:val="center"/>
            <w:hideMark/>
          </w:tcPr>
          <w:p w14:paraId="16329F35"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2223472D" w14:textId="77777777" w:rsidTr="00FF48E2">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E113F78"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D9E2F3" w:themeFill="accent1" w:themeFillTint="33"/>
            <w:vAlign w:val="center"/>
          </w:tcPr>
          <w:p w14:paraId="16BCA015" w14:textId="77777777" w:rsidR="004D171D" w:rsidRPr="00E764A7" w:rsidRDefault="004D171D" w:rsidP="004D171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D9E2F3" w:themeFill="accent1" w:themeFillTint="33"/>
            <w:vAlign w:val="center"/>
          </w:tcPr>
          <w:p w14:paraId="5D561607" w14:textId="77777777" w:rsidR="004D171D" w:rsidRPr="00E764A7" w:rsidRDefault="004D171D" w:rsidP="004D171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D9E2F3" w:themeFill="accent1" w:themeFillTint="33"/>
          </w:tcPr>
          <w:p w14:paraId="4A97E08F" w14:textId="001031BE"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w:t>
            </w:r>
            <w:r w:rsidR="008F3A8A">
              <w:rPr>
                <w:rFonts w:ascii="Arial" w:eastAsia="Times New Roman" w:hAnsi="Arial" w:cs="Arial"/>
                <w:color w:val="000000"/>
                <w:sz w:val="18"/>
                <w:szCs w:val="18"/>
              </w:rPr>
              <w:t>,</w:t>
            </w:r>
            <w:r w:rsidRPr="00E764A7">
              <w:rPr>
                <w:rFonts w:ascii="Arial" w:eastAsia="Times New Roman" w:hAnsi="Arial" w:cs="Arial"/>
                <w:color w:val="000000"/>
                <w:sz w:val="18"/>
                <w:szCs w:val="18"/>
              </w:rPr>
              <w:t>352</w:t>
            </w:r>
          </w:p>
        </w:tc>
        <w:tc>
          <w:tcPr>
            <w:tcW w:w="1230" w:type="dxa"/>
            <w:tcBorders>
              <w:top w:val="nil"/>
              <w:left w:val="nil"/>
              <w:bottom w:val="single" w:sz="4" w:space="0" w:color="auto"/>
              <w:right w:val="single" w:sz="4" w:space="0" w:color="auto"/>
            </w:tcBorders>
            <w:shd w:val="clear" w:color="auto" w:fill="D9E2F3" w:themeFill="accent1" w:themeFillTint="33"/>
          </w:tcPr>
          <w:p w14:paraId="3F8EBBDF" w14:textId="2AECDB58"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35</w:t>
            </w:r>
            <w:r w:rsidR="00CD5782">
              <w:rPr>
                <w:rFonts w:ascii="Arial" w:eastAsia="Times New Roman" w:hAnsi="Arial" w:cs="Arial"/>
                <w:color w:val="000000"/>
                <w:sz w:val="18"/>
                <w:szCs w:val="18"/>
              </w:rPr>
              <w:t>,</w:t>
            </w:r>
            <w:r w:rsidRPr="00E764A7">
              <w:rPr>
                <w:rFonts w:ascii="Arial" w:eastAsia="Times New Roman" w:hAnsi="Arial" w:cs="Arial"/>
                <w:color w:val="000000"/>
                <w:sz w:val="18"/>
                <w:szCs w:val="18"/>
              </w:rPr>
              <w:t>635</w:t>
            </w:r>
          </w:p>
        </w:tc>
        <w:tc>
          <w:tcPr>
            <w:tcW w:w="1230" w:type="dxa"/>
            <w:tcBorders>
              <w:top w:val="nil"/>
              <w:left w:val="nil"/>
              <w:bottom w:val="single" w:sz="4" w:space="0" w:color="auto"/>
              <w:right w:val="single" w:sz="4" w:space="0" w:color="auto"/>
            </w:tcBorders>
            <w:shd w:val="clear" w:color="auto" w:fill="D9E2F3" w:themeFill="accent1" w:themeFillTint="33"/>
          </w:tcPr>
          <w:p w14:paraId="61CA1F65" w14:textId="0769C037"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0.06600</w:t>
            </w:r>
          </w:p>
        </w:tc>
      </w:tr>
      <w:tr w:rsidR="000F18A8" w:rsidRPr="00E764A7" w14:paraId="6DCEDF2C" w14:textId="77777777" w:rsidTr="000F18A8">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ABB9DD" w14:textId="58C3EA21"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Consultant</w:t>
            </w:r>
            <w:r w:rsidR="0074035D" w:rsidRPr="00E764A7">
              <w:rPr>
                <w:rFonts w:ascii="Arial" w:eastAsia="Times New Roman" w:hAnsi="Arial" w:cs="Arial"/>
                <w:b/>
                <w:bCs/>
                <w:color w:val="000000"/>
                <w:sz w:val="18"/>
                <w:szCs w:val="18"/>
              </w:rPr>
              <w:t xml:space="preserve">/Contracted </w:t>
            </w:r>
            <w:r w:rsidRPr="00E764A7">
              <w:rPr>
                <w:rFonts w:ascii="Arial" w:eastAsia="Times New Roman" w:hAnsi="Arial" w:cs="Arial"/>
                <w:b/>
                <w:bCs/>
                <w:color w:val="000000"/>
                <w:sz w:val="18"/>
                <w:szCs w:val="18"/>
              </w:rPr>
              <w:t xml:space="preserve">Services </w:t>
            </w:r>
          </w:p>
        </w:tc>
        <w:tc>
          <w:tcPr>
            <w:tcW w:w="900" w:type="dxa"/>
            <w:tcBorders>
              <w:top w:val="nil"/>
              <w:left w:val="nil"/>
              <w:bottom w:val="single" w:sz="4" w:space="0" w:color="auto"/>
              <w:right w:val="single" w:sz="4" w:space="0" w:color="auto"/>
            </w:tcBorders>
            <w:shd w:val="clear" w:color="auto" w:fill="auto"/>
            <w:vAlign w:val="center"/>
            <w:hideMark/>
          </w:tcPr>
          <w:p w14:paraId="1E065942"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541330</w:t>
            </w:r>
          </w:p>
        </w:tc>
        <w:tc>
          <w:tcPr>
            <w:tcW w:w="3600" w:type="dxa"/>
            <w:tcBorders>
              <w:top w:val="nil"/>
              <w:left w:val="nil"/>
              <w:bottom w:val="single" w:sz="4" w:space="0" w:color="auto"/>
              <w:right w:val="single" w:sz="4" w:space="0" w:color="auto"/>
            </w:tcBorders>
            <w:shd w:val="clear" w:color="auto" w:fill="auto"/>
            <w:vAlign w:val="center"/>
            <w:hideMark/>
          </w:tcPr>
          <w:p w14:paraId="749B0A1F"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Engineering Services</w:t>
            </w:r>
          </w:p>
        </w:tc>
        <w:tc>
          <w:tcPr>
            <w:tcW w:w="1230" w:type="dxa"/>
            <w:tcBorders>
              <w:top w:val="nil"/>
              <w:left w:val="nil"/>
              <w:bottom w:val="single" w:sz="4" w:space="0" w:color="auto"/>
              <w:right w:val="single" w:sz="4" w:space="0" w:color="auto"/>
            </w:tcBorders>
            <w:shd w:val="clear" w:color="auto" w:fill="auto"/>
            <w:vAlign w:val="center"/>
            <w:hideMark/>
          </w:tcPr>
          <w:p w14:paraId="7AE03C9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483</w:t>
            </w:r>
          </w:p>
        </w:tc>
        <w:tc>
          <w:tcPr>
            <w:tcW w:w="1230" w:type="dxa"/>
            <w:tcBorders>
              <w:top w:val="nil"/>
              <w:left w:val="nil"/>
              <w:bottom w:val="single" w:sz="4" w:space="0" w:color="auto"/>
              <w:right w:val="single" w:sz="4" w:space="0" w:color="auto"/>
            </w:tcBorders>
            <w:shd w:val="clear" w:color="auto" w:fill="auto"/>
            <w:vAlign w:val="center"/>
            <w:hideMark/>
          </w:tcPr>
          <w:p w14:paraId="0781A4CF" w14:textId="22541E44"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871</w:t>
            </w:r>
          </w:p>
        </w:tc>
        <w:tc>
          <w:tcPr>
            <w:tcW w:w="1230" w:type="dxa"/>
            <w:tcBorders>
              <w:top w:val="nil"/>
              <w:left w:val="nil"/>
              <w:bottom w:val="single" w:sz="4" w:space="0" w:color="auto"/>
              <w:right w:val="single" w:sz="4" w:space="0" w:color="auto"/>
            </w:tcBorders>
            <w:shd w:val="clear" w:color="auto" w:fill="auto"/>
            <w:vAlign w:val="center"/>
            <w:hideMark/>
          </w:tcPr>
          <w:p w14:paraId="139C49FB"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1A83E77D" w14:textId="77777777" w:rsidTr="000F18A8">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5495A5"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2BFD9BC2"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541620</w:t>
            </w:r>
          </w:p>
        </w:tc>
        <w:tc>
          <w:tcPr>
            <w:tcW w:w="3600" w:type="dxa"/>
            <w:tcBorders>
              <w:top w:val="nil"/>
              <w:left w:val="nil"/>
              <w:bottom w:val="single" w:sz="4" w:space="0" w:color="auto"/>
              <w:right w:val="single" w:sz="4" w:space="0" w:color="auto"/>
            </w:tcBorders>
            <w:shd w:val="clear" w:color="auto" w:fill="auto"/>
            <w:vAlign w:val="center"/>
            <w:hideMark/>
          </w:tcPr>
          <w:p w14:paraId="3B4D1986"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Environmental Consulting</w:t>
            </w:r>
          </w:p>
        </w:tc>
        <w:tc>
          <w:tcPr>
            <w:tcW w:w="1230" w:type="dxa"/>
            <w:tcBorders>
              <w:top w:val="nil"/>
              <w:left w:val="nil"/>
              <w:bottom w:val="single" w:sz="4" w:space="0" w:color="auto"/>
              <w:right w:val="single" w:sz="4" w:space="0" w:color="auto"/>
            </w:tcBorders>
            <w:shd w:val="clear" w:color="auto" w:fill="auto"/>
            <w:vAlign w:val="center"/>
            <w:hideMark/>
          </w:tcPr>
          <w:p w14:paraId="17D8FE6D"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165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55FC7"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622</w:t>
            </w:r>
          </w:p>
        </w:tc>
        <w:tc>
          <w:tcPr>
            <w:tcW w:w="1230" w:type="dxa"/>
            <w:tcBorders>
              <w:top w:val="nil"/>
              <w:left w:val="single" w:sz="4" w:space="0" w:color="auto"/>
              <w:bottom w:val="single" w:sz="4" w:space="0" w:color="auto"/>
              <w:right w:val="single" w:sz="4" w:space="0" w:color="auto"/>
            </w:tcBorders>
            <w:shd w:val="clear" w:color="auto" w:fill="auto"/>
            <w:vAlign w:val="center"/>
            <w:hideMark/>
          </w:tcPr>
          <w:p w14:paraId="355860BC"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1CAA4DA8" w14:textId="77777777" w:rsidTr="000F18A8">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545C0F"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2C5C8763"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541690</w:t>
            </w:r>
          </w:p>
        </w:tc>
        <w:tc>
          <w:tcPr>
            <w:tcW w:w="3600" w:type="dxa"/>
            <w:tcBorders>
              <w:top w:val="nil"/>
              <w:left w:val="nil"/>
              <w:bottom w:val="single" w:sz="4" w:space="0" w:color="auto"/>
              <w:right w:val="single" w:sz="4" w:space="0" w:color="auto"/>
            </w:tcBorders>
            <w:shd w:val="clear" w:color="auto" w:fill="auto"/>
            <w:vAlign w:val="center"/>
            <w:hideMark/>
          </w:tcPr>
          <w:p w14:paraId="74C2B5EE"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Other Scientific and Technical Consulting</w:t>
            </w:r>
          </w:p>
        </w:tc>
        <w:tc>
          <w:tcPr>
            <w:tcW w:w="1230" w:type="dxa"/>
            <w:tcBorders>
              <w:top w:val="nil"/>
              <w:left w:val="nil"/>
              <w:bottom w:val="single" w:sz="4" w:space="0" w:color="auto"/>
              <w:right w:val="single" w:sz="4" w:space="0" w:color="auto"/>
            </w:tcBorders>
            <w:shd w:val="clear" w:color="auto" w:fill="auto"/>
            <w:vAlign w:val="center"/>
            <w:hideMark/>
          </w:tcPr>
          <w:p w14:paraId="6CCA6AE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230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C746BCD" w14:textId="1019DB7E"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903</w:t>
            </w:r>
          </w:p>
        </w:tc>
        <w:tc>
          <w:tcPr>
            <w:tcW w:w="1230" w:type="dxa"/>
            <w:tcBorders>
              <w:top w:val="nil"/>
              <w:left w:val="nil"/>
              <w:bottom w:val="single" w:sz="4" w:space="0" w:color="auto"/>
              <w:right w:val="single" w:sz="4" w:space="0" w:color="auto"/>
            </w:tcBorders>
            <w:shd w:val="clear" w:color="auto" w:fill="auto"/>
            <w:vAlign w:val="center"/>
            <w:hideMark/>
          </w:tcPr>
          <w:p w14:paraId="09585465"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470309ED"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71EAE4" w14:textId="6EF9D5EB" w:rsidR="00670ACD" w:rsidRPr="00E764A7" w:rsidRDefault="00670ACD" w:rsidP="00670AC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14:paraId="494D03E5"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488410</w:t>
            </w:r>
          </w:p>
        </w:tc>
        <w:tc>
          <w:tcPr>
            <w:tcW w:w="3600" w:type="dxa"/>
            <w:tcBorders>
              <w:top w:val="nil"/>
              <w:left w:val="nil"/>
              <w:bottom w:val="single" w:sz="4" w:space="0" w:color="auto"/>
              <w:right w:val="single" w:sz="4" w:space="0" w:color="auto"/>
            </w:tcBorders>
            <w:shd w:val="clear" w:color="auto" w:fill="auto"/>
            <w:vAlign w:val="center"/>
            <w:hideMark/>
          </w:tcPr>
          <w:p w14:paraId="2A9B4494"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Motor Vehicle Towing</w:t>
            </w:r>
          </w:p>
        </w:tc>
        <w:tc>
          <w:tcPr>
            <w:tcW w:w="1230" w:type="dxa"/>
            <w:tcBorders>
              <w:top w:val="nil"/>
              <w:left w:val="nil"/>
              <w:bottom w:val="single" w:sz="4" w:space="0" w:color="auto"/>
              <w:right w:val="single" w:sz="4" w:space="0" w:color="auto"/>
            </w:tcBorders>
            <w:shd w:val="clear" w:color="auto" w:fill="auto"/>
            <w:vAlign w:val="center"/>
            <w:hideMark/>
          </w:tcPr>
          <w:p w14:paraId="21A2BA2F"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8</w:t>
            </w:r>
          </w:p>
        </w:tc>
        <w:tc>
          <w:tcPr>
            <w:tcW w:w="1230" w:type="dxa"/>
            <w:tcBorders>
              <w:top w:val="nil"/>
              <w:left w:val="nil"/>
              <w:bottom w:val="single" w:sz="4" w:space="0" w:color="auto"/>
              <w:right w:val="single" w:sz="4" w:space="0" w:color="auto"/>
            </w:tcBorders>
            <w:shd w:val="clear" w:color="auto" w:fill="auto"/>
            <w:vAlign w:val="center"/>
            <w:hideMark/>
          </w:tcPr>
          <w:p w14:paraId="7ACD5D6F"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551</w:t>
            </w:r>
          </w:p>
        </w:tc>
        <w:tc>
          <w:tcPr>
            <w:tcW w:w="1230" w:type="dxa"/>
            <w:tcBorders>
              <w:top w:val="nil"/>
              <w:left w:val="nil"/>
              <w:bottom w:val="single" w:sz="4" w:space="0" w:color="auto"/>
              <w:right w:val="single" w:sz="4" w:space="0" w:color="auto"/>
            </w:tcBorders>
            <w:shd w:val="clear" w:color="auto" w:fill="auto"/>
            <w:vAlign w:val="center"/>
            <w:hideMark/>
          </w:tcPr>
          <w:p w14:paraId="33866CA7"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7ED3DCE1"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AA098F8"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5E19540F"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541511</w:t>
            </w:r>
          </w:p>
        </w:tc>
        <w:tc>
          <w:tcPr>
            <w:tcW w:w="3600" w:type="dxa"/>
            <w:tcBorders>
              <w:top w:val="nil"/>
              <w:left w:val="nil"/>
              <w:bottom w:val="single" w:sz="4" w:space="0" w:color="auto"/>
              <w:right w:val="single" w:sz="4" w:space="0" w:color="auto"/>
            </w:tcBorders>
            <w:shd w:val="clear" w:color="auto" w:fill="auto"/>
            <w:vAlign w:val="center"/>
            <w:hideMark/>
          </w:tcPr>
          <w:p w14:paraId="0CBAA7DB"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Computer Programming (IT)</w:t>
            </w:r>
          </w:p>
        </w:tc>
        <w:tc>
          <w:tcPr>
            <w:tcW w:w="1230" w:type="dxa"/>
            <w:tcBorders>
              <w:top w:val="nil"/>
              <w:left w:val="nil"/>
              <w:bottom w:val="single" w:sz="4" w:space="0" w:color="auto"/>
              <w:right w:val="single" w:sz="4" w:space="0" w:color="auto"/>
            </w:tcBorders>
            <w:shd w:val="clear" w:color="auto" w:fill="auto"/>
            <w:vAlign w:val="center"/>
            <w:hideMark/>
          </w:tcPr>
          <w:p w14:paraId="6FC63F51"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146</w:t>
            </w:r>
          </w:p>
        </w:tc>
        <w:tc>
          <w:tcPr>
            <w:tcW w:w="1230" w:type="dxa"/>
            <w:tcBorders>
              <w:top w:val="nil"/>
              <w:left w:val="nil"/>
              <w:bottom w:val="single" w:sz="4" w:space="0" w:color="auto"/>
              <w:right w:val="single" w:sz="4" w:space="0" w:color="auto"/>
            </w:tcBorders>
            <w:shd w:val="clear" w:color="auto" w:fill="auto"/>
            <w:vAlign w:val="center"/>
            <w:hideMark/>
          </w:tcPr>
          <w:p w14:paraId="23780090" w14:textId="4B061A82"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150</w:t>
            </w:r>
          </w:p>
        </w:tc>
        <w:tc>
          <w:tcPr>
            <w:tcW w:w="1230" w:type="dxa"/>
            <w:tcBorders>
              <w:top w:val="nil"/>
              <w:left w:val="nil"/>
              <w:bottom w:val="single" w:sz="4" w:space="0" w:color="auto"/>
              <w:right w:val="single" w:sz="4" w:space="0" w:color="auto"/>
            </w:tcBorders>
            <w:shd w:val="clear" w:color="auto" w:fill="auto"/>
            <w:vAlign w:val="center"/>
            <w:hideMark/>
          </w:tcPr>
          <w:p w14:paraId="4DBA4AC9"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7EEE4505"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CD981B"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0A50FABC"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561611</w:t>
            </w:r>
          </w:p>
        </w:tc>
        <w:tc>
          <w:tcPr>
            <w:tcW w:w="3600" w:type="dxa"/>
            <w:tcBorders>
              <w:top w:val="nil"/>
              <w:left w:val="nil"/>
              <w:bottom w:val="single" w:sz="4" w:space="0" w:color="auto"/>
              <w:right w:val="single" w:sz="4" w:space="0" w:color="auto"/>
            </w:tcBorders>
            <w:shd w:val="clear" w:color="auto" w:fill="auto"/>
            <w:vAlign w:val="center"/>
            <w:hideMark/>
          </w:tcPr>
          <w:p w14:paraId="5FAFB73E"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Background Check Services</w:t>
            </w:r>
          </w:p>
        </w:tc>
        <w:tc>
          <w:tcPr>
            <w:tcW w:w="1230" w:type="dxa"/>
            <w:tcBorders>
              <w:top w:val="nil"/>
              <w:left w:val="nil"/>
              <w:bottom w:val="single" w:sz="4" w:space="0" w:color="auto"/>
              <w:right w:val="single" w:sz="4" w:space="0" w:color="auto"/>
            </w:tcBorders>
            <w:shd w:val="clear" w:color="auto" w:fill="auto"/>
            <w:vAlign w:val="center"/>
            <w:hideMark/>
          </w:tcPr>
          <w:p w14:paraId="7315A128"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22</w:t>
            </w:r>
          </w:p>
        </w:tc>
        <w:tc>
          <w:tcPr>
            <w:tcW w:w="1230" w:type="dxa"/>
            <w:tcBorders>
              <w:top w:val="nil"/>
              <w:left w:val="nil"/>
              <w:bottom w:val="single" w:sz="4" w:space="0" w:color="auto"/>
              <w:right w:val="single" w:sz="4" w:space="0" w:color="auto"/>
            </w:tcBorders>
            <w:shd w:val="clear" w:color="auto" w:fill="auto"/>
            <w:vAlign w:val="center"/>
            <w:hideMark/>
          </w:tcPr>
          <w:p w14:paraId="1FD4815B"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500</w:t>
            </w:r>
          </w:p>
        </w:tc>
        <w:tc>
          <w:tcPr>
            <w:tcW w:w="1230" w:type="dxa"/>
            <w:tcBorders>
              <w:top w:val="nil"/>
              <w:left w:val="nil"/>
              <w:bottom w:val="single" w:sz="4" w:space="0" w:color="auto"/>
              <w:right w:val="single" w:sz="4" w:space="0" w:color="auto"/>
            </w:tcBorders>
            <w:shd w:val="clear" w:color="auto" w:fill="auto"/>
            <w:vAlign w:val="center"/>
            <w:hideMark/>
          </w:tcPr>
          <w:p w14:paraId="3673436C"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4535BFAC"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DAD944"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07CDB057"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621999</w:t>
            </w:r>
          </w:p>
        </w:tc>
        <w:tc>
          <w:tcPr>
            <w:tcW w:w="3600" w:type="dxa"/>
            <w:tcBorders>
              <w:top w:val="nil"/>
              <w:left w:val="nil"/>
              <w:bottom w:val="single" w:sz="4" w:space="0" w:color="auto"/>
              <w:right w:val="single" w:sz="4" w:space="0" w:color="auto"/>
            </w:tcBorders>
            <w:shd w:val="clear" w:color="auto" w:fill="auto"/>
            <w:vAlign w:val="center"/>
            <w:hideMark/>
          </w:tcPr>
          <w:p w14:paraId="78F2BAA4" w14:textId="54E77A3A"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Drug and Alcohol Testing</w:t>
            </w:r>
          </w:p>
        </w:tc>
        <w:tc>
          <w:tcPr>
            <w:tcW w:w="1230" w:type="dxa"/>
            <w:tcBorders>
              <w:top w:val="nil"/>
              <w:left w:val="nil"/>
              <w:bottom w:val="single" w:sz="4" w:space="0" w:color="auto"/>
              <w:right w:val="single" w:sz="4" w:space="0" w:color="auto"/>
            </w:tcBorders>
            <w:shd w:val="clear" w:color="auto" w:fill="auto"/>
            <w:vAlign w:val="center"/>
            <w:hideMark/>
          </w:tcPr>
          <w:p w14:paraId="12EF18E5"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6</w:t>
            </w:r>
          </w:p>
        </w:tc>
        <w:tc>
          <w:tcPr>
            <w:tcW w:w="1230" w:type="dxa"/>
            <w:tcBorders>
              <w:top w:val="nil"/>
              <w:left w:val="nil"/>
              <w:bottom w:val="single" w:sz="4" w:space="0" w:color="auto"/>
              <w:right w:val="single" w:sz="4" w:space="0" w:color="auto"/>
            </w:tcBorders>
            <w:shd w:val="clear" w:color="auto" w:fill="auto"/>
            <w:vAlign w:val="center"/>
            <w:hideMark/>
          </w:tcPr>
          <w:p w14:paraId="799AD1A5"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425</w:t>
            </w:r>
          </w:p>
        </w:tc>
        <w:tc>
          <w:tcPr>
            <w:tcW w:w="1230" w:type="dxa"/>
            <w:tcBorders>
              <w:top w:val="nil"/>
              <w:left w:val="nil"/>
              <w:bottom w:val="single" w:sz="4" w:space="0" w:color="auto"/>
              <w:right w:val="single" w:sz="4" w:space="0" w:color="auto"/>
            </w:tcBorders>
            <w:shd w:val="clear" w:color="auto" w:fill="auto"/>
            <w:vAlign w:val="center"/>
            <w:hideMark/>
          </w:tcPr>
          <w:p w14:paraId="43699995"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2F17956D" w14:textId="77777777" w:rsidTr="00E00D09">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tcPr>
          <w:p w14:paraId="038D8BD3"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FFFFFF" w:themeFill="background1"/>
            <w:vAlign w:val="center"/>
          </w:tcPr>
          <w:p w14:paraId="6839D15A" w14:textId="77777777" w:rsidR="004D171D" w:rsidRPr="00E764A7" w:rsidRDefault="004D171D" w:rsidP="004D171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FFFFFF" w:themeFill="background1"/>
            <w:vAlign w:val="center"/>
          </w:tcPr>
          <w:p w14:paraId="0D215047" w14:textId="77777777" w:rsidR="004D171D" w:rsidRPr="00E764A7" w:rsidRDefault="004D171D" w:rsidP="004D171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FFFFFF" w:themeFill="background1"/>
            <w:vAlign w:val="center"/>
          </w:tcPr>
          <w:p w14:paraId="52115A75" w14:textId="09EC6E00"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r w:rsidR="00BE0E95">
              <w:rPr>
                <w:rFonts w:ascii="Arial" w:eastAsia="Times New Roman" w:hAnsi="Arial" w:cs="Arial"/>
                <w:color w:val="000000"/>
                <w:sz w:val="18"/>
                <w:szCs w:val="18"/>
              </w:rPr>
              <w:t>,</w:t>
            </w:r>
            <w:r w:rsidRPr="00E764A7">
              <w:rPr>
                <w:rFonts w:ascii="Arial" w:eastAsia="Times New Roman" w:hAnsi="Arial" w:cs="Arial"/>
                <w:color w:val="000000"/>
                <w:sz w:val="18"/>
                <w:szCs w:val="18"/>
              </w:rPr>
              <w:t>060</w:t>
            </w:r>
          </w:p>
        </w:tc>
        <w:tc>
          <w:tcPr>
            <w:tcW w:w="1230" w:type="dxa"/>
            <w:tcBorders>
              <w:top w:val="nil"/>
              <w:left w:val="nil"/>
              <w:bottom w:val="single" w:sz="4" w:space="0" w:color="auto"/>
              <w:right w:val="single" w:sz="4" w:space="0" w:color="auto"/>
            </w:tcBorders>
            <w:shd w:val="clear" w:color="auto" w:fill="FFFFFF" w:themeFill="background1"/>
            <w:vAlign w:val="center"/>
          </w:tcPr>
          <w:p w14:paraId="7EC809D9" w14:textId="5BA7895F"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12</w:t>
            </w:r>
            <w:r w:rsidR="00CD5782">
              <w:rPr>
                <w:rFonts w:ascii="Arial" w:eastAsia="Times New Roman" w:hAnsi="Arial" w:cs="Arial"/>
                <w:color w:val="000000"/>
                <w:sz w:val="18"/>
                <w:szCs w:val="18"/>
              </w:rPr>
              <w:t>,</w:t>
            </w:r>
            <w:r w:rsidRPr="00E764A7">
              <w:rPr>
                <w:rFonts w:ascii="Arial" w:eastAsia="Times New Roman" w:hAnsi="Arial" w:cs="Arial"/>
                <w:color w:val="000000"/>
                <w:sz w:val="18"/>
                <w:szCs w:val="18"/>
              </w:rPr>
              <w:t>022</w:t>
            </w:r>
          </w:p>
        </w:tc>
        <w:tc>
          <w:tcPr>
            <w:tcW w:w="1230" w:type="dxa"/>
            <w:tcBorders>
              <w:top w:val="nil"/>
              <w:left w:val="nil"/>
              <w:bottom w:val="single" w:sz="4" w:space="0" w:color="auto"/>
              <w:right w:val="single" w:sz="4" w:space="0" w:color="auto"/>
            </w:tcBorders>
            <w:shd w:val="clear" w:color="auto" w:fill="FFFFFF" w:themeFill="background1"/>
            <w:vAlign w:val="center"/>
          </w:tcPr>
          <w:p w14:paraId="5B2ED7BF" w14:textId="1FEA7FDD"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0.08817</w:t>
            </w:r>
          </w:p>
        </w:tc>
      </w:tr>
      <w:tr w:rsidR="000F18A8" w:rsidRPr="00E764A7" w14:paraId="5A18652C"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A06FB75"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Fuel</w:t>
            </w:r>
          </w:p>
        </w:tc>
        <w:tc>
          <w:tcPr>
            <w:tcW w:w="900" w:type="dxa"/>
            <w:tcBorders>
              <w:top w:val="nil"/>
              <w:left w:val="nil"/>
              <w:bottom w:val="single" w:sz="4" w:space="0" w:color="auto"/>
              <w:right w:val="single" w:sz="4" w:space="0" w:color="auto"/>
            </w:tcBorders>
            <w:shd w:val="clear" w:color="auto" w:fill="D9E2F3" w:themeFill="accent1" w:themeFillTint="33"/>
            <w:vAlign w:val="center"/>
            <w:hideMark/>
          </w:tcPr>
          <w:p w14:paraId="38E98667"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454310</w:t>
            </w:r>
          </w:p>
        </w:tc>
        <w:tc>
          <w:tcPr>
            <w:tcW w:w="3600" w:type="dxa"/>
            <w:tcBorders>
              <w:top w:val="nil"/>
              <w:left w:val="nil"/>
              <w:bottom w:val="single" w:sz="4" w:space="0" w:color="auto"/>
              <w:right w:val="single" w:sz="4" w:space="0" w:color="auto"/>
            </w:tcBorders>
            <w:shd w:val="clear" w:color="auto" w:fill="D9E2F3" w:themeFill="accent1" w:themeFillTint="33"/>
            <w:vAlign w:val="center"/>
            <w:hideMark/>
          </w:tcPr>
          <w:p w14:paraId="71D60185"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Fuel Dealers</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3A053EE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764C14C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92</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5FC66B8A"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5CCF9311" w14:textId="77777777" w:rsidTr="00E00D09">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7BAE41B7"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D9E2F3" w:themeFill="accent1" w:themeFillTint="33"/>
            <w:vAlign w:val="center"/>
          </w:tcPr>
          <w:p w14:paraId="671C0855" w14:textId="77777777" w:rsidR="004D171D" w:rsidRPr="00E764A7" w:rsidRDefault="004D171D" w:rsidP="004D171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D9E2F3" w:themeFill="accent1" w:themeFillTint="33"/>
            <w:vAlign w:val="center"/>
          </w:tcPr>
          <w:p w14:paraId="397892A6" w14:textId="77777777" w:rsidR="004D171D" w:rsidRPr="00E764A7" w:rsidRDefault="004D171D" w:rsidP="004D171D">
            <w:pPr>
              <w:rPr>
                <w:rFonts w:ascii="Arial" w:eastAsia="Times New Roman" w:hAnsi="Arial" w:cs="Arial"/>
                <w:color w:val="000000"/>
                <w:sz w:val="18"/>
                <w:szCs w:val="18"/>
              </w:rPr>
            </w:pPr>
          </w:p>
        </w:tc>
        <w:tc>
          <w:tcPr>
            <w:tcW w:w="1230" w:type="dxa"/>
            <w:tcBorders>
              <w:top w:val="nil"/>
              <w:left w:val="nil"/>
              <w:bottom w:val="single" w:sz="4" w:space="0" w:color="auto"/>
              <w:right w:val="single" w:sz="4" w:space="0" w:color="auto"/>
            </w:tcBorders>
            <w:shd w:val="clear" w:color="auto" w:fill="D9E2F3" w:themeFill="accent1" w:themeFillTint="33"/>
            <w:vAlign w:val="center"/>
          </w:tcPr>
          <w:p w14:paraId="619EC81D" w14:textId="371F8F06"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w:t>
            </w:r>
          </w:p>
        </w:tc>
        <w:tc>
          <w:tcPr>
            <w:tcW w:w="1230" w:type="dxa"/>
            <w:tcBorders>
              <w:top w:val="nil"/>
              <w:left w:val="nil"/>
              <w:bottom w:val="single" w:sz="4" w:space="0" w:color="auto"/>
              <w:right w:val="single" w:sz="4" w:space="0" w:color="auto"/>
            </w:tcBorders>
            <w:shd w:val="clear" w:color="auto" w:fill="D9E2F3" w:themeFill="accent1" w:themeFillTint="33"/>
            <w:vAlign w:val="center"/>
          </w:tcPr>
          <w:p w14:paraId="236FEA43" w14:textId="50BEB5F1"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92</w:t>
            </w:r>
          </w:p>
        </w:tc>
        <w:tc>
          <w:tcPr>
            <w:tcW w:w="1230" w:type="dxa"/>
            <w:tcBorders>
              <w:top w:val="nil"/>
              <w:left w:val="nil"/>
              <w:bottom w:val="single" w:sz="4" w:space="0" w:color="auto"/>
              <w:right w:val="single" w:sz="4" w:space="0" w:color="auto"/>
            </w:tcBorders>
            <w:shd w:val="clear" w:color="auto" w:fill="D9E2F3" w:themeFill="accent1" w:themeFillTint="33"/>
            <w:vAlign w:val="center"/>
          </w:tcPr>
          <w:p w14:paraId="177ACB22" w14:textId="6CD4CD8E"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0.02173</w:t>
            </w:r>
          </w:p>
        </w:tc>
      </w:tr>
      <w:tr w:rsidR="000F18A8" w:rsidRPr="00E764A7" w14:paraId="23AC6840"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EE333B"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xml:space="preserve">Insurance </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71304E00"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524210</w:t>
            </w:r>
          </w:p>
        </w:tc>
        <w:tc>
          <w:tcPr>
            <w:tcW w:w="3600" w:type="dxa"/>
            <w:tcBorders>
              <w:top w:val="nil"/>
              <w:left w:val="nil"/>
              <w:bottom w:val="single" w:sz="4" w:space="0" w:color="auto"/>
              <w:right w:val="single" w:sz="4" w:space="0" w:color="auto"/>
            </w:tcBorders>
            <w:shd w:val="clear" w:color="auto" w:fill="FFFFFF" w:themeFill="background1"/>
            <w:vAlign w:val="center"/>
            <w:hideMark/>
          </w:tcPr>
          <w:p w14:paraId="652D41AC"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xml:space="preserve">Insurance Agencies and Brokerages </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143D3E13"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0C832989" w14:textId="4433CDBC"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9</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132</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1EDD1CF3"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564BB295" w14:textId="77777777" w:rsidTr="00E00D09">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tcPr>
          <w:p w14:paraId="218A4A6A"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FFFFFF" w:themeFill="background1"/>
            <w:vAlign w:val="center"/>
          </w:tcPr>
          <w:p w14:paraId="51559162" w14:textId="77777777" w:rsidR="004D171D" w:rsidRPr="00E764A7" w:rsidRDefault="004D171D" w:rsidP="004D171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FFFFFF" w:themeFill="background1"/>
            <w:vAlign w:val="center"/>
          </w:tcPr>
          <w:p w14:paraId="5AB74460" w14:textId="77777777" w:rsidR="004D171D" w:rsidRPr="00E764A7" w:rsidRDefault="004D171D" w:rsidP="004D171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FFFFFF" w:themeFill="background1"/>
            <w:vAlign w:val="center"/>
          </w:tcPr>
          <w:p w14:paraId="43C706AB" w14:textId="61F46EC3"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w:t>
            </w:r>
          </w:p>
        </w:tc>
        <w:tc>
          <w:tcPr>
            <w:tcW w:w="1230" w:type="dxa"/>
            <w:tcBorders>
              <w:top w:val="nil"/>
              <w:left w:val="nil"/>
              <w:bottom w:val="single" w:sz="4" w:space="0" w:color="auto"/>
              <w:right w:val="single" w:sz="4" w:space="0" w:color="auto"/>
            </w:tcBorders>
            <w:shd w:val="clear" w:color="auto" w:fill="FFFFFF" w:themeFill="background1"/>
            <w:vAlign w:val="center"/>
          </w:tcPr>
          <w:p w14:paraId="4557A843" w14:textId="454DE983"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9</w:t>
            </w:r>
            <w:r w:rsidR="00CD5782">
              <w:rPr>
                <w:rFonts w:ascii="Arial" w:eastAsia="Times New Roman" w:hAnsi="Arial" w:cs="Arial"/>
                <w:color w:val="000000"/>
                <w:sz w:val="18"/>
                <w:szCs w:val="18"/>
              </w:rPr>
              <w:t>,</w:t>
            </w:r>
            <w:r w:rsidRPr="00E764A7">
              <w:rPr>
                <w:rFonts w:ascii="Arial" w:eastAsia="Times New Roman" w:hAnsi="Arial" w:cs="Arial"/>
                <w:color w:val="000000"/>
                <w:sz w:val="18"/>
                <w:szCs w:val="18"/>
              </w:rPr>
              <w:t>132</w:t>
            </w:r>
          </w:p>
        </w:tc>
        <w:tc>
          <w:tcPr>
            <w:tcW w:w="1230" w:type="dxa"/>
            <w:tcBorders>
              <w:top w:val="nil"/>
              <w:left w:val="nil"/>
              <w:bottom w:val="single" w:sz="4" w:space="0" w:color="auto"/>
              <w:right w:val="single" w:sz="4" w:space="0" w:color="auto"/>
            </w:tcBorders>
            <w:shd w:val="clear" w:color="auto" w:fill="FFFFFF" w:themeFill="background1"/>
            <w:vAlign w:val="center"/>
          </w:tcPr>
          <w:p w14:paraId="4EDED985" w14:textId="5861C6CE"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0.00043</w:t>
            </w:r>
          </w:p>
        </w:tc>
      </w:tr>
      <w:tr w:rsidR="000F18A8" w:rsidRPr="00E764A7" w14:paraId="1140B4F2"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8282E27"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Materials/Supplies</w:t>
            </w:r>
          </w:p>
        </w:tc>
        <w:tc>
          <w:tcPr>
            <w:tcW w:w="900" w:type="dxa"/>
            <w:tcBorders>
              <w:top w:val="nil"/>
              <w:left w:val="nil"/>
              <w:bottom w:val="single" w:sz="4" w:space="0" w:color="auto"/>
              <w:right w:val="single" w:sz="4" w:space="0" w:color="auto"/>
            </w:tcBorders>
            <w:shd w:val="clear" w:color="auto" w:fill="D9E2F3" w:themeFill="accent1" w:themeFillTint="33"/>
            <w:vAlign w:val="center"/>
            <w:hideMark/>
          </w:tcPr>
          <w:p w14:paraId="287F4BE9"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424120</w:t>
            </w:r>
          </w:p>
        </w:tc>
        <w:tc>
          <w:tcPr>
            <w:tcW w:w="3600" w:type="dxa"/>
            <w:tcBorders>
              <w:top w:val="nil"/>
              <w:left w:val="nil"/>
              <w:bottom w:val="single" w:sz="4" w:space="0" w:color="auto"/>
              <w:right w:val="single" w:sz="4" w:space="0" w:color="auto"/>
            </w:tcBorders>
            <w:shd w:val="clear" w:color="auto" w:fill="D9E2F3" w:themeFill="accent1" w:themeFillTint="33"/>
            <w:vAlign w:val="center"/>
            <w:hideMark/>
          </w:tcPr>
          <w:p w14:paraId="368FF6E6" w14:textId="0F917BFD"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Stationery and Office Supplies</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4BFF9372"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11</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26C8579B"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179</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6ED58AF4"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7D7CF0DD" w14:textId="77777777" w:rsidTr="0074035D">
        <w:trPr>
          <w:trHeight w:val="276"/>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A6A5697"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D9E2F3" w:themeFill="accent1" w:themeFillTint="33"/>
            <w:vAlign w:val="center"/>
            <w:hideMark/>
          </w:tcPr>
          <w:p w14:paraId="5C88E547"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423430</w:t>
            </w:r>
          </w:p>
        </w:tc>
        <w:tc>
          <w:tcPr>
            <w:tcW w:w="3600" w:type="dxa"/>
            <w:tcBorders>
              <w:top w:val="nil"/>
              <w:left w:val="nil"/>
              <w:bottom w:val="single" w:sz="4" w:space="0" w:color="auto"/>
              <w:right w:val="single" w:sz="4" w:space="0" w:color="auto"/>
            </w:tcBorders>
            <w:shd w:val="clear" w:color="auto" w:fill="D9E2F3" w:themeFill="accent1" w:themeFillTint="33"/>
            <w:vAlign w:val="center"/>
            <w:hideMark/>
          </w:tcPr>
          <w:p w14:paraId="0AD0A98A"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Computers and Software </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0204D752"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21</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0EC52382"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580</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3BEFE6FB"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4089A1DA" w14:textId="77777777" w:rsidTr="00E2105F">
        <w:trPr>
          <w:trHeight w:val="276"/>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B2699B2"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D9E2F3" w:themeFill="accent1" w:themeFillTint="33"/>
            <w:vAlign w:val="center"/>
          </w:tcPr>
          <w:p w14:paraId="32E314C3" w14:textId="77777777" w:rsidR="004D171D" w:rsidRPr="00E764A7" w:rsidRDefault="004D171D" w:rsidP="004D171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D9E2F3" w:themeFill="accent1" w:themeFillTint="33"/>
            <w:vAlign w:val="center"/>
          </w:tcPr>
          <w:p w14:paraId="4CA0412D" w14:textId="77777777" w:rsidR="004D171D" w:rsidRPr="00E764A7" w:rsidRDefault="004D171D" w:rsidP="004D171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D9E2F3" w:themeFill="accent1" w:themeFillTint="33"/>
          </w:tcPr>
          <w:p w14:paraId="3AF12800" w14:textId="44654D71"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32</w:t>
            </w:r>
          </w:p>
        </w:tc>
        <w:tc>
          <w:tcPr>
            <w:tcW w:w="1230" w:type="dxa"/>
            <w:tcBorders>
              <w:top w:val="nil"/>
              <w:left w:val="nil"/>
              <w:bottom w:val="single" w:sz="4" w:space="0" w:color="auto"/>
              <w:right w:val="single" w:sz="4" w:space="0" w:color="auto"/>
            </w:tcBorders>
            <w:shd w:val="clear" w:color="auto" w:fill="D9E2F3" w:themeFill="accent1" w:themeFillTint="33"/>
          </w:tcPr>
          <w:p w14:paraId="50985ADF" w14:textId="7D58C4F5"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759</w:t>
            </w:r>
          </w:p>
        </w:tc>
        <w:tc>
          <w:tcPr>
            <w:tcW w:w="1230" w:type="dxa"/>
            <w:tcBorders>
              <w:top w:val="nil"/>
              <w:left w:val="nil"/>
              <w:bottom w:val="single" w:sz="4" w:space="0" w:color="auto"/>
              <w:right w:val="single" w:sz="4" w:space="0" w:color="auto"/>
            </w:tcBorders>
            <w:shd w:val="clear" w:color="auto" w:fill="D9E2F3" w:themeFill="accent1" w:themeFillTint="33"/>
          </w:tcPr>
          <w:p w14:paraId="7FE2F2CD" w14:textId="2A24C1B6"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0.04216</w:t>
            </w:r>
          </w:p>
        </w:tc>
      </w:tr>
      <w:tr w:rsidR="000F18A8" w:rsidRPr="00E764A7" w14:paraId="1BABFF7E" w14:textId="77777777" w:rsidTr="0074035D">
        <w:trPr>
          <w:trHeight w:val="276"/>
        </w:trPr>
        <w:tc>
          <w:tcPr>
            <w:tcW w:w="18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314BA4"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xml:space="preserve">Training </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272FA813"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611430</w:t>
            </w:r>
          </w:p>
        </w:tc>
        <w:tc>
          <w:tcPr>
            <w:tcW w:w="3600" w:type="dxa"/>
            <w:tcBorders>
              <w:top w:val="nil"/>
              <w:left w:val="nil"/>
              <w:bottom w:val="single" w:sz="4" w:space="0" w:color="auto"/>
              <w:right w:val="single" w:sz="4" w:space="0" w:color="auto"/>
            </w:tcBorders>
            <w:shd w:val="clear" w:color="auto" w:fill="FFFFFF" w:themeFill="background1"/>
            <w:vAlign w:val="center"/>
            <w:hideMark/>
          </w:tcPr>
          <w:p w14:paraId="6A4F9E0B"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Professional Development </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0B6EEE3B"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145</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39B605E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508</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170E53A8"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68D0A24C" w14:textId="77777777" w:rsidTr="0074035D">
        <w:trPr>
          <w:trHeight w:val="276"/>
        </w:trPr>
        <w:tc>
          <w:tcPr>
            <w:tcW w:w="18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7545BD"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1E0129A5"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611519</w:t>
            </w:r>
          </w:p>
        </w:tc>
        <w:tc>
          <w:tcPr>
            <w:tcW w:w="3600" w:type="dxa"/>
            <w:tcBorders>
              <w:top w:val="nil"/>
              <w:left w:val="nil"/>
              <w:bottom w:val="single" w:sz="4" w:space="0" w:color="auto"/>
              <w:right w:val="single" w:sz="4" w:space="0" w:color="auto"/>
            </w:tcBorders>
            <w:shd w:val="clear" w:color="auto" w:fill="FFFFFF" w:themeFill="background1"/>
            <w:vAlign w:val="center"/>
            <w:hideMark/>
          </w:tcPr>
          <w:p w14:paraId="2DA76B72"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Bus Driver Training </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0AD1B95A"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9</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2AC0695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339</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3297136A"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2DE36D28" w14:textId="77777777" w:rsidTr="00C709A1">
        <w:trPr>
          <w:trHeight w:val="276"/>
        </w:trPr>
        <w:tc>
          <w:tcPr>
            <w:tcW w:w="1885" w:type="dxa"/>
            <w:tcBorders>
              <w:top w:val="nil"/>
              <w:left w:val="single" w:sz="4" w:space="0" w:color="auto"/>
              <w:bottom w:val="single" w:sz="4" w:space="0" w:color="auto"/>
              <w:right w:val="single" w:sz="4" w:space="0" w:color="auto"/>
            </w:tcBorders>
            <w:shd w:val="clear" w:color="auto" w:fill="FFFFFF" w:themeFill="background1"/>
            <w:vAlign w:val="center"/>
          </w:tcPr>
          <w:p w14:paraId="7D83292D"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FFFFFF" w:themeFill="background1"/>
            <w:vAlign w:val="center"/>
          </w:tcPr>
          <w:p w14:paraId="2BCFB143" w14:textId="77777777" w:rsidR="004D171D" w:rsidRPr="00E764A7" w:rsidRDefault="004D171D" w:rsidP="004D171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FFFFFF" w:themeFill="background1"/>
            <w:vAlign w:val="center"/>
          </w:tcPr>
          <w:p w14:paraId="59D03260" w14:textId="77777777" w:rsidR="004D171D" w:rsidRPr="00E764A7" w:rsidRDefault="004D171D" w:rsidP="004D171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FFFFFF" w:themeFill="background1"/>
          </w:tcPr>
          <w:p w14:paraId="23298151" w14:textId="26511D6E"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154</w:t>
            </w:r>
          </w:p>
        </w:tc>
        <w:tc>
          <w:tcPr>
            <w:tcW w:w="1230" w:type="dxa"/>
            <w:tcBorders>
              <w:top w:val="nil"/>
              <w:left w:val="nil"/>
              <w:bottom w:val="single" w:sz="4" w:space="0" w:color="auto"/>
              <w:right w:val="single" w:sz="4" w:space="0" w:color="auto"/>
            </w:tcBorders>
            <w:shd w:val="clear" w:color="auto" w:fill="FFFFFF" w:themeFill="background1"/>
          </w:tcPr>
          <w:p w14:paraId="0A52BE3F" w14:textId="10E2D058"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847</w:t>
            </w:r>
          </w:p>
        </w:tc>
        <w:tc>
          <w:tcPr>
            <w:tcW w:w="1230" w:type="dxa"/>
            <w:tcBorders>
              <w:top w:val="nil"/>
              <w:left w:val="nil"/>
              <w:bottom w:val="single" w:sz="4" w:space="0" w:color="auto"/>
              <w:right w:val="single" w:sz="4" w:space="0" w:color="auto"/>
            </w:tcBorders>
            <w:shd w:val="clear" w:color="auto" w:fill="FFFFFF" w:themeFill="background1"/>
          </w:tcPr>
          <w:p w14:paraId="235924BF" w14:textId="1E47757E"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0.18181</w:t>
            </w:r>
          </w:p>
        </w:tc>
      </w:tr>
      <w:tr w:rsidR="000F18A8" w:rsidRPr="00E764A7" w14:paraId="2B8D0E15" w14:textId="77777777" w:rsidTr="0074035D">
        <w:trPr>
          <w:trHeight w:val="276"/>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6EF20D1"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xml:space="preserve">Transit Services </w:t>
            </w:r>
          </w:p>
        </w:tc>
        <w:tc>
          <w:tcPr>
            <w:tcW w:w="900" w:type="dxa"/>
            <w:tcBorders>
              <w:top w:val="nil"/>
              <w:left w:val="nil"/>
              <w:bottom w:val="single" w:sz="4" w:space="0" w:color="auto"/>
              <w:right w:val="single" w:sz="4" w:space="0" w:color="auto"/>
            </w:tcBorders>
            <w:shd w:val="clear" w:color="auto" w:fill="D9E2F3" w:themeFill="accent1" w:themeFillTint="33"/>
            <w:vAlign w:val="center"/>
            <w:hideMark/>
          </w:tcPr>
          <w:p w14:paraId="3ECAB849"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485113</w:t>
            </w:r>
          </w:p>
        </w:tc>
        <w:tc>
          <w:tcPr>
            <w:tcW w:w="3600" w:type="dxa"/>
            <w:tcBorders>
              <w:top w:val="nil"/>
              <w:left w:val="nil"/>
              <w:bottom w:val="single" w:sz="4" w:space="0" w:color="auto"/>
              <w:right w:val="single" w:sz="4" w:space="0" w:color="auto"/>
            </w:tcBorders>
            <w:shd w:val="clear" w:color="auto" w:fill="D9E2F3" w:themeFill="accent1" w:themeFillTint="33"/>
            <w:vAlign w:val="center"/>
            <w:hideMark/>
          </w:tcPr>
          <w:p w14:paraId="020C9181"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Bus and Other Motor Vehicle Transit Systems</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3736B231"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10</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485EE1B6"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25</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7B05E0C6"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10ECFA5A"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D6202BC"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D9E2F3" w:themeFill="accent1" w:themeFillTint="33"/>
            <w:vAlign w:val="center"/>
            <w:hideMark/>
          </w:tcPr>
          <w:p w14:paraId="140FCE9A"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485210</w:t>
            </w:r>
          </w:p>
        </w:tc>
        <w:tc>
          <w:tcPr>
            <w:tcW w:w="3600" w:type="dxa"/>
            <w:tcBorders>
              <w:top w:val="nil"/>
              <w:left w:val="nil"/>
              <w:bottom w:val="single" w:sz="4" w:space="0" w:color="auto"/>
              <w:right w:val="single" w:sz="4" w:space="0" w:color="auto"/>
            </w:tcBorders>
            <w:shd w:val="clear" w:color="auto" w:fill="D9E2F3" w:themeFill="accent1" w:themeFillTint="33"/>
            <w:vAlign w:val="center"/>
            <w:hideMark/>
          </w:tcPr>
          <w:p w14:paraId="3D75976D"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Interurban and Rural Bus Service </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633F1440"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05F8CB6C"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18</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34A09E7D"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40CE45F3"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4D1979"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D9E2F3" w:themeFill="accent1" w:themeFillTint="33"/>
            <w:vAlign w:val="center"/>
            <w:hideMark/>
          </w:tcPr>
          <w:p w14:paraId="1ED71B70"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485991</w:t>
            </w:r>
          </w:p>
        </w:tc>
        <w:tc>
          <w:tcPr>
            <w:tcW w:w="3600" w:type="dxa"/>
            <w:tcBorders>
              <w:top w:val="nil"/>
              <w:left w:val="nil"/>
              <w:bottom w:val="single" w:sz="4" w:space="0" w:color="auto"/>
              <w:right w:val="single" w:sz="4" w:space="0" w:color="auto"/>
            </w:tcBorders>
            <w:shd w:val="clear" w:color="auto" w:fill="D9E2F3" w:themeFill="accent1" w:themeFillTint="33"/>
            <w:vAlign w:val="center"/>
            <w:hideMark/>
          </w:tcPr>
          <w:p w14:paraId="3D44617E"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Special Needs Transportation </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035CF565"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39</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203ED645"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229</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25AEDFD9"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46F2F75F"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45E4502"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D9E2F3" w:themeFill="accent1" w:themeFillTint="33"/>
            <w:vAlign w:val="center"/>
            <w:hideMark/>
          </w:tcPr>
          <w:p w14:paraId="6F8A2D5F"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485999</w:t>
            </w:r>
          </w:p>
        </w:tc>
        <w:tc>
          <w:tcPr>
            <w:tcW w:w="3600" w:type="dxa"/>
            <w:tcBorders>
              <w:top w:val="nil"/>
              <w:left w:val="nil"/>
              <w:bottom w:val="single" w:sz="4" w:space="0" w:color="auto"/>
              <w:right w:val="single" w:sz="4" w:space="0" w:color="auto"/>
            </w:tcBorders>
            <w:shd w:val="clear" w:color="auto" w:fill="D9E2F3" w:themeFill="accent1" w:themeFillTint="33"/>
            <w:vAlign w:val="center"/>
            <w:hideMark/>
          </w:tcPr>
          <w:p w14:paraId="22FB98F0"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Other Ground Transportation</w:t>
            </w:r>
          </w:p>
        </w:tc>
        <w:tc>
          <w:tcPr>
            <w:tcW w:w="1230" w:type="dxa"/>
            <w:tcBorders>
              <w:top w:val="nil"/>
              <w:left w:val="nil"/>
              <w:bottom w:val="single" w:sz="4" w:space="0" w:color="auto"/>
              <w:right w:val="single" w:sz="4" w:space="0" w:color="auto"/>
            </w:tcBorders>
            <w:shd w:val="clear" w:color="auto" w:fill="D9E2F3" w:themeFill="accent1" w:themeFillTint="33"/>
            <w:vAlign w:val="center"/>
            <w:hideMark/>
          </w:tcPr>
          <w:p w14:paraId="2926F9B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37</w:t>
            </w:r>
          </w:p>
        </w:tc>
        <w:tc>
          <w:tcPr>
            <w:tcW w:w="123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747BD9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208</w:t>
            </w:r>
          </w:p>
        </w:tc>
        <w:tc>
          <w:tcPr>
            <w:tcW w:w="123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6416CAC"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1BAAE405" w14:textId="77777777" w:rsidTr="00620627">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57EAF6F1"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D9E2F3" w:themeFill="accent1" w:themeFillTint="33"/>
            <w:vAlign w:val="center"/>
          </w:tcPr>
          <w:p w14:paraId="6C106160" w14:textId="77777777" w:rsidR="004D171D" w:rsidRPr="00E764A7" w:rsidRDefault="004D171D" w:rsidP="004D171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D9E2F3" w:themeFill="accent1" w:themeFillTint="33"/>
            <w:vAlign w:val="center"/>
          </w:tcPr>
          <w:p w14:paraId="4B749A4F" w14:textId="77777777" w:rsidR="004D171D" w:rsidRPr="00E764A7" w:rsidRDefault="004D171D" w:rsidP="004D171D">
            <w:pPr>
              <w:rPr>
                <w:rFonts w:ascii="Arial" w:eastAsia="Times New Roman" w:hAnsi="Arial" w:cs="Arial"/>
                <w:b/>
                <w:bCs/>
                <w:color w:val="000000"/>
                <w:sz w:val="18"/>
                <w:szCs w:val="18"/>
              </w:rPr>
            </w:pPr>
          </w:p>
        </w:tc>
        <w:tc>
          <w:tcPr>
            <w:tcW w:w="1230" w:type="dxa"/>
            <w:tcBorders>
              <w:top w:val="nil"/>
              <w:left w:val="nil"/>
              <w:bottom w:val="single" w:sz="4" w:space="0" w:color="auto"/>
              <w:right w:val="single" w:sz="4" w:space="0" w:color="auto"/>
            </w:tcBorders>
            <w:shd w:val="clear" w:color="auto" w:fill="D9E2F3" w:themeFill="accent1" w:themeFillTint="33"/>
          </w:tcPr>
          <w:p w14:paraId="53509B0B" w14:textId="36138602"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87</w:t>
            </w:r>
          </w:p>
        </w:tc>
        <w:tc>
          <w:tcPr>
            <w:tcW w:w="1230" w:type="dxa"/>
            <w:tcBorders>
              <w:top w:val="single" w:sz="4" w:space="0" w:color="auto"/>
              <w:left w:val="nil"/>
              <w:bottom w:val="single" w:sz="4" w:space="0" w:color="auto"/>
              <w:right w:val="single" w:sz="4" w:space="0" w:color="auto"/>
            </w:tcBorders>
            <w:shd w:val="clear" w:color="auto" w:fill="D9E2F3" w:themeFill="accent1" w:themeFillTint="33"/>
          </w:tcPr>
          <w:p w14:paraId="5658E6BC" w14:textId="2608BED7"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480</w:t>
            </w:r>
          </w:p>
        </w:tc>
        <w:tc>
          <w:tcPr>
            <w:tcW w:w="1230" w:type="dxa"/>
            <w:tcBorders>
              <w:top w:val="nil"/>
              <w:left w:val="nil"/>
              <w:bottom w:val="single" w:sz="4" w:space="0" w:color="auto"/>
              <w:right w:val="single" w:sz="4" w:space="0" w:color="auto"/>
            </w:tcBorders>
            <w:shd w:val="clear" w:color="auto" w:fill="D9E2F3" w:themeFill="accent1" w:themeFillTint="33"/>
          </w:tcPr>
          <w:p w14:paraId="2B98B029" w14:textId="388DF5DA"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0.18125</w:t>
            </w:r>
          </w:p>
        </w:tc>
      </w:tr>
      <w:tr w:rsidR="000F18A8" w:rsidRPr="00E764A7" w14:paraId="78B66531"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08DF23" w14:textId="3EE01F4D"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Vehicle</w:t>
            </w:r>
            <w:r w:rsidR="000F18A8" w:rsidRPr="00E764A7">
              <w:rPr>
                <w:rFonts w:ascii="Arial" w:eastAsia="Times New Roman" w:hAnsi="Arial" w:cs="Arial"/>
                <w:b/>
                <w:bCs/>
                <w:color w:val="000000"/>
                <w:sz w:val="18"/>
                <w:szCs w:val="18"/>
              </w:rPr>
              <w:t>/</w:t>
            </w:r>
            <w:r w:rsidRPr="00E764A7">
              <w:rPr>
                <w:rFonts w:ascii="Arial" w:eastAsia="Times New Roman" w:hAnsi="Arial" w:cs="Arial"/>
                <w:b/>
                <w:bCs/>
                <w:color w:val="000000"/>
                <w:sz w:val="18"/>
                <w:szCs w:val="18"/>
              </w:rPr>
              <w:t xml:space="preserve">Vehicle Maintenance </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59652392"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423110</w:t>
            </w:r>
          </w:p>
        </w:tc>
        <w:tc>
          <w:tcPr>
            <w:tcW w:w="3600" w:type="dxa"/>
            <w:tcBorders>
              <w:top w:val="nil"/>
              <w:left w:val="nil"/>
              <w:bottom w:val="single" w:sz="4" w:space="0" w:color="auto"/>
              <w:right w:val="single" w:sz="4" w:space="0" w:color="auto"/>
            </w:tcBorders>
            <w:shd w:val="clear" w:color="auto" w:fill="FFFFFF" w:themeFill="background1"/>
            <w:vAlign w:val="center"/>
            <w:hideMark/>
          </w:tcPr>
          <w:p w14:paraId="18127A93"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Automobile and Other Motor Vehicle Merchant Wholesalers</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17F5076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3</w:t>
            </w:r>
          </w:p>
        </w:tc>
        <w:tc>
          <w:tcPr>
            <w:tcW w:w="123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2A0EDA"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436</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1E889485"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2CD716B3"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54EF75"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3D730949"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Arial" w:hAnsi="Arial" w:cs="Arial"/>
                <w:b/>
                <w:bCs/>
                <w:color w:val="000000"/>
                <w:sz w:val="18"/>
                <w:szCs w:val="18"/>
              </w:rPr>
              <w:t>423120</w:t>
            </w:r>
          </w:p>
        </w:tc>
        <w:tc>
          <w:tcPr>
            <w:tcW w:w="3600" w:type="dxa"/>
            <w:tcBorders>
              <w:top w:val="nil"/>
              <w:left w:val="nil"/>
              <w:bottom w:val="single" w:sz="4" w:space="0" w:color="auto"/>
              <w:right w:val="single" w:sz="4" w:space="0" w:color="auto"/>
            </w:tcBorders>
            <w:shd w:val="clear" w:color="auto" w:fill="FFFFFF" w:themeFill="background1"/>
            <w:vAlign w:val="center"/>
            <w:hideMark/>
          </w:tcPr>
          <w:p w14:paraId="01380EB0"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Motor Vehicle Supplies and New Parts Merchant Wholesalers</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5E982F42"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6</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0F59CF1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717</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036AA20A"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64BCC4C0"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8EAC4A"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467475DD"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811111</w:t>
            </w:r>
          </w:p>
        </w:tc>
        <w:tc>
          <w:tcPr>
            <w:tcW w:w="3600" w:type="dxa"/>
            <w:tcBorders>
              <w:top w:val="nil"/>
              <w:left w:val="nil"/>
              <w:bottom w:val="single" w:sz="4" w:space="0" w:color="auto"/>
              <w:right w:val="single" w:sz="4" w:space="0" w:color="auto"/>
            </w:tcBorders>
            <w:shd w:val="clear" w:color="auto" w:fill="FFFFFF" w:themeFill="background1"/>
            <w:vAlign w:val="center"/>
            <w:hideMark/>
          </w:tcPr>
          <w:p w14:paraId="7CDA7719"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xml:space="preserve">General Automotive Repair </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6417F5C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063D1C08" w14:textId="12687D5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4</w:t>
            </w:r>
            <w:r w:rsidR="007340B1" w:rsidRPr="00E764A7">
              <w:rPr>
                <w:rFonts w:ascii="Arial" w:eastAsia="Times New Roman" w:hAnsi="Arial" w:cs="Arial"/>
                <w:color w:val="000000"/>
                <w:sz w:val="18"/>
                <w:szCs w:val="18"/>
              </w:rPr>
              <w:t>,</w:t>
            </w:r>
            <w:r w:rsidRPr="00E764A7">
              <w:rPr>
                <w:rFonts w:ascii="Arial" w:eastAsia="Times New Roman" w:hAnsi="Arial" w:cs="Arial"/>
                <w:color w:val="000000"/>
                <w:sz w:val="18"/>
                <w:szCs w:val="18"/>
              </w:rPr>
              <w:t>752</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7169039E"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42D8C1D2"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D4D96F"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58A64F70"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811113</w:t>
            </w:r>
          </w:p>
        </w:tc>
        <w:tc>
          <w:tcPr>
            <w:tcW w:w="3600" w:type="dxa"/>
            <w:tcBorders>
              <w:top w:val="nil"/>
              <w:left w:val="nil"/>
              <w:bottom w:val="single" w:sz="4" w:space="0" w:color="auto"/>
              <w:right w:val="single" w:sz="4" w:space="0" w:color="auto"/>
            </w:tcBorders>
            <w:shd w:val="clear" w:color="auto" w:fill="FFFFFF" w:themeFill="background1"/>
            <w:vAlign w:val="center"/>
            <w:hideMark/>
          </w:tcPr>
          <w:p w14:paraId="7F426CE7"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Automotive Transmission Repair</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3258C55E"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0</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12986CE9"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285</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7C96DE3D"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0F18A8" w:rsidRPr="00E764A7" w14:paraId="5DC538F4"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907247" w14:textId="77777777"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107CD13B" w14:textId="77777777" w:rsidR="00670ACD" w:rsidRPr="00E764A7" w:rsidRDefault="00670ACD" w:rsidP="00670ACD">
            <w:pPr>
              <w:jc w:val="right"/>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811121</w:t>
            </w:r>
          </w:p>
        </w:tc>
        <w:tc>
          <w:tcPr>
            <w:tcW w:w="3600" w:type="dxa"/>
            <w:tcBorders>
              <w:top w:val="nil"/>
              <w:left w:val="nil"/>
              <w:bottom w:val="single" w:sz="4" w:space="0" w:color="auto"/>
              <w:right w:val="single" w:sz="4" w:space="0" w:color="auto"/>
            </w:tcBorders>
            <w:shd w:val="clear" w:color="auto" w:fill="FFFFFF" w:themeFill="background1"/>
            <w:vAlign w:val="center"/>
            <w:hideMark/>
          </w:tcPr>
          <w:p w14:paraId="1F738A32" w14:textId="77777777" w:rsidR="00670ACD" w:rsidRPr="00E764A7" w:rsidRDefault="00670ACD" w:rsidP="00670ACD">
            <w:pPr>
              <w:rPr>
                <w:rFonts w:ascii="Arial" w:eastAsia="Times New Roman" w:hAnsi="Arial" w:cs="Arial"/>
                <w:color w:val="000000"/>
                <w:sz w:val="18"/>
                <w:szCs w:val="18"/>
              </w:rPr>
            </w:pPr>
            <w:r w:rsidRPr="00E764A7">
              <w:rPr>
                <w:rFonts w:ascii="Arial" w:eastAsia="Arial" w:hAnsi="Arial" w:cs="Arial"/>
                <w:color w:val="000000"/>
                <w:sz w:val="18"/>
                <w:szCs w:val="18"/>
              </w:rPr>
              <w:t xml:space="preserve">Body Shops and Repair </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2E8957C3"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0</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65F8A523" w14:textId="77777777"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259</w:t>
            </w:r>
          </w:p>
        </w:tc>
        <w:tc>
          <w:tcPr>
            <w:tcW w:w="1230" w:type="dxa"/>
            <w:tcBorders>
              <w:top w:val="nil"/>
              <w:left w:val="nil"/>
              <w:bottom w:val="single" w:sz="4" w:space="0" w:color="auto"/>
              <w:right w:val="single" w:sz="4" w:space="0" w:color="auto"/>
            </w:tcBorders>
            <w:shd w:val="clear" w:color="auto" w:fill="FFFFFF" w:themeFill="background1"/>
            <w:vAlign w:val="center"/>
            <w:hideMark/>
          </w:tcPr>
          <w:p w14:paraId="0EE40CA1" w14:textId="77777777"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color w:val="000000"/>
                <w:sz w:val="18"/>
                <w:szCs w:val="18"/>
              </w:rPr>
              <w:t> </w:t>
            </w:r>
          </w:p>
        </w:tc>
      </w:tr>
      <w:tr w:rsidR="004D171D" w:rsidRPr="00E764A7" w14:paraId="2FD4FA26" w14:textId="77777777" w:rsidTr="007D7FE0">
        <w:trPr>
          <w:trHeight w:val="288"/>
        </w:trPr>
        <w:tc>
          <w:tcPr>
            <w:tcW w:w="1885" w:type="dxa"/>
            <w:tcBorders>
              <w:top w:val="nil"/>
              <w:left w:val="single" w:sz="4" w:space="0" w:color="auto"/>
              <w:bottom w:val="single" w:sz="4" w:space="0" w:color="auto"/>
              <w:right w:val="single" w:sz="4" w:space="0" w:color="auto"/>
            </w:tcBorders>
            <w:shd w:val="clear" w:color="auto" w:fill="FFFFFF" w:themeFill="background1"/>
            <w:vAlign w:val="center"/>
          </w:tcPr>
          <w:p w14:paraId="6E2C7F06" w14:textId="77777777" w:rsidR="004D171D" w:rsidRPr="00E764A7" w:rsidRDefault="004D171D" w:rsidP="004D171D">
            <w:pPr>
              <w:rPr>
                <w:rFonts w:ascii="Arial" w:eastAsia="Times New Roman" w:hAnsi="Arial" w:cs="Arial"/>
                <w:b/>
                <w:bCs/>
                <w:color w:val="000000"/>
                <w:sz w:val="18"/>
                <w:szCs w:val="18"/>
              </w:rPr>
            </w:pPr>
          </w:p>
        </w:tc>
        <w:tc>
          <w:tcPr>
            <w:tcW w:w="900" w:type="dxa"/>
            <w:tcBorders>
              <w:top w:val="nil"/>
              <w:left w:val="nil"/>
              <w:bottom w:val="single" w:sz="4" w:space="0" w:color="auto"/>
              <w:right w:val="single" w:sz="4" w:space="0" w:color="auto"/>
            </w:tcBorders>
            <w:shd w:val="clear" w:color="auto" w:fill="FFFFFF" w:themeFill="background1"/>
            <w:vAlign w:val="center"/>
          </w:tcPr>
          <w:p w14:paraId="3C1202F0" w14:textId="77777777" w:rsidR="004D171D" w:rsidRPr="00E764A7" w:rsidRDefault="004D171D" w:rsidP="004D171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FFFFFF" w:themeFill="background1"/>
            <w:vAlign w:val="center"/>
          </w:tcPr>
          <w:p w14:paraId="1A079179" w14:textId="77777777" w:rsidR="004D171D" w:rsidRPr="00E764A7" w:rsidRDefault="004D171D" w:rsidP="004D171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FFFFFF" w:themeFill="background1"/>
          </w:tcPr>
          <w:p w14:paraId="2F649218" w14:textId="7D6624A7"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10</w:t>
            </w:r>
          </w:p>
        </w:tc>
        <w:tc>
          <w:tcPr>
            <w:tcW w:w="1230" w:type="dxa"/>
            <w:tcBorders>
              <w:top w:val="nil"/>
              <w:left w:val="nil"/>
              <w:bottom w:val="single" w:sz="4" w:space="0" w:color="auto"/>
              <w:right w:val="single" w:sz="4" w:space="0" w:color="auto"/>
            </w:tcBorders>
            <w:shd w:val="clear" w:color="auto" w:fill="FFFFFF" w:themeFill="background1"/>
          </w:tcPr>
          <w:p w14:paraId="404572F8" w14:textId="590424EC" w:rsidR="004D171D" w:rsidRPr="00E764A7" w:rsidRDefault="004D171D" w:rsidP="004D171D">
            <w:pPr>
              <w:jc w:val="right"/>
              <w:rPr>
                <w:rFonts w:ascii="Arial" w:eastAsia="Times New Roman" w:hAnsi="Arial" w:cs="Arial"/>
                <w:color w:val="000000"/>
                <w:sz w:val="18"/>
                <w:szCs w:val="18"/>
              </w:rPr>
            </w:pPr>
            <w:r w:rsidRPr="00E764A7">
              <w:rPr>
                <w:rFonts w:ascii="Arial" w:eastAsia="Times New Roman" w:hAnsi="Arial" w:cs="Arial"/>
                <w:color w:val="000000"/>
                <w:sz w:val="18"/>
                <w:szCs w:val="18"/>
              </w:rPr>
              <w:t>6</w:t>
            </w:r>
            <w:r w:rsidR="00CD5782">
              <w:rPr>
                <w:rFonts w:ascii="Arial" w:eastAsia="Times New Roman" w:hAnsi="Arial" w:cs="Arial"/>
                <w:color w:val="000000"/>
                <w:sz w:val="18"/>
                <w:szCs w:val="18"/>
              </w:rPr>
              <w:t>,</w:t>
            </w:r>
            <w:r w:rsidRPr="00E764A7">
              <w:rPr>
                <w:rFonts w:ascii="Arial" w:eastAsia="Times New Roman" w:hAnsi="Arial" w:cs="Arial"/>
                <w:color w:val="000000"/>
                <w:sz w:val="18"/>
                <w:szCs w:val="18"/>
              </w:rPr>
              <w:t>449</w:t>
            </w:r>
          </w:p>
        </w:tc>
        <w:tc>
          <w:tcPr>
            <w:tcW w:w="1230" w:type="dxa"/>
            <w:tcBorders>
              <w:top w:val="nil"/>
              <w:left w:val="nil"/>
              <w:bottom w:val="single" w:sz="4" w:space="0" w:color="auto"/>
              <w:right w:val="single" w:sz="4" w:space="0" w:color="auto"/>
            </w:tcBorders>
            <w:shd w:val="clear" w:color="auto" w:fill="FFFFFF" w:themeFill="background1"/>
          </w:tcPr>
          <w:p w14:paraId="43585C2D" w14:textId="2C644DB7" w:rsidR="004D171D" w:rsidRPr="00E764A7" w:rsidRDefault="004D171D" w:rsidP="004D171D">
            <w:pPr>
              <w:rPr>
                <w:rFonts w:ascii="Arial" w:eastAsia="Times New Roman" w:hAnsi="Arial" w:cs="Arial"/>
                <w:color w:val="000000"/>
                <w:sz w:val="18"/>
                <w:szCs w:val="18"/>
              </w:rPr>
            </w:pPr>
            <w:r w:rsidRPr="00E764A7">
              <w:rPr>
                <w:rFonts w:ascii="Arial" w:eastAsia="Times New Roman" w:hAnsi="Arial" w:cs="Arial"/>
                <w:color w:val="000000"/>
                <w:sz w:val="18"/>
                <w:szCs w:val="18"/>
              </w:rPr>
              <w:t>0.00155</w:t>
            </w:r>
          </w:p>
        </w:tc>
      </w:tr>
      <w:tr w:rsidR="00670ACD" w:rsidRPr="00E764A7" w14:paraId="103A4C65" w14:textId="77777777" w:rsidTr="0074035D">
        <w:trPr>
          <w:trHeight w:val="288"/>
        </w:trPr>
        <w:tc>
          <w:tcPr>
            <w:tcW w:w="188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6CC12597" w14:textId="12DBC555" w:rsidR="00670ACD" w:rsidRPr="00E764A7" w:rsidRDefault="00670ACD" w:rsidP="00670ACD">
            <w:pPr>
              <w:rPr>
                <w:rFonts w:ascii="Arial" w:eastAsia="Times New Roman" w:hAnsi="Arial" w:cs="Arial"/>
                <w:b/>
                <w:bCs/>
                <w:color w:val="000000"/>
                <w:sz w:val="18"/>
                <w:szCs w:val="18"/>
              </w:rPr>
            </w:pPr>
            <w:r w:rsidRPr="00E764A7">
              <w:rPr>
                <w:rFonts w:ascii="Arial" w:eastAsia="Times New Roman" w:hAnsi="Arial" w:cs="Arial"/>
                <w:b/>
                <w:bCs/>
                <w:color w:val="000000"/>
                <w:sz w:val="18"/>
                <w:szCs w:val="18"/>
              </w:rPr>
              <w:t>Total</w:t>
            </w:r>
          </w:p>
        </w:tc>
        <w:tc>
          <w:tcPr>
            <w:tcW w:w="900" w:type="dxa"/>
            <w:tcBorders>
              <w:top w:val="nil"/>
              <w:left w:val="nil"/>
              <w:bottom w:val="single" w:sz="4" w:space="0" w:color="auto"/>
              <w:right w:val="single" w:sz="4" w:space="0" w:color="auto"/>
            </w:tcBorders>
            <w:shd w:val="clear" w:color="auto" w:fill="D9E2F3" w:themeFill="accent1" w:themeFillTint="33"/>
            <w:vAlign w:val="center"/>
          </w:tcPr>
          <w:p w14:paraId="48CBF237" w14:textId="77777777" w:rsidR="00670ACD" w:rsidRPr="00E764A7" w:rsidRDefault="00670ACD" w:rsidP="00670ACD">
            <w:pPr>
              <w:jc w:val="right"/>
              <w:rPr>
                <w:rFonts w:ascii="Arial" w:eastAsia="Times New Roman" w:hAnsi="Arial" w:cs="Arial"/>
                <w:b/>
                <w:bCs/>
                <w:color w:val="000000"/>
                <w:sz w:val="18"/>
                <w:szCs w:val="18"/>
              </w:rPr>
            </w:pPr>
          </w:p>
        </w:tc>
        <w:tc>
          <w:tcPr>
            <w:tcW w:w="3600" w:type="dxa"/>
            <w:tcBorders>
              <w:top w:val="nil"/>
              <w:left w:val="nil"/>
              <w:bottom w:val="single" w:sz="4" w:space="0" w:color="auto"/>
              <w:right w:val="single" w:sz="4" w:space="0" w:color="auto"/>
            </w:tcBorders>
            <w:shd w:val="clear" w:color="auto" w:fill="D9E2F3" w:themeFill="accent1" w:themeFillTint="33"/>
            <w:vAlign w:val="center"/>
          </w:tcPr>
          <w:p w14:paraId="5317F23C" w14:textId="77777777" w:rsidR="00670ACD" w:rsidRPr="00E764A7" w:rsidRDefault="00670ACD" w:rsidP="00670ACD">
            <w:pPr>
              <w:rPr>
                <w:rFonts w:ascii="Arial" w:eastAsia="Arial" w:hAnsi="Arial" w:cs="Arial"/>
                <w:color w:val="000000"/>
                <w:sz w:val="18"/>
                <w:szCs w:val="18"/>
              </w:rPr>
            </w:pPr>
          </w:p>
        </w:tc>
        <w:tc>
          <w:tcPr>
            <w:tcW w:w="1230" w:type="dxa"/>
            <w:tcBorders>
              <w:top w:val="nil"/>
              <w:left w:val="nil"/>
              <w:bottom w:val="single" w:sz="4" w:space="0" w:color="auto"/>
              <w:right w:val="single" w:sz="4" w:space="0" w:color="auto"/>
            </w:tcBorders>
            <w:shd w:val="clear" w:color="auto" w:fill="D9E2F3" w:themeFill="accent1" w:themeFillTint="33"/>
            <w:vAlign w:val="center"/>
          </w:tcPr>
          <w:p w14:paraId="58B4C1DC" w14:textId="1A35C7D5"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b/>
                <w:bCs/>
                <w:color w:val="000000"/>
                <w:sz w:val="18"/>
                <w:szCs w:val="18"/>
              </w:rPr>
              <w:t>4</w:t>
            </w:r>
            <w:r w:rsidR="00A71C1C">
              <w:rPr>
                <w:rFonts w:ascii="Arial" w:eastAsia="Times New Roman" w:hAnsi="Arial" w:cs="Arial"/>
                <w:b/>
                <w:bCs/>
                <w:color w:val="000000"/>
                <w:sz w:val="18"/>
                <w:szCs w:val="18"/>
              </w:rPr>
              <w:t>,</w:t>
            </w:r>
            <w:r w:rsidRPr="00E764A7">
              <w:rPr>
                <w:rFonts w:ascii="Arial" w:eastAsia="Times New Roman" w:hAnsi="Arial" w:cs="Arial"/>
                <w:b/>
                <w:bCs/>
                <w:color w:val="000000"/>
                <w:sz w:val="18"/>
                <w:szCs w:val="18"/>
              </w:rPr>
              <w:t>214</w:t>
            </w:r>
          </w:p>
        </w:tc>
        <w:tc>
          <w:tcPr>
            <w:tcW w:w="1230" w:type="dxa"/>
            <w:tcBorders>
              <w:top w:val="nil"/>
              <w:left w:val="nil"/>
              <w:bottom w:val="single" w:sz="4" w:space="0" w:color="auto"/>
              <w:right w:val="single" w:sz="4" w:space="0" w:color="auto"/>
            </w:tcBorders>
            <w:shd w:val="clear" w:color="auto" w:fill="D9E2F3" w:themeFill="accent1" w:themeFillTint="33"/>
            <w:vAlign w:val="center"/>
          </w:tcPr>
          <w:p w14:paraId="297DFB80" w14:textId="1C3FF58C" w:rsidR="00670ACD" w:rsidRPr="00E764A7" w:rsidRDefault="00670ACD" w:rsidP="00670ACD">
            <w:pPr>
              <w:jc w:val="right"/>
              <w:rPr>
                <w:rFonts w:ascii="Arial" w:eastAsia="Times New Roman" w:hAnsi="Arial" w:cs="Arial"/>
                <w:color w:val="000000"/>
                <w:sz w:val="18"/>
                <w:szCs w:val="18"/>
              </w:rPr>
            </w:pPr>
            <w:r w:rsidRPr="00E764A7">
              <w:rPr>
                <w:rFonts w:ascii="Arial" w:eastAsia="Times New Roman" w:hAnsi="Arial" w:cs="Arial"/>
                <w:b/>
                <w:bCs/>
                <w:color w:val="000000"/>
                <w:sz w:val="18"/>
                <w:szCs w:val="18"/>
              </w:rPr>
              <w:t>85</w:t>
            </w:r>
            <w:r w:rsidR="00A71C1C">
              <w:rPr>
                <w:rFonts w:ascii="Arial" w:eastAsia="Times New Roman" w:hAnsi="Arial" w:cs="Arial"/>
                <w:b/>
                <w:bCs/>
                <w:color w:val="000000"/>
                <w:sz w:val="18"/>
                <w:szCs w:val="18"/>
              </w:rPr>
              <w:t>,</w:t>
            </w:r>
            <w:r w:rsidRPr="00E764A7">
              <w:rPr>
                <w:rFonts w:ascii="Arial" w:eastAsia="Times New Roman" w:hAnsi="Arial" w:cs="Arial"/>
                <w:b/>
                <w:bCs/>
                <w:color w:val="000000"/>
                <w:sz w:val="18"/>
                <w:szCs w:val="18"/>
              </w:rPr>
              <w:t>170</w:t>
            </w:r>
          </w:p>
        </w:tc>
        <w:tc>
          <w:tcPr>
            <w:tcW w:w="1230" w:type="dxa"/>
            <w:tcBorders>
              <w:top w:val="nil"/>
              <w:left w:val="nil"/>
              <w:bottom w:val="single" w:sz="4" w:space="0" w:color="auto"/>
              <w:right w:val="single" w:sz="4" w:space="0" w:color="auto"/>
            </w:tcBorders>
            <w:shd w:val="clear" w:color="auto" w:fill="D9E2F3" w:themeFill="accent1" w:themeFillTint="33"/>
            <w:vAlign w:val="center"/>
          </w:tcPr>
          <w:p w14:paraId="61262A86" w14:textId="02298312" w:rsidR="00670ACD" w:rsidRPr="00E764A7" w:rsidRDefault="00670ACD" w:rsidP="00670ACD">
            <w:pPr>
              <w:rPr>
                <w:rFonts w:ascii="Arial" w:eastAsia="Times New Roman" w:hAnsi="Arial" w:cs="Arial"/>
                <w:color w:val="000000"/>
                <w:sz w:val="18"/>
                <w:szCs w:val="18"/>
              </w:rPr>
            </w:pPr>
            <w:r w:rsidRPr="00E764A7">
              <w:rPr>
                <w:rFonts w:ascii="Arial" w:eastAsia="Times New Roman" w:hAnsi="Arial" w:cs="Arial"/>
                <w:b/>
                <w:bCs/>
                <w:color w:val="000000"/>
                <w:sz w:val="18"/>
                <w:szCs w:val="18"/>
              </w:rPr>
              <w:t>4.95%</w:t>
            </w:r>
          </w:p>
        </w:tc>
      </w:tr>
    </w:tbl>
    <w:p w14:paraId="051B9A71" w14:textId="77777777" w:rsidR="007D2D41" w:rsidRDefault="007D2D41">
      <w:pPr>
        <w:spacing w:before="278" w:line="273" w:lineRule="exact"/>
        <w:textAlignment w:val="baseline"/>
        <w:rPr>
          <w:rFonts w:ascii="Arial" w:eastAsia="Arial" w:hAnsi="Arial"/>
          <w:b/>
          <w:bCs/>
          <w:color w:val="000000"/>
          <w:sz w:val="24"/>
        </w:rPr>
      </w:pPr>
    </w:p>
    <w:p w14:paraId="65C5DA86" w14:textId="77777777" w:rsidR="0061042C" w:rsidRDefault="00283138" w:rsidP="00283138">
      <w:pPr>
        <w:spacing w:before="278" w:line="273" w:lineRule="exact"/>
        <w:textAlignment w:val="baseline"/>
        <w:rPr>
          <w:rFonts w:ascii="Arial" w:eastAsia="Arial" w:hAnsi="Arial"/>
          <w:b/>
          <w:color w:val="000000"/>
          <w:sz w:val="24"/>
        </w:rPr>
      </w:pPr>
      <w:r w:rsidRPr="000F18A8">
        <w:rPr>
          <w:rFonts w:ascii="Arial" w:eastAsia="Arial" w:hAnsi="Arial"/>
          <w:b/>
          <w:color w:val="000000"/>
          <w:spacing w:val="-1"/>
          <w:sz w:val="24"/>
        </w:rPr>
        <w:t>Step Two:</w:t>
      </w:r>
      <w:r w:rsidR="00417F03" w:rsidRPr="000F18A8">
        <w:rPr>
          <w:rFonts w:ascii="Arial" w:eastAsia="Arial" w:hAnsi="Arial"/>
          <w:b/>
          <w:color w:val="000000"/>
          <w:sz w:val="24"/>
        </w:rPr>
        <w:t xml:space="preserve"> </w:t>
      </w:r>
      <w:r w:rsidR="00FA6B86">
        <w:rPr>
          <w:rFonts w:ascii="Arial" w:eastAsia="Arial" w:hAnsi="Arial"/>
          <w:b/>
          <w:color w:val="000000"/>
          <w:sz w:val="24"/>
        </w:rPr>
        <w:t xml:space="preserve">Historic Trend Analysis </w:t>
      </w:r>
    </w:p>
    <w:p w14:paraId="0D39E803" w14:textId="4E76D4EF" w:rsidR="0061042C" w:rsidRPr="007D2D41" w:rsidRDefault="000E27CE" w:rsidP="000E27CE">
      <w:pPr>
        <w:spacing w:before="278" w:after="240" w:line="273" w:lineRule="exact"/>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 xml:space="preserve">Once the base figure of 4.95% was calculated, the FDOT reviewed historic data to determine </w:t>
      </w:r>
      <w:r w:rsidR="00273DFF" w:rsidRPr="007D2D41">
        <w:rPr>
          <w:rFonts w:ascii="Arial" w:eastAsia="Times New Roman" w:hAnsi="Arial" w:cs="Arial"/>
          <w:bCs/>
          <w:sz w:val="24"/>
          <w:szCs w:val="24"/>
          <w:lang w:val="x-none" w:eastAsia="x-none"/>
        </w:rPr>
        <w:t xml:space="preserve">whether the base figure is </w:t>
      </w:r>
      <w:r w:rsidR="00460804" w:rsidRPr="007D2D41">
        <w:rPr>
          <w:rFonts w:ascii="Arial" w:eastAsia="Times New Roman" w:hAnsi="Arial" w:cs="Arial"/>
          <w:bCs/>
          <w:sz w:val="24"/>
          <w:szCs w:val="24"/>
          <w:lang w:val="x-none" w:eastAsia="x-none"/>
        </w:rPr>
        <w:t>consistent</w:t>
      </w:r>
      <w:r w:rsidRPr="007D2D41">
        <w:rPr>
          <w:rFonts w:ascii="Arial" w:eastAsia="Times New Roman" w:hAnsi="Arial" w:cs="Arial"/>
          <w:bCs/>
          <w:sz w:val="24"/>
          <w:szCs w:val="24"/>
          <w:lang w:val="x-none" w:eastAsia="x-none"/>
        </w:rPr>
        <w:t xml:space="preserve"> with the market </w:t>
      </w:r>
      <w:r w:rsidR="00273DFF" w:rsidRPr="007D2D41">
        <w:rPr>
          <w:rFonts w:ascii="Arial" w:eastAsia="Times New Roman" w:hAnsi="Arial" w:cs="Arial"/>
          <w:bCs/>
          <w:sz w:val="24"/>
          <w:szCs w:val="24"/>
          <w:lang w:val="x-none" w:eastAsia="x-none"/>
        </w:rPr>
        <w:t>with</w:t>
      </w:r>
      <w:r w:rsidRPr="007D2D41">
        <w:rPr>
          <w:rFonts w:ascii="Arial" w:eastAsia="Times New Roman" w:hAnsi="Arial" w:cs="Arial"/>
          <w:bCs/>
          <w:sz w:val="24"/>
          <w:szCs w:val="24"/>
          <w:lang w:val="x-none" w:eastAsia="x-none"/>
        </w:rPr>
        <w:t xml:space="preserve">in the geographic area. </w:t>
      </w:r>
      <w:r w:rsidRPr="007D2D41">
        <w:rPr>
          <w:rFonts w:ascii="Arial" w:eastAsia="Times New Roman" w:hAnsi="Arial" w:cs="Arial"/>
          <w:bCs/>
          <w:sz w:val="24"/>
          <w:szCs w:val="24"/>
          <w:lang w:val="x-none" w:eastAsia="x-none"/>
        </w:rPr>
        <w:fldChar w:fldCharType="begin"/>
      </w:r>
      <w:r w:rsidRPr="007D2D41">
        <w:rPr>
          <w:rFonts w:ascii="Arial" w:eastAsia="Times New Roman" w:hAnsi="Arial" w:cs="Arial"/>
          <w:bCs/>
          <w:sz w:val="24"/>
          <w:szCs w:val="24"/>
          <w:lang w:val="x-none" w:eastAsia="x-none"/>
        </w:rPr>
        <w:instrText xml:space="preserve"> REF _Ref138849228 \h </w:instrText>
      </w:r>
      <w:r w:rsidR="00BD3EC1" w:rsidRPr="007D2D41">
        <w:rPr>
          <w:rFonts w:ascii="Arial" w:eastAsia="Times New Roman" w:hAnsi="Arial" w:cs="Arial"/>
          <w:bCs/>
          <w:sz w:val="24"/>
          <w:szCs w:val="24"/>
          <w:lang w:val="x-none" w:eastAsia="x-none"/>
        </w:rPr>
        <w:instrText xml:space="preserve"> \* MERGEFORMAT </w:instrText>
      </w:r>
      <w:r w:rsidRPr="007D2D41">
        <w:rPr>
          <w:rFonts w:ascii="Arial" w:eastAsia="Times New Roman" w:hAnsi="Arial" w:cs="Arial"/>
          <w:bCs/>
          <w:sz w:val="24"/>
          <w:szCs w:val="24"/>
          <w:lang w:val="x-none" w:eastAsia="x-none"/>
        </w:rPr>
      </w:r>
      <w:r w:rsidRPr="007D2D41">
        <w:rPr>
          <w:rFonts w:ascii="Arial" w:eastAsia="Times New Roman" w:hAnsi="Arial" w:cs="Arial"/>
          <w:bCs/>
          <w:sz w:val="24"/>
          <w:szCs w:val="24"/>
          <w:lang w:val="x-none" w:eastAsia="x-none"/>
        </w:rPr>
        <w:fldChar w:fldCharType="separate"/>
      </w:r>
      <w:r w:rsidRPr="007D2D41">
        <w:rPr>
          <w:rFonts w:ascii="Arial" w:eastAsia="Times New Roman" w:hAnsi="Arial" w:cs="Arial"/>
          <w:bCs/>
          <w:sz w:val="24"/>
          <w:szCs w:val="24"/>
          <w:lang w:val="x-none" w:eastAsia="x-none"/>
        </w:rPr>
        <w:t>Table 2</w:t>
      </w:r>
      <w:r w:rsidRPr="007D2D41">
        <w:rPr>
          <w:rFonts w:ascii="Arial" w:eastAsia="Times New Roman" w:hAnsi="Arial" w:cs="Arial"/>
          <w:bCs/>
          <w:sz w:val="24"/>
          <w:szCs w:val="24"/>
          <w:lang w:val="x-none" w:eastAsia="x-none"/>
        </w:rPr>
        <w:fldChar w:fldCharType="end"/>
      </w:r>
      <w:r w:rsidRPr="007D2D41">
        <w:rPr>
          <w:rFonts w:ascii="Arial" w:eastAsia="Times New Roman" w:hAnsi="Arial" w:cs="Arial"/>
          <w:bCs/>
          <w:sz w:val="24"/>
          <w:szCs w:val="24"/>
          <w:lang w:val="x-none" w:eastAsia="x-none"/>
        </w:rPr>
        <w:t xml:space="preserve"> </w:t>
      </w:r>
      <w:r w:rsidR="0061042C" w:rsidRPr="007D2D41">
        <w:rPr>
          <w:rFonts w:ascii="Arial" w:eastAsia="Times New Roman" w:hAnsi="Arial" w:cs="Arial"/>
          <w:bCs/>
          <w:sz w:val="24"/>
          <w:szCs w:val="24"/>
          <w:lang w:val="x-none" w:eastAsia="x-none"/>
        </w:rPr>
        <w:t xml:space="preserve">shows past </w:t>
      </w:r>
      <w:r w:rsidR="006D57DE" w:rsidRPr="007D2D41">
        <w:rPr>
          <w:rFonts w:ascii="Arial" w:eastAsia="Times New Roman" w:hAnsi="Arial" w:cs="Arial"/>
          <w:bCs/>
          <w:sz w:val="24"/>
          <w:szCs w:val="24"/>
          <w:lang w:val="x-none" w:eastAsia="x-none"/>
        </w:rPr>
        <w:t>reporting data</w:t>
      </w:r>
      <w:r w:rsidR="00933C0C" w:rsidRPr="007D2D41">
        <w:rPr>
          <w:rFonts w:ascii="Arial" w:eastAsia="Times New Roman" w:hAnsi="Arial" w:cs="Arial"/>
          <w:bCs/>
          <w:sz w:val="24"/>
          <w:szCs w:val="24"/>
          <w:lang w:val="x-none" w:eastAsia="x-none"/>
        </w:rPr>
        <w:t xml:space="preserve"> for the total awards and commitments made</w:t>
      </w:r>
      <w:r w:rsidR="006D57DE" w:rsidRPr="007D2D41">
        <w:rPr>
          <w:rFonts w:ascii="Arial" w:eastAsia="Times New Roman" w:hAnsi="Arial" w:cs="Arial"/>
          <w:bCs/>
          <w:sz w:val="24"/>
          <w:szCs w:val="24"/>
          <w:lang w:val="x-none" w:eastAsia="x-none"/>
        </w:rPr>
        <w:t xml:space="preserve"> from the previous three federal fiscal years. This data was collected from the FDOT statewide </w:t>
      </w:r>
      <w:r w:rsidR="002E2DBB" w:rsidRPr="007D2D41">
        <w:rPr>
          <w:rFonts w:ascii="Arial" w:eastAsia="Times New Roman" w:hAnsi="Arial" w:cs="Arial"/>
          <w:bCs/>
          <w:sz w:val="24"/>
          <w:szCs w:val="24"/>
          <w:lang w:val="x-none" w:eastAsia="x-none"/>
        </w:rPr>
        <w:t xml:space="preserve">semi-annual </w:t>
      </w:r>
      <w:r w:rsidR="006D57DE" w:rsidRPr="007D2D41">
        <w:rPr>
          <w:rFonts w:ascii="Arial" w:eastAsia="Times New Roman" w:hAnsi="Arial" w:cs="Arial"/>
          <w:bCs/>
          <w:sz w:val="24"/>
          <w:szCs w:val="24"/>
          <w:lang w:val="x-none" w:eastAsia="x-none"/>
        </w:rPr>
        <w:t xml:space="preserve">DBE reports submitted </w:t>
      </w:r>
      <w:r w:rsidRPr="007D2D41">
        <w:rPr>
          <w:rFonts w:ascii="Arial" w:eastAsia="Times New Roman" w:hAnsi="Arial" w:cs="Arial"/>
          <w:bCs/>
          <w:sz w:val="24"/>
          <w:szCs w:val="24"/>
          <w:lang w:val="x-none" w:eastAsia="x-none"/>
        </w:rPr>
        <w:t>to FTA</w:t>
      </w:r>
      <w:r w:rsidR="002E2DBB" w:rsidRPr="007D2D41">
        <w:rPr>
          <w:rFonts w:ascii="Arial" w:eastAsia="Times New Roman" w:hAnsi="Arial" w:cs="Arial"/>
          <w:bCs/>
          <w:sz w:val="24"/>
          <w:szCs w:val="24"/>
          <w:lang w:val="x-none" w:eastAsia="x-none"/>
        </w:rPr>
        <w:t>.</w:t>
      </w:r>
      <w:r w:rsidRPr="007D2D41">
        <w:rPr>
          <w:rFonts w:ascii="Arial" w:eastAsia="Times New Roman" w:hAnsi="Arial" w:cs="Arial"/>
          <w:bCs/>
          <w:sz w:val="24"/>
          <w:szCs w:val="24"/>
          <w:lang w:val="x-none" w:eastAsia="x-none"/>
        </w:rPr>
        <w:t xml:space="preserve"> </w:t>
      </w:r>
      <w:r w:rsidR="00427220" w:rsidRPr="007D2D41">
        <w:rPr>
          <w:rFonts w:ascii="Arial" w:eastAsia="Times New Roman" w:hAnsi="Arial" w:cs="Arial"/>
          <w:bCs/>
          <w:sz w:val="24"/>
          <w:szCs w:val="24"/>
          <w:lang w:val="x-none" w:eastAsia="x-none"/>
        </w:rPr>
        <w:t xml:space="preserve"> </w:t>
      </w:r>
      <w:r w:rsidR="00455140" w:rsidRPr="007D2D41">
        <w:rPr>
          <w:rFonts w:ascii="Arial" w:eastAsia="Times New Roman" w:hAnsi="Arial" w:cs="Arial"/>
          <w:bCs/>
          <w:sz w:val="24"/>
          <w:szCs w:val="24"/>
          <w:lang w:val="x-none" w:eastAsia="x-none"/>
        </w:rPr>
        <w:t xml:space="preserve">The median historic DBE </w:t>
      </w:r>
      <w:r w:rsidR="004F62CA" w:rsidRPr="007D2D41">
        <w:rPr>
          <w:rFonts w:ascii="Arial" w:eastAsia="Times New Roman" w:hAnsi="Arial" w:cs="Arial"/>
          <w:bCs/>
          <w:sz w:val="24"/>
          <w:szCs w:val="24"/>
          <w:lang w:val="x-none" w:eastAsia="x-none"/>
        </w:rPr>
        <w:t xml:space="preserve">awards and </w:t>
      </w:r>
      <w:r w:rsidR="00530F62" w:rsidRPr="007D2D41">
        <w:rPr>
          <w:rFonts w:ascii="Arial" w:eastAsia="Times New Roman" w:hAnsi="Arial" w:cs="Arial"/>
          <w:bCs/>
          <w:sz w:val="24"/>
          <w:szCs w:val="24"/>
          <w:lang w:val="x-none" w:eastAsia="x-none"/>
        </w:rPr>
        <w:t>commitment</w:t>
      </w:r>
      <w:r w:rsidR="00427220" w:rsidRPr="007D2D41">
        <w:rPr>
          <w:rFonts w:ascii="Arial" w:eastAsia="Times New Roman" w:hAnsi="Arial" w:cs="Arial"/>
          <w:bCs/>
          <w:sz w:val="24"/>
          <w:szCs w:val="24"/>
          <w:lang w:val="x-none" w:eastAsia="x-none"/>
        </w:rPr>
        <w:t>s</w:t>
      </w:r>
      <w:r w:rsidR="00455140" w:rsidRPr="007D2D41">
        <w:rPr>
          <w:rFonts w:ascii="Arial" w:eastAsia="Times New Roman" w:hAnsi="Arial" w:cs="Arial"/>
          <w:bCs/>
          <w:sz w:val="24"/>
          <w:szCs w:val="24"/>
          <w:lang w:val="x-none" w:eastAsia="x-none"/>
        </w:rPr>
        <w:t xml:space="preserve"> </w:t>
      </w:r>
      <w:r w:rsidR="00427220" w:rsidRPr="007D2D41">
        <w:rPr>
          <w:rFonts w:ascii="Arial" w:eastAsia="Times New Roman" w:hAnsi="Arial" w:cs="Arial"/>
          <w:bCs/>
          <w:sz w:val="24"/>
          <w:szCs w:val="24"/>
          <w:lang w:val="x-none" w:eastAsia="x-none"/>
        </w:rPr>
        <w:t>is</w:t>
      </w:r>
      <w:r w:rsidR="00455140" w:rsidRPr="007D2D41">
        <w:rPr>
          <w:rFonts w:ascii="Arial" w:eastAsia="Times New Roman" w:hAnsi="Arial" w:cs="Arial"/>
          <w:bCs/>
          <w:sz w:val="24"/>
          <w:szCs w:val="24"/>
          <w:lang w:val="x-none" w:eastAsia="x-none"/>
        </w:rPr>
        <w:t xml:space="preserve"> 2.23%. </w:t>
      </w:r>
      <w:r w:rsidR="00530F62" w:rsidRPr="007D2D41">
        <w:rPr>
          <w:rFonts w:ascii="Arial" w:eastAsia="Times New Roman" w:hAnsi="Arial" w:cs="Arial"/>
          <w:bCs/>
          <w:sz w:val="24"/>
          <w:szCs w:val="24"/>
          <w:lang w:val="x-none" w:eastAsia="x-none"/>
        </w:rPr>
        <w:t xml:space="preserve"> </w:t>
      </w:r>
    </w:p>
    <w:p w14:paraId="6288C988" w14:textId="1F329679" w:rsidR="000E27CE" w:rsidRDefault="000E27CE" w:rsidP="00386020">
      <w:pPr>
        <w:pStyle w:val="Caption"/>
        <w:keepNext/>
        <w:ind w:firstLine="180"/>
      </w:pPr>
      <w:bookmarkStart w:id="2" w:name="_Ref138849228"/>
      <w:r>
        <w:t xml:space="preserve">Table </w:t>
      </w:r>
      <w:r w:rsidR="00282332">
        <w:fldChar w:fldCharType="begin"/>
      </w:r>
      <w:r w:rsidR="00282332">
        <w:instrText xml:space="preserve"> SEQ Table \* ARABIC </w:instrText>
      </w:r>
      <w:r w:rsidR="00282332">
        <w:fldChar w:fldCharType="separate"/>
      </w:r>
      <w:r>
        <w:rPr>
          <w:noProof/>
        </w:rPr>
        <w:t>2</w:t>
      </w:r>
      <w:r w:rsidR="00282332">
        <w:rPr>
          <w:noProof/>
        </w:rPr>
        <w:fldChar w:fldCharType="end"/>
      </w:r>
      <w:bookmarkEnd w:id="2"/>
      <w:r>
        <w:t>: Past Participation</w:t>
      </w:r>
    </w:p>
    <w:tbl>
      <w:tblPr>
        <w:tblStyle w:val="GridTable4-Accent1"/>
        <w:tblW w:w="0" w:type="auto"/>
        <w:jc w:val="center"/>
        <w:tblLook w:val="04A0" w:firstRow="1" w:lastRow="0" w:firstColumn="1" w:lastColumn="0" w:noHBand="0" w:noVBand="1"/>
      </w:tblPr>
      <w:tblGrid>
        <w:gridCol w:w="2500"/>
        <w:gridCol w:w="2500"/>
        <w:gridCol w:w="2500"/>
        <w:gridCol w:w="2500"/>
      </w:tblGrid>
      <w:tr w:rsidR="00B3472A" w:rsidRPr="00E764A7" w14:paraId="6577285C" w14:textId="77777777" w:rsidTr="00601A46">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00" w:type="dxa"/>
          </w:tcPr>
          <w:p w14:paraId="175B27C8" w14:textId="03F5D62F" w:rsidR="00B3472A" w:rsidRPr="00E764A7" w:rsidRDefault="00B3472A" w:rsidP="00B3472A">
            <w:pPr>
              <w:rPr>
                <w:rFonts w:ascii="Arial" w:eastAsia="Times New Roman" w:hAnsi="Arial" w:cs="Arial"/>
                <w:color w:val="FFFFFF"/>
                <w:sz w:val="18"/>
                <w:szCs w:val="18"/>
              </w:rPr>
            </w:pPr>
            <w:r w:rsidRPr="00CF1171">
              <w:t xml:space="preserve">Semi-Annual Report Date </w:t>
            </w:r>
          </w:p>
        </w:tc>
        <w:tc>
          <w:tcPr>
            <w:tcW w:w="2500" w:type="dxa"/>
          </w:tcPr>
          <w:p w14:paraId="034EDAFC" w14:textId="23E9C5E1" w:rsidR="00B3472A" w:rsidRPr="00E764A7" w:rsidRDefault="00B3472A" w:rsidP="00B3472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rPr>
            </w:pPr>
            <w:r w:rsidRPr="00CF1171">
              <w:t>Total Awards and Commitments (8A)</w:t>
            </w:r>
          </w:p>
        </w:tc>
        <w:tc>
          <w:tcPr>
            <w:tcW w:w="2500" w:type="dxa"/>
          </w:tcPr>
          <w:p w14:paraId="033396AB" w14:textId="431A25C4" w:rsidR="00B3472A" w:rsidRPr="00E764A7" w:rsidRDefault="00B3472A" w:rsidP="00B3472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rPr>
            </w:pPr>
            <w:r w:rsidRPr="00CF1171">
              <w:t>DBE Awards and Commitments (8C</w:t>
            </w:r>
            <w:r w:rsidR="00601A46">
              <w:t>/</w:t>
            </w:r>
            <w:r w:rsidRPr="00CF1171">
              <w:t xml:space="preserve">9C) </w:t>
            </w:r>
          </w:p>
        </w:tc>
        <w:tc>
          <w:tcPr>
            <w:tcW w:w="2500" w:type="dxa"/>
          </w:tcPr>
          <w:p w14:paraId="4F5A8615" w14:textId="1145BEB7" w:rsidR="00B3472A" w:rsidRPr="00E764A7" w:rsidRDefault="00B3472A" w:rsidP="00B3472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rPr>
            </w:pPr>
            <w:r w:rsidRPr="00CF1171">
              <w:t xml:space="preserve">% of Payments to DBE </w:t>
            </w:r>
          </w:p>
        </w:tc>
      </w:tr>
      <w:tr w:rsidR="00B3472A" w:rsidRPr="00E764A7" w14:paraId="7AC93D24" w14:textId="77777777" w:rsidTr="00601A46">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500" w:type="dxa"/>
          </w:tcPr>
          <w:p w14:paraId="09E46B9F" w14:textId="00B96E21" w:rsidR="00B3472A" w:rsidRPr="00E764A7" w:rsidRDefault="00B3472A" w:rsidP="00B3472A">
            <w:pPr>
              <w:rPr>
                <w:rFonts w:ascii="Arial" w:eastAsia="Arial" w:hAnsi="Arial" w:cs="Arial"/>
                <w:color w:val="000000"/>
                <w:sz w:val="18"/>
                <w:szCs w:val="18"/>
              </w:rPr>
            </w:pPr>
            <w:r w:rsidRPr="00CF1171">
              <w:t>6/1/2021</w:t>
            </w:r>
          </w:p>
        </w:tc>
        <w:tc>
          <w:tcPr>
            <w:tcW w:w="2500" w:type="dxa"/>
          </w:tcPr>
          <w:p w14:paraId="2D44705F" w14:textId="18547B99"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CF1171">
              <w:t xml:space="preserve"> $11,191,052 </w:t>
            </w:r>
          </w:p>
        </w:tc>
        <w:tc>
          <w:tcPr>
            <w:tcW w:w="2500" w:type="dxa"/>
          </w:tcPr>
          <w:p w14:paraId="3597C168" w14:textId="7F1E4036"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CF1171">
              <w:t xml:space="preserve"> $192,790 </w:t>
            </w:r>
          </w:p>
        </w:tc>
        <w:tc>
          <w:tcPr>
            <w:tcW w:w="2500" w:type="dxa"/>
          </w:tcPr>
          <w:p w14:paraId="6653D53F" w14:textId="789E9541"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F1171">
              <w:t>1.72%</w:t>
            </w:r>
          </w:p>
        </w:tc>
      </w:tr>
      <w:tr w:rsidR="00B3472A" w:rsidRPr="00E764A7" w14:paraId="05AA9EDC" w14:textId="77777777" w:rsidTr="00601A46">
        <w:trPr>
          <w:trHeight w:val="297"/>
          <w:jc w:val="center"/>
        </w:trPr>
        <w:tc>
          <w:tcPr>
            <w:cnfStyle w:val="001000000000" w:firstRow="0" w:lastRow="0" w:firstColumn="1" w:lastColumn="0" w:oddVBand="0" w:evenVBand="0" w:oddHBand="0" w:evenHBand="0" w:firstRowFirstColumn="0" w:firstRowLastColumn="0" w:lastRowFirstColumn="0" w:lastRowLastColumn="0"/>
            <w:tcW w:w="2500" w:type="dxa"/>
          </w:tcPr>
          <w:p w14:paraId="226B04ED" w14:textId="465FA554" w:rsidR="00B3472A" w:rsidRPr="00E764A7" w:rsidRDefault="00B3472A" w:rsidP="00B3472A">
            <w:pPr>
              <w:rPr>
                <w:rFonts w:ascii="Arial" w:eastAsia="Arial" w:hAnsi="Arial" w:cs="Arial"/>
                <w:color w:val="000000"/>
                <w:sz w:val="18"/>
                <w:szCs w:val="18"/>
              </w:rPr>
            </w:pPr>
            <w:r w:rsidRPr="00CF1171">
              <w:t>12/1/2021</w:t>
            </w:r>
          </w:p>
        </w:tc>
        <w:tc>
          <w:tcPr>
            <w:tcW w:w="2500" w:type="dxa"/>
          </w:tcPr>
          <w:p w14:paraId="486E6EC1" w14:textId="3571143F" w:rsidR="00B3472A" w:rsidRPr="00E764A7" w:rsidRDefault="00B3472A" w:rsidP="00B3472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CF1171">
              <w:t xml:space="preserve"> $8,204,859 </w:t>
            </w:r>
          </w:p>
        </w:tc>
        <w:tc>
          <w:tcPr>
            <w:tcW w:w="2500" w:type="dxa"/>
          </w:tcPr>
          <w:p w14:paraId="4F9BBDFA" w14:textId="1BE4A89C" w:rsidR="00B3472A" w:rsidRPr="00E764A7" w:rsidRDefault="00B3472A" w:rsidP="00B3472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CF1171">
              <w:t xml:space="preserve"> $395,589 </w:t>
            </w:r>
          </w:p>
        </w:tc>
        <w:tc>
          <w:tcPr>
            <w:tcW w:w="2500" w:type="dxa"/>
          </w:tcPr>
          <w:p w14:paraId="27AEBED6" w14:textId="64C080EB" w:rsidR="00B3472A" w:rsidRPr="00E764A7" w:rsidRDefault="00B3472A" w:rsidP="00B347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F1171">
              <w:t>4.82%</w:t>
            </w:r>
          </w:p>
        </w:tc>
      </w:tr>
      <w:tr w:rsidR="00B3472A" w:rsidRPr="00E764A7" w14:paraId="05E5C54C" w14:textId="77777777" w:rsidTr="00601A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00" w:type="dxa"/>
          </w:tcPr>
          <w:p w14:paraId="2999C341" w14:textId="59874156" w:rsidR="00B3472A" w:rsidRPr="00E764A7" w:rsidRDefault="00B3472A" w:rsidP="00B3472A">
            <w:pPr>
              <w:rPr>
                <w:rFonts w:ascii="Arial" w:eastAsia="Arial" w:hAnsi="Arial" w:cs="Arial"/>
                <w:color w:val="000000"/>
                <w:sz w:val="18"/>
                <w:szCs w:val="18"/>
              </w:rPr>
            </w:pPr>
            <w:r w:rsidRPr="00CF1171">
              <w:t>6/1/2022</w:t>
            </w:r>
          </w:p>
        </w:tc>
        <w:tc>
          <w:tcPr>
            <w:tcW w:w="2500" w:type="dxa"/>
          </w:tcPr>
          <w:p w14:paraId="71576E7F" w14:textId="6E050280"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CF1171">
              <w:t xml:space="preserve"> $46,000,511 </w:t>
            </w:r>
          </w:p>
        </w:tc>
        <w:tc>
          <w:tcPr>
            <w:tcW w:w="2500" w:type="dxa"/>
          </w:tcPr>
          <w:p w14:paraId="4236FCD7" w14:textId="4DB662EA"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CF1171">
              <w:t xml:space="preserve"> $1,026,474 </w:t>
            </w:r>
          </w:p>
        </w:tc>
        <w:tc>
          <w:tcPr>
            <w:tcW w:w="2500" w:type="dxa"/>
          </w:tcPr>
          <w:p w14:paraId="2F771177" w14:textId="62739844"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F1171">
              <w:t>2.23%</w:t>
            </w:r>
          </w:p>
        </w:tc>
      </w:tr>
      <w:tr w:rsidR="00B3472A" w:rsidRPr="00E764A7" w14:paraId="57CF5A4F" w14:textId="77777777" w:rsidTr="00601A46">
        <w:trPr>
          <w:trHeight w:val="258"/>
          <w:jc w:val="center"/>
        </w:trPr>
        <w:tc>
          <w:tcPr>
            <w:cnfStyle w:val="001000000000" w:firstRow="0" w:lastRow="0" w:firstColumn="1" w:lastColumn="0" w:oddVBand="0" w:evenVBand="0" w:oddHBand="0" w:evenHBand="0" w:firstRowFirstColumn="0" w:firstRowLastColumn="0" w:lastRowFirstColumn="0" w:lastRowLastColumn="0"/>
            <w:tcW w:w="2500" w:type="dxa"/>
          </w:tcPr>
          <w:p w14:paraId="76ADBDFC" w14:textId="6ECD886D" w:rsidR="00B3472A" w:rsidRPr="00E764A7" w:rsidRDefault="00B3472A" w:rsidP="00B3472A">
            <w:pPr>
              <w:rPr>
                <w:rFonts w:ascii="Arial" w:eastAsia="Arial" w:hAnsi="Arial" w:cs="Arial"/>
                <w:color w:val="000000"/>
                <w:sz w:val="18"/>
                <w:szCs w:val="18"/>
              </w:rPr>
            </w:pPr>
            <w:r w:rsidRPr="00CF1171">
              <w:t>11/21/2022</w:t>
            </w:r>
          </w:p>
        </w:tc>
        <w:tc>
          <w:tcPr>
            <w:tcW w:w="2500" w:type="dxa"/>
          </w:tcPr>
          <w:p w14:paraId="4534143D" w14:textId="027027B6" w:rsidR="00B3472A" w:rsidRPr="00E764A7" w:rsidRDefault="00B3472A" w:rsidP="00B3472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CF1171">
              <w:t xml:space="preserve"> $49,641,521 </w:t>
            </w:r>
          </w:p>
        </w:tc>
        <w:tc>
          <w:tcPr>
            <w:tcW w:w="2500" w:type="dxa"/>
          </w:tcPr>
          <w:p w14:paraId="79F95122" w14:textId="37DD485E" w:rsidR="00B3472A" w:rsidRPr="00E764A7" w:rsidRDefault="00B3472A" w:rsidP="00B3472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CF1171">
              <w:t xml:space="preserve"> $640,628 </w:t>
            </w:r>
          </w:p>
        </w:tc>
        <w:tc>
          <w:tcPr>
            <w:tcW w:w="2500" w:type="dxa"/>
          </w:tcPr>
          <w:p w14:paraId="4297E23F" w14:textId="655E21F6" w:rsidR="00B3472A" w:rsidRPr="00E764A7" w:rsidRDefault="00B3472A" w:rsidP="00B347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F1171">
              <w:t>1.29%</w:t>
            </w:r>
          </w:p>
        </w:tc>
      </w:tr>
      <w:tr w:rsidR="00B3472A" w:rsidRPr="00E764A7" w14:paraId="7F0A3EAE" w14:textId="77777777" w:rsidTr="00601A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00" w:type="dxa"/>
          </w:tcPr>
          <w:p w14:paraId="7A09244E" w14:textId="141CC9B3" w:rsidR="00B3472A" w:rsidRPr="00E764A7" w:rsidRDefault="00B3472A" w:rsidP="00B3472A">
            <w:pPr>
              <w:rPr>
                <w:rFonts w:ascii="Arial" w:eastAsia="Arial" w:hAnsi="Arial" w:cs="Arial"/>
                <w:color w:val="000000"/>
                <w:sz w:val="18"/>
                <w:szCs w:val="18"/>
              </w:rPr>
            </w:pPr>
            <w:r w:rsidRPr="00CF1171">
              <w:t>5/23/2023</w:t>
            </w:r>
          </w:p>
        </w:tc>
        <w:tc>
          <w:tcPr>
            <w:tcW w:w="2500" w:type="dxa"/>
          </w:tcPr>
          <w:p w14:paraId="61D2ECC9" w14:textId="5C74F676"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CF1171">
              <w:t xml:space="preserve"> $21,170,282 </w:t>
            </w:r>
          </w:p>
        </w:tc>
        <w:tc>
          <w:tcPr>
            <w:tcW w:w="2500" w:type="dxa"/>
          </w:tcPr>
          <w:p w14:paraId="73D2CEA2" w14:textId="783BC6EC"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CF1171">
              <w:t xml:space="preserve"> $5,892,466 </w:t>
            </w:r>
          </w:p>
        </w:tc>
        <w:tc>
          <w:tcPr>
            <w:tcW w:w="2500" w:type="dxa"/>
          </w:tcPr>
          <w:p w14:paraId="2C66CE6F" w14:textId="6CEEF973" w:rsidR="00B3472A" w:rsidRPr="00E764A7" w:rsidRDefault="00B3472A" w:rsidP="00B3472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F1171">
              <w:t>27.83%</w:t>
            </w:r>
          </w:p>
        </w:tc>
      </w:tr>
    </w:tbl>
    <w:p w14:paraId="206C9EF3" w14:textId="77777777" w:rsidR="00933C0C" w:rsidRDefault="00933C0C" w:rsidP="00283138">
      <w:pPr>
        <w:spacing w:before="278" w:line="273" w:lineRule="exact"/>
        <w:textAlignment w:val="baseline"/>
        <w:rPr>
          <w:rFonts w:ascii="Arial" w:eastAsia="Arial" w:hAnsi="Arial"/>
          <w:b/>
          <w:color w:val="000000"/>
          <w:sz w:val="24"/>
        </w:rPr>
      </w:pPr>
    </w:p>
    <w:p w14:paraId="24B8E998" w14:textId="77777777" w:rsidR="000E27CE" w:rsidRDefault="000E27CE" w:rsidP="00283138">
      <w:pPr>
        <w:spacing w:before="278" w:line="273" w:lineRule="exact"/>
        <w:textAlignment w:val="baseline"/>
        <w:rPr>
          <w:rFonts w:ascii="Arial" w:eastAsia="Arial" w:hAnsi="Arial"/>
          <w:b/>
          <w:color w:val="000000"/>
          <w:sz w:val="24"/>
        </w:rPr>
      </w:pPr>
    </w:p>
    <w:p w14:paraId="01C03AD1" w14:textId="77777777" w:rsidR="00386020" w:rsidRDefault="00386020" w:rsidP="00283138">
      <w:pPr>
        <w:spacing w:before="278" w:line="273" w:lineRule="exact"/>
        <w:textAlignment w:val="baseline"/>
        <w:rPr>
          <w:rFonts w:ascii="Arial" w:eastAsia="Arial" w:hAnsi="Arial"/>
          <w:b/>
          <w:color w:val="000000"/>
          <w:sz w:val="24"/>
        </w:rPr>
      </w:pPr>
    </w:p>
    <w:p w14:paraId="44BAC896" w14:textId="3573560C" w:rsidR="00283138" w:rsidRDefault="00FA6B86" w:rsidP="00283138">
      <w:pPr>
        <w:spacing w:before="278" w:line="273" w:lineRule="exact"/>
        <w:textAlignment w:val="baseline"/>
        <w:rPr>
          <w:rFonts w:ascii="Arial" w:eastAsia="Arial" w:hAnsi="Arial"/>
          <w:b/>
          <w:color w:val="000000"/>
          <w:sz w:val="24"/>
        </w:rPr>
      </w:pPr>
      <w:r>
        <w:rPr>
          <w:rFonts w:ascii="Arial" w:eastAsia="Arial" w:hAnsi="Arial"/>
          <w:b/>
          <w:color w:val="000000"/>
          <w:sz w:val="24"/>
        </w:rPr>
        <w:lastRenderedPageBreak/>
        <w:t xml:space="preserve">Step Three: Forecasted Weight </w:t>
      </w:r>
      <w:r w:rsidR="0098360D">
        <w:rPr>
          <w:rFonts w:ascii="Arial" w:eastAsia="Arial" w:hAnsi="Arial"/>
          <w:b/>
          <w:color w:val="000000"/>
          <w:sz w:val="24"/>
        </w:rPr>
        <w:t xml:space="preserve"> </w:t>
      </w:r>
    </w:p>
    <w:p w14:paraId="3140B24C" w14:textId="4C56E6E1" w:rsidR="009F2E6F" w:rsidRPr="007D2D41" w:rsidRDefault="00AB017C" w:rsidP="007D2D41">
      <w:pPr>
        <w:spacing w:before="278" w:after="240" w:line="273" w:lineRule="exact"/>
        <w:textAlignment w:val="baseline"/>
        <w:rPr>
          <w:rFonts w:ascii="Arial" w:eastAsia="Times New Roman" w:hAnsi="Arial" w:cs="Arial"/>
          <w:bCs/>
          <w:sz w:val="24"/>
          <w:szCs w:val="24"/>
          <w:lang w:val="x-none" w:eastAsia="x-none"/>
        </w:rPr>
      </w:pPr>
      <w:r>
        <w:rPr>
          <w:rFonts w:ascii="Arial" w:eastAsia="Times New Roman" w:hAnsi="Arial" w:cs="Arial"/>
          <w:bCs/>
          <w:sz w:val="24"/>
          <w:szCs w:val="24"/>
          <w:lang w:eastAsia="x-none"/>
        </w:rPr>
        <w:t>Pursuant FTA guidance, it is a best practice to</w:t>
      </w:r>
      <w:r w:rsidR="00455140" w:rsidRPr="007D2D41">
        <w:rPr>
          <w:rFonts w:ascii="Arial" w:eastAsia="Times New Roman" w:hAnsi="Arial" w:cs="Arial"/>
          <w:bCs/>
          <w:sz w:val="24"/>
          <w:szCs w:val="24"/>
          <w:lang w:val="x-none" w:eastAsia="x-none"/>
        </w:rPr>
        <w:t xml:space="preserve"> assign a forecasted weight to contracting opportunities</w:t>
      </w:r>
      <w:r>
        <w:rPr>
          <w:rFonts w:ascii="Arial" w:eastAsia="Times New Roman" w:hAnsi="Arial" w:cs="Arial"/>
          <w:bCs/>
          <w:sz w:val="24"/>
          <w:szCs w:val="24"/>
          <w:lang w:eastAsia="x-none"/>
        </w:rPr>
        <w:t xml:space="preserve"> based on the share of federal dollars allocated. </w:t>
      </w:r>
      <w:r w:rsidR="00B97342">
        <w:rPr>
          <w:rFonts w:ascii="Arial" w:eastAsia="Times New Roman" w:hAnsi="Arial" w:cs="Arial"/>
          <w:bCs/>
          <w:sz w:val="24"/>
          <w:szCs w:val="24"/>
          <w:lang w:eastAsia="x-none"/>
        </w:rPr>
        <w:t>Currently</w:t>
      </w:r>
      <w:r>
        <w:rPr>
          <w:rFonts w:ascii="Arial" w:eastAsia="Times New Roman" w:hAnsi="Arial" w:cs="Arial"/>
          <w:bCs/>
          <w:sz w:val="24"/>
          <w:szCs w:val="24"/>
          <w:lang w:eastAsia="x-none"/>
        </w:rPr>
        <w:t xml:space="preserve">, a tracking mechanism is not in place to determine the </w:t>
      </w:r>
      <w:r w:rsidR="006D57DE" w:rsidRPr="007D2D41">
        <w:rPr>
          <w:rFonts w:ascii="Arial" w:eastAsia="Times New Roman" w:hAnsi="Arial" w:cs="Arial"/>
          <w:bCs/>
          <w:sz w:val="24"/>
          <w:szCs w:val="24"/>
          <w:lang w:val="x-none" w:eastAsia="x-none"/>
        </w:rPr>
        <w:t xml:space="preserve">NAICS code </w:t>
      </w:r>
      <w:r>
        <w:rPr>
          <w:rFonts w:ascii="Arial" w:eastAsia="Times New Roman" w:hAnsi="Arial" w:cs="Arial"/>
          <w:bCs/>
          <w:sz w:val="24"/>
          <w:szCs w:val="24"/>
          <w:lang w:eastAsia="x-none"/>
        </w:rPr>
        <w:t xml:space="preserve">by </w:t>
      </w:r>
      <w:r w:rsidR="006D57DE" w:rsidRPr="007D2D41">
        <w:rPr>
          <w:rFonts w:ascii="Arial" w:eastAsia="Times New Roman" w:hAnsi="Arial" w:cs="Arial"/>
          <w:bCs/>
          <w:sz w:val="24"/>
          <w:szCs w:val="24"/>
          <w:lang w:val="x-none" w:eastAsia="x-none"/>
        </w:rPr>
        <w:t>invoice</w:t>
      </w:r>
      <w:r>
        <w:rPr>
          <w:rFonts w:ascii="Arial" w:eastAsia="Times New Roman" w:hAnsi="Arial" w:cs="Arial"/>
          <w:bCs/>
          <w:sz w:val="24"/>
          <w:szCs w:val="24"/>
          <w:lang w:eastAsia="x-none"/>
        </w:rPr>
        <w:t xml:space="preserve"> </w:t>
      </w:r>
      <w:r w:rsidR="006D57DE" w:rsidRPr="007D2D41">
        <w:rPr>
          <w:rFonts w:ascii="Arial" w:eastAsia="Times New Roman" w:hAnsi="Arial" w:cs="Arial"/>
          <w:bCs/>
          <w:sz w:val="24"/>
          <w:szCs w:val="24"/>
          <w:lang w:val="x-none" w:eastAsia="x-none"/>
        </w:rPr>
        <w:t xml:space="preserve">for FTA reimbursement. </w:t>
      </w:r>
      <w:r>
        <w:rPr>
          <w:rFonts w:ascii="Arial" w:eastAsia="Times New Roman" w:hAnsi="Arial" w:cs="Arial"/>
          <w:bCs/>
          <w:sz w:val="24"/>
          <w:szCs w:val="24"/>
          <w:lang w:eastAsia="x-none"/>
        </w:rPr>
        <w:t>Thus, it</w:t>
      </w:r>
      <w:r w:rsidR="006D57DE" w:rsidRPr="007D2D41">
        <w:rPr>
          <w:rFonts w:ascii="Arial" w:eastAsia="Times New Roman" w:hAnsi="Arial" w:cs="Arial"/>
          <w:bCs/>
          <w:sz w:val="24"/>
          <w:szCs w:val="24"/>
          <w:lang w:val="x-none" w:eastAsia="x-none"/>
        </w:rPr>
        <w:t xml:space="preserve"> was determined that forecasted weighting is not </w:t>
      </w:r>
      <w:r w:rsidR="00455140" w:rsidRPr="007D2D41">
        <w:rPr>
          <w:rFonts w:ascii="Arial" w:eastAsia="Times New Roman" w:hAnsi="Arial" w:cs="Arial"/>
          <w:bCs/>
          <w:sz w:val="24"/>
          <w:szCs w:val="24"/>
          <w:lang w:val="x-none" w:eastAsia="x-none"/>
        </w:rPr>
        <w:t xml:space="preserve">an appropriate method </w:t>
      </w:r>
      <w:r w:rsidR="00EC7BC4">
        <w:rPr>
          <w:rFonts w:ascii="Arial" w:eastAsia="Times New Roman" w:hAnsi="Arial" w:cs="Arial"/>
          <w:bCs/>
          <w:sz w:val="24"/>
          <w:szCs w:val="24"/>
          <w:lang w:eastAsia="x-none"/>
        </w:rPr>
        <w:t>of adjusting the base figure</w:t>
      </w:r>
      <w:r w:rsidR="00455140" w:rsidRPr="007D2D41">
        <w:rPr>
          <w:rFonts w:ascii="Arial" w:eastAsia="Times New Roman" w:hAnsi="Arial" w:cs="Arial"/>
          <w:bCs/>
          <w:sz w:val="24"/>
          <w:szCs w:val="24"/>
          <w:lang w:val="x-none" w:eastAsia="x-none"/>
        </w:rPr>
        <w:t>.</w:t>
      </w:r>
      <w:r w:rsidR="00B97342">
        <w:rPr>
          <w:rFonts w:ascii="Arial" w:eastAsia="Times New Roman" w:hAnsi="Arial" w:cs="Arial"/>
          <w:bCs/>
          <w:sz w:val="24"/>
          <w:szCs w:val="24"/>
          <w:lang w:eastAsia="x-none"/>
        </w:rPr>
        <w:t xml:space="preserve"> The</w:t>
      </w:r>
      <w:r w:rsidR="00455140" w:rsidRPr="007D2D41">
        <w:rPr>
          <w:rFonts w:ascii="Arial" w:eastAsia="Times New Roman" w:hAnsi="Arial" w:cs="Arial"/>
          <w:bCs/>
          <w:sz w:val="24"/>
          <w:szCs w:val="24"/>
          <w:lang w:val="x-none" w:eastAsia="x-none"/>
        </w:rPr>
        <w:t xml:space="preserve"> FDOT is </w:t>
      </w:r>
      <w:r w:rsidR="00CC159E" w:rsidRPr="007D2D41">
        <w:rPr>
          <w:rFonts w:ascii="Arial" w:eastAsia="Times New Roman" w:hAnsi="Arial" w:cs="Arial"/>
          <w:bCs/>
          <w:sz w:val="24"/>
          <w:szCs w:val="24"/>
          <w:lang w:val="x-none" w:eastAsia="x-none"/>
        </w:rPr>
        <w:t xml:space="preserve">in the process of developing a corrective action plan that will include updated processes and procedures. This corrective action plan will be completed by </w:t>
      </w:r>
      <w:r w:rsidR="00F56F92" w:rsidRPr="007D2D41">
        <w:rPr>
          <w:rFonts w:ascii="Arial" w:eastAsia="Times New Roman" w:hAnsi="Arial" w:cs="Arial"/>
          <w:bCs/>
          <w:sz w:val="24"/>
          <w:szCs w:val="24"/>
          <w:lang w:val="x-none" w:eastAsia="x-none"/>
        </w:rPr>
        <w:t>December 31st, 2023</w:t>
      </w:r>
      <w:r w:rsidR="00CC159E" w:rsidRPr="007D2D41">
        <w:rPr>
          <w:rFonts w:ascii="Arial" w:eastAsia="Times New Roman" w:hAnsi="Arial" w:cs="Arial"/>
          <w:bCs/>
          <w:sz w:val="24"/>
          <w:szCs w:val="24"/>
          <w:lang w:val="x-none" w:eastAsia="x-none"/>
        </w:rPr>
        <w:t xml:space="preserve">. </w:t>
      </w:r>
    </w:p>
    <w:p w14:paraId="4337A795" w14:textId="5B030F32" w:rsidR="00455140" w:rsidRPr="00455140" w:rsidRDefault="00455140" w:rsidP="00455140">
      <w:pPr>
        <w:spacing w:before="278" w:line="273" w:lineRule="exact"/>
        <w:textAlignment w:val="baseline"/>
        <w:rPr>
          <w:rFonts w:ascii="Arial" w:eastAsia="Arial" w:hAnsi="Arial"/>
          <w:b/>
          <w:color w:val="000000"/>
          <w:sz w:val="24"/>
        </w:rPr>
      </w:pPr>
      <w:r w:rsidRPr="00455140">
        <w:rPr>
          <w:rFonts w:ascii="Arial" w:eastAsia="Arial" w:hAnsi="Arial"/>
          <w:b/>
          <w:color w:val="000000"/>
          <w:sz w:val="24"/>
        </w:rPr>
        <w:t xml:space="preserve">Step Four: Establishing a Statewide </w:t>
      </w:r>
      <w:r>
        <w:rPr>
          <w:rFonts w:ascii="Arial" w:eastAsia="Arial" w:hAnsi="Arial"/>
          <w:b/>
          <w:color w:val="000000"/>
          <w:sz w:val="24"/>
        </w:rPr>
        <w:t>G</w:t>
      </w:r>
      <w:r w:rsidRPr="00455140">
        <w:rPr>
          <w:rFonts w:ascii="Arial" w:eastAsia="Arial" w:hAnsi="Arial"/>
          <w:b/>
          <w:color w:val="000000"/>
          <w:sz w:val="24"/>
        </w:rPr>
        <w:t xml:space="preserve">oal </w:t>
      </w:r>
    </w:p>
    <w:p w14:paraId="4D58B026" w14:textId="26376269" w:rsidR="00455140" w:rsidRPr="007D2D41" w:rsidRDefault="00E764A7" w:rsidP="007D2D41">
      <w:pPr>
        <w:spacing w:before="278" w:after="240" w:line="273" w:lineRule="exact"/>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Pursuant to DOT guidance, FDOT is adjusting the base figure</w:t>
      </w:r>
      <w:r w:rsidR="00EC7BC4">
        <w:rPr>
          <w:rFonts w:ascii="Arial" w:eastAsia="Times New Roman" w:hAnsi="Arial" w:cs="Arial"/>
          <w:bCs/>
          <w:sz w:val="24"/>
          <w:szCs w:val="24"/>
          <w:lang w:eastAsia="x-none"/>
        </w:rPr>
        <w:t xml:space="preserve"> established in step one (1)</w:t>
      </w:r>
      <w:r w:rsidRPr="007D2D41">
        <w:rPr>
          <w:rFonts w:ascii="Arial" w:eastAsia="Times New Roman" w:hAnsi="Arial" w:cs="Arial"/>
          <w:bCs/>
          <w:sz w:val="24"/>
          <w:szCs w:val="24"/>
          <w:lang w:val="x-none" w:eastAsia="x-none"/>
        </w:rPr>
        <w:t xml:space="preserve"> using the median</w:t>
      </w:r>
      <w:r w:rsidR="00EC7BC4">
        <w:rPr>
          <w:rFonts w:ascii="Arial" w:eastAsia="Times New Roman" w:hAnsi="Arial" w:cs="Arial"/>
          <w:bCs/>
          <w:sz w:val="24"/>
          <w:szCs w:val="24"/>
          <w:lang w:eastAsia="x-none"/>
        </w:rPr>
        <w:t xml:space="preserve"> historic</w:t>
      </w:r>
      <w:r w:rsidRPr="007D2D41">
        <w:rPr>
          <w:rFonts w:ascii="Arial" w:eastAsia="Times New Roman" w:hAnsi="Arial" w:cs="Arial"/>
          <w:bCs/>
          <w:sz w:val="24"/>
          <w:szCs w:val="24"/>
          <w:lang w:val="x-none" w:eastAsia="x-none"/>
        </w:rPr>
        <w:t xml:space="preserve"> DBE participation of 2.23%</w:t>
      </w:r>
      <w:r w:rsidR="002E2DBB" w:rsidRPr="007D2D41">
        <w:rPr>
          <w:rFonts w:ascii="Arial" w:eastAsia="Times New Roman" w:hAnsi="Arial" w:cs="Arial"/>
          <w:bCs/>
          <w:sz w:val="24"/>
          <w:szCs w:val="24"/>
          <w:lang w:val="x-none" w:eastAsia="x-none"/>
        </w:rPr>
        <w:t xml:space="preserve"> </w:t>
      </w:r>
      <w:r w:rsidR="00B97342">
        <w:rPr>
          <w:rFonts w:ascii="Arial" w:eastAsia="Times New Roman" w:hAnsi="Arial" w:cs="Arial"/>
          <w:bCs/>
          <w:sz w:val="24"/>
          <w:szCs w:val="24"/>
          <w:lang w:eastAsia="x-none"/>
        </w:rPr>
        <w:t>c</w:t>
      </w:r>
      <w:r w:rsidR="00EC7BC4">
        <w:rPr>
          <w:rFonts w:ascii="Arial" w:eastAsia="Times New Roman" w:hAnsi="Arial" w:cs="Arial"/>
          <w:bCs/>
          <w:sz w:val="24"/>
          <w:szCs w:val="24"/>
          <w:lang w:eastAsia="x-none"/>
        </w:rPr>
        <w:t>alculated in</w:t>
      </w:r>
      <w:r w:rsidR="002E2DBB" w:rsidRPr="007D2D41">
        <w:rPr>
          <w:rFonts w:ascii="Arial" w:eastAsia="Times New Roman" w:hAnsi="Arial" w:cs="Arial"/>
          <w:bCs/>
          <w:sz w:val="24"/>
          <w:szCs w:val="24"/>
          <w:lang w:val="x-none" w:eastAsia="x-none"/>
        </w:rPr>
        <w:t xml:space="preserve"> </w:t>
      </w:r>
      <w:r w:rsidR="00EC7BC4">
        <w:rPr>
          <w:rFonts w:ascii="Arial" w:eastAsia="Times New Roman" w:hAnsi="Arial" w:cs="Arial"/>
          <w:bCs/>
          <w:sz w:val="24"/>
          <w:szCs w:val="24"/>
          <w:lang w:eastAsia="x-none"/>
        </w:rPr>
        <w:t>s</w:t>
      </w:r>
      <w:r w:rsidR="002E2DBB" w:rsidRPr="007D2D41">
        <w:rPr>
          <w:rFonts w:ascii="Arial" w:eastAsia="Times New Roman" w:hAnsi="Arial" w:cs="Arial"/>
          <w:bCs/>
          <w:sz w:val="24"/>
          <w:szCs w:val="24"/>
          <w:lang w:val="x-none" w:eastAsia="x-none"/>
        </w:rPr>
        <w:t xml:space="preserve">tep </w:t>
      </w:r>
      <w:r w:rsidR="00EC7BC4">
        <w:rPr>
          <w:rFonts w:ascii="Arial" w:eastAsia="Times New Roman" w:hAnsi="Arial" w:cs="Arial"/>
          <w:bCs/>
          <w:sz w:val="24"/>
          <w:szCs w:val="24"/>
          <w:lang w:eastAsia="x-none"/>
        </w:rPr>
        <w:t>two (2)</w:t>
      </w:r>
      <w:r w:rsidR="002E2DBB" w:rsidRPr="007D2D41">
        <w:rPr>
          <w:rFonts w:ascii="Arial" w:eastAsia="Times New Roman" w:hAnsi="Arial" w:cs="Arial"/>
          <w:bCs/>
          <w:sz w:val="24"/>
          <w:szCs w:val="24"/>
          <w:lang w:val="x-none" w:eastAsia="x-none"/>
        </w:rPr>
        <w:t xml:space="preserve">. The base figure in </w:t>
      </w:r>
      <w:r w:rsidR="00EC7BC4">
        <w:rPr>
          <w:rFonts w:ascii="Arial" w:eastAsia="Times New Roman" w:hAnsi="Arial" w:cs="Arial"/>
          <w:bCs/>
          <w:sz w:val="24"/>
          <w:szCs w:val="24"/>
          <w:lang w:eastAsia="x-none"/>
        </w:rPr>
        <w:t>step one (1)</w:t>
      </w:r>
      <w:r w:rsidR="002E2DBB" w:rsidRPr="007D2D41">
        <w:rPr>
          <w:rFonts w:ascii="Arial" w:eastAsia="Times New Roman" w:hAnsi="Arial" w:cs="Arial"/>
          <w:bCs/>
          <w:sz w:val="24"/>
          <w:szCs w:val="24"/>
          <w:lang w:val="x-none" w:eastAsia="x-none"/>
        </w:rPr>
        <w:t xml:space="preserve"> </w:t>
      </w:r>
      <w:r w:rsidRPr="007D2D41">
        <w:rPr>
          <w:rFonts w:ascii="Arial" w:eastAsia="Times New Roman" w:hAnsi="Arial" w:cs="Arial"/>
          <w:bCs/>
          <w:sz w:val="24"/>
          <w:szCs w:val="24"/>
          <w:lang w:val="x-none" w:eastAsia="x-none"/>
        </w:rPr>
        <w:t xml:space="preserve">was averaged with the </w:t>
      </w:r>
      <w:r w:rsidR="002E2DBB" w:rsidRPr="007D2D41">
        <w:rPr>
          <w:rFonts w:ascii="Arial" w:eastAsia="Times New Roman" w:hAnsi="Arial" w:cs="Arial"/>
          <w:bCs/>
          <w:sz w:val="24"/>
          <w:szCs w:val="24"/>
          <w:lang w:val="x-none" w:eastAsia="x-none"/>
        </w:rPr>
        <w:t xml:space="preserve">median DBE participation figure in </w:t>
      </w:r>
      <w:r w:rsidR="00EC7BC4">
        <w:rPr>
          <w:rFonts w:ascii="Arial" w:eastAsia="Times New Roman" w:hAnsi="Arial" w:cs="Arial"/>
          <w:bCs/>
          <w:sz w:val="24"/>
          <w:szCs w:val="24"/>
          <w:lang w:eastAsia="x-none"/>
        </w:rPr>
        <w:t>s</w:t>
      </w:r>
      <w:r w:rsidR="002E2DBB" w:rsidRPr="007D2D41">
        <w:rPr>
          <w:rFonts w:ascii="Arial" w:eastAsia="Times New Roman" w:hAnsi="Arial" w:cs="Arial"/>
          <w:bCs/>
          <w:sz w:val="24"/>
          <w:szCs w:val="24"/>
          <w:lang w:val="x-none" w:eastAsia="x-none"/>
        </w:rPr>
        <w:t>tep</w:t>
      </w:r>
      <w:r w:rsidR="00EC7BC4">
        <w:rPr>
          <w:rFonts w:ascii="Arial" w:eastAsia="Times New Roman" w:hAnsi="Arial" w:cs="Arial"/>
          <w:bCs/>
          <w:sz w:val="24"/>
          <w:szCs w:val="24"/>
          <w:lang w:eastAsia="x-none"/>
        </w:rPr>
        <w:t xml:space="preserve"> two</w:t>
      </w:r>
      <w:r w:rsidR="002E2DBB" w:rsidRPr="007D2D41">
        <w:rPr>
          <w:rFonts w:ascii="Arial" w:eastAsia="Times New Roman" w:hAnsi="Arial" w:cs="Arial"/>
          <w:bCs/>
          <w:sz w:val="24"/>
          <w:szCs w:val="24"/>
          <w:lang w:val="x-none" w:eastAsia="x-none"/>
        </w:rPr>
        <w:t xml:space="preserve"> </w:t>
      </w:r>
      <w:r w:rsidR="00EC7BC4">
        <w:rPr>
          <w:rFonts w:ascii="Arial" w:eastAsia="Times New Roman" w:hAnsi="Arial" w:cs="Arial"/>
          <w:bCs/>
          <w:sz w:val="24"/>
          <w:szCs w:val="24"/>
          <w:lang w:eastAsia="x-none"/>
        </w:rPr>
        <w:t>(</w:t>
      </w:r>
      <w:r w:rsidR="00460804" w:rsidRPr="007D2D41">
        <w:rPr>
          <w:rFonts w:ascii="Arial" w:eastAsia="Times New Roman" w:hAnsi="Arial" w:cs="Arial"/>
          <w:bCs/>
          <w:sz w:val="24"/>
          <w:szCs w:val="24"/>
          <w:lang w:val="x-none" w:eastAsia="x-none"/>
        </w:rPr>
        <w:t>2</w:t>
      </w:r>
      <w:r w:rsidR="00EC7BC4">
        <w:rPr>
          <w:rFonts w:ascii="Arial" w:eastAsia="Times New Roman" w:hAnsi="Arial" w:cs="Arial"/>
          <w:bCs/>
          <w:sz w:val="24"/>
          <w:szCs w:val="24"/>
          <w:lang w:eastAsia="x-none"/>
        </w:rPr>
        <w:t>)</w:t>
      </w:r>
      <w:r w:rsidR="00460804" w:rsidRPr="007D2D41">
        <w:rPr>
          <w:rFonts w:ascii="Arial" w:eastAsia="Times New Roman" w:hAnsi="Arial" w:cs="Arial"/>
          <w:bCs/>
          <w:sz w:val="24"/>
          <w:szCs w:val="24"/>
          <w:lang w:val="x-none" w:eastAsia="x-none"/>
        </w:rPr>
        <w:t xml:space="preserve"> resulting</w:t>
      </w:r>
      <w:r w:rsidRPr="007D2D41">
        <w:rPr>
          <w:rFonts w:ascii="Arial" w:eastAsia="Times New Roman" w:hAnsi="Arial" w:cs="Arial"/>
          <w:bCs/>
          <w:sz w:val="24"/>
          <w:szCs w:val="24"/>
          <w:lang w:val="x-none" w:eastAsia="x-none"/>
        </w:rPr>
        <w:t xml:space="preserve"> in a </w:t>
      </w:r>
      <w:r w:rsidR="00CC159E" w:rsidRPr="007D2D41">
        <w:rPr>
          <w:rFonts w:ascii="Arial" w:eastAsia="Times New Roman" w:hAnsi="Arial" w:cs="Arial"/>
          <w:bCs/>
          <w:sz w:val="24"/>
          <w:szCs w:val="24"/>
          <w:lang w:val="x-none" w:eastAsia="x-none"/>
        </w:rPr>
        <w:t xml:space="preserve">final </w:t>
      </w:r>
      <w:r w:rsidRPr="007D2D41">
        <w:rPr>
          <w:rFonts w:ascii="Arial" w:eastAsia="Times New Roman" w:hAnsi="Arial" w:cs="Arial"/>
          <w:bCs/>
          <w:sz w:val="24"/>
          <w:szCs w:val="24"/>
          <w:lang w:val="x-none" w:eastAsia="x-none"/>
        </w:rPr>
        <w:t xml:space="preserve">overall annual DBE goal of </w:t>
      </w:r>
      <w:r w:rsidRPr="007D2D41">
        <w:rPr>
          <w:rFonts w:ascii="Arial" w:eastAsia="Times New Roman" w:hAnsi="Arial" w:cs="Arial"/>
          <w:b/>
          <w:sz w:val="24"/>
          <w:szCs w:val="24"/>
          <w:lang w:val="x-none" w:eastAsia="x-none"/>
        </w:rPr>
        <w:t>3.59%</w:t>
      </w:r>
      <w:r w:rsidRPr="007D2D41">
        <w:rPr>
          <w:rFonts w:ascii="Arial" w:eastAsia="Times New Roman" w:hAnsi="Arial" w:cs="Arial"/>
          <w:bCs/>
          <w:sz w:val="24"/>
          <w:szCs w:val="24"/>
          <w:lang w:val="x-none" w:eastAsia="x-none"/>
        </w:rPr>
        <w:t xml:space="preserve"> for FFY</w:t>
      </w:r>
      <w:r w:rsidR="00EC7BC4">
        <w:rPr>
          <w:rFonts w:ascii="Arial" w:eastAsia="Times New Roman" w:hAnsi="Arial" w:cs="Arial"/>
          <w:bCs/>
          <w:sz w:val="24"/>
          <w:szCs w:val="24"/>
          <w:lang w:eastAsia="x-none"/>
        </w:rPr>
        <w:t xml:space="preserve"> </w:t>
      </w:r>
      <w:r w:rsidRPr="007D2D41">
        <w:rPr>
          <w:rFonts w:ascii="Arial" w:eastAsia="Times New Roman" w:hAnsi="Arial" w:cs="Arial"/>
          <w:bCs/>
          <w:sz w:val="24"/>
          <w:szCs w:val="24"/>
          <w:lang w:val="x-none" w:eastAsia="x-none"/>
        </w:rPr>
        <w:t>2024-FFY</w:t>
      </w:r>
      <w:r w:rsidR="00EC7BC4">
        <w:rPr>
          <w:rFonts w:ascii="Arial" w:eastAsia="Times New Roman" w:hAnsi="Arial" w:cs="Arial"/>
          <w:bCs/>
          <w:sz w:val="24"/>
          <w:szCs w:val="24"/>
          <w:lang w:eastAsia="x-none"/>
        </w:rPr>
        <w:t xml:space="preserve"> </w:t>
      </w:r>
      <w:r w:rsidRPr="007D2D41">
        <w:rPr>
          <w:rFonts w:ascii="Arial" w:eastAsia="Times New Roman" w:hAnsi="Arial" w:cs="Arial"/>
          <w:bCs/>
          <w:sz w:val="24"/>
          <w:szCs w:val="24"/>
          <w:lang w:val="x-none" w:eastAsia="x-none"/>
        </w:rPr>
        <w:t>2026. This goal will be re</w:t>
      </w:r>
      <w:r w:rsidR="002E2DBB" w:rsidRPr="007D2D41">
        <w:rPr>
          <w:rFonts w:ascii="Arial" w:eastAsia="Times New Roman" w:hAnsi="Arial" w:cs="Arial"/>
          <w:bCs/>
          <w:sz w:val="24"/>
          <w:szCs w:val="24"/>
          <w:lang w:val="x-none" w:eastAsia="x-none"/>
        </w:rPr>
        <w:t>-</w:t>
      </w:r>
      <w:r w:rsidRPr="007D2D41">
        <w:rPr>
          <w:rFonts w:ascii="Arial" w:eastAsia="Times New Roman" w:hAnsi="Arial" w:cs="Arial"/>
          <w:bCs/>
          <w:sz w:val="24"/>
          <w:szCs w:val="24"/>
          <w:lang w:val="x-none" w:eastAsia="x-none"/>
        </w:rPr>
        <w:t xml:space="preserve">evaluated </w:t>
      </w:r>
      <w:r w:rsidR="002E2DBB" w:rsidRPr="007D2D41">
        <w:rPr>
          <w:rFonts w:ascii="Arial" w:eastAsia="Times New Roman" w:hAnsi="Arial" w:cs="Arial"/>
          <w:bCs/>
          <w:sz w:val="24"/>
          <w:szCs w:val="24"/>
          <w:lang w:val="x-none" w:eastAsia="x-none"/>
        </w:rPr>
        <w:t xml:space="preserve">on an </w:t>
      </w:r>
      <w:r w:rsidRPr="007D2D41">
        <w:rPr>
          <w:rFonts w:ascii="Arial" w:eastAsia="Times New Roman" w:hAnsi="Arial" w:cs="Arial"/>
          <w:bCs/>
          <w:sz w:val="24"/>
          <w:szCs w:val="24"/>
          <w:lang w:val="x-none" w:eastAsia="x-none"/>
        </w:rPr>
        <w:t>annual</w:t>
      </w:r>
      <w:r w:rsidR="002E2DBB" w:rsidRPr="007D2D41">
        <w:rPr>
          <w:rFonts w:ascii="Arial" w:eastAsia="Times New Roman" w:hAnsi="Arial" w:cs="Arial"/>
          <w:bCs/>
          <w:sz w:val="24"/>
          <w:szCs w:val="24"/>
          <w:lang w:val="x-none" w:eastAsia="x-none"/>
        </w:rPr>
        <w:t xml:space="preserve"> basis </w:t>
      </w:r>
      <w:r w:rsidRPr="007D2D41">
        <w:rPr>
          <w:rFonts w:ascii="Arial" w:eastAsia="Times New Roman" w:hAnsi="Arial" w:cs="Arial"/>
          <w:bCs/>
          <w:sz w:val="24"/>
          <w:szCs w:val="24"/>
          <w:lang w:val="x-none" w:eastAsia="x-none"/>
        </w:rPr>
        <w:t xml:space="preserve">to </w:t>
      </w:r>
      <w:r w:rsidR="002E2DBB" w:rsidRPr="007D2D41">
        <w:rPr>
          <w:rFonts w:ascii="Arial" w:eastAsia="Times New Roman" w:hAnsi="Arial" w:cs="Arial"/>
          <w:bCs/>
          <w:sz w:val="24"/>
          <w:szCs w:val="24"/>
          <w:lang w:val="x-none" w:eastAsia="x-none"/>
        </w:rPr>
        <w:t xml:space="preserve">further </w:t>
      </w:r>
      <w:r w:rsidRPr="007D2D41">
        <w:rPr>
          <w:rFonts w:ascii="Arial" w:eastAsia="Times New Roman" w:hAnsi="Arial" w:cs="Arial"/>
          <w:bCs/>
          <w:sz w:val="24"/>
          <w:szCs w:val="24"/>
          <w:lang w:val="x-none" w:eastAsia="x-none"/>
        </w:rPr>
        <w:t>align with current trends and conditions.</w:t>
      </w:r>
    </w:p>
    <w:p w14:paraId="104319D7" w14:textId="77777777" w:rsidR="00034706" w:rsidRDefault="00034706" w:rsidP="00034706">
      <w:pPr>
        <w:spacing w:before="278" w:line="274" w:lineRule="exact"/>
        <w:textAlignment w:val="baseline"/>
        <w:rPr>
          <w:rFonts w:ascii="Arial" w:eastAsia="Arial" w:hAnsi="Arial"/>
          <w:b/>
          <w:color w:val="000000"/>
          <w:sz w:val="24"/>
          <w:u w:val="single"/>
        </w:rPr>
      </w:pPr>
      <w:r>
        <w:rPr>
          <w:rFonts w:ascii="Arial" w:eastAsia="Arial" w:hAnsi="Arial"/>
          <w:b/>
          <w:color w:val="000000"/>
          <w:sz w:val="24"/>
          <w:u w:val="single"/>
        </w:rPr>
        <w:t>RACE NEUTRAL METHODS</w:t>
      </w:r>
    </w:p>
    <w:p w14:paraId="794300CE" w14:textId="1EE6CFA0" w:rsidR="00034706" w:rsidRDefault="00B97342" w:rsidP="00034706">
      <w:pPr>
        <w:spacing w:before="276" w:line="276" w:lineRule="exact"/>
        <w:jc w:val="both"/>
        <w:textAlignment w:val="baseline"/>
        <w:rPr>
          <w:rFonts w:ascii="Arial" w:eastAsia="Arial" w:hAnsi="Arial"/>
          <w:color w:val="000000"/>
          <w:sz w:val="24"/>
        </w:rPr>
      </w:pPr>
      <w:r>
        <w:rPr>
          <w:rFonts w:ascii="Arial" w:eastAsia="Arial" w:hAnsi="Arial"/>
          <w:color w:val="000000"/>
          <w:sz w:val="24"/>
        </w:rPr>
        <w:t xml:space="preserve">The </w:t>
      </w:r>
      <w:r w:rsidR="00034706">
        <w:rPr>
          <w:rFonts w:ascii="Arial" w:eastAsia="Arial" w:hAnsi="Arial"/>
          <w:color w:val="000000"/>
          <w:sz w:val="24"/>
        </w:rPr>
        <w:t xml:space="preserve">FDOT shall meet the overall goal of </w:t>
      </w:r>
      <w:r w:rsidR="00933C0C" w:rsidRPr="00933C0C">
        <w:rPr>
          <w:rFonts w:ascii="Arial" w:eastAsia="Arial" w:hAnsi="Arial"/>
          <w:b/>
          <w:bCs/>
          <w:color w:val="000000"/>
          <w:sz w:val="24"/>
        </w:rPr>
        <w:t>3.59%</w:t>
      </w:r>
      <w:r w:rsidR="00034706">
        <w:rPr>
          <w:rFonts w:ascii="Arial" w:eastAsia="Arial" w:hAnsi="Arial"/>
          <w:color w:val="000000"/>
          <w:sz w:val="24"/>
        </w:rPr>
        <w:t xml:space="preserve"> through the use of race neutral methods. The DBE Liaison Officer will work closely with the Transit Office to monitor DBE participation </w:t>
      </w:r>
      <w:r>
        <w:rPr>
          <w:rFonts w:ascii="Arial" w:eastAsia="Arial" w:hAnsi="Arial"/>
          <w:color w:val="000000"/>
          <w:sz w:val="24"/>
        </w:rPr>
        <w:t xml:space="preserve">and </w:t>
      </w:r>
      <w:r w:rsidR="00034706">
        <w:rPr>
          <w:rFonts w:ascii="Arial" w:eastAsia="Arial" w:hAnsi="Arial"/>
          <w:color w:val="000000"/>
          <w:sz w:val="24"/>
        </w:rPr>
        <w:t>determine if mid-course corrections are needed.</w:t>
      </w:r>
    </w:p>
    <w:p w14:paraId="0E554B89" w14:textId="77777777" w:rsidR="007D2D41" w:rsidRDefault="00034706" w:rsidP="007D2D41">
      <w:pPr>
        <w:spacing w:before="276" w:line="276" w:lineRule="exact"/>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Race neutral methods will include:</w:t>
      </w:r>
    </w:p>
    <w:p w14:paraId="3265FEA6" w14:textId="1AD20BBF" w:rsidR="00AB017C" w:rsidRDefault="007D2D41" w:rsidP="00AB017C">
      <w:pPr>
        <w:pStyle w:val="ListParagraph"/>
        <w:numPr>
          <w:ilvl w:val="0"/>
          <w:numId w:val="2"/>
        </w:numPr>
        <w:spacing w:before="276" w:line="276" w:lineRule="exact"/>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Providing technical assistance and other services throughout the year to DBEs and other small businesses with special emphasis on marketing, financing</w:t>
      </w:r>
      <w:r>
        <w:rPr>
          <w:rFonts w:ascii="Arial" w:eastAsia="Times New Roman" w:hAnsi="Arial" w:cs="Arial"/>
          <w:bCs/>
          <w:sz w:val="24"/>
          <w:szCs w:val="24"/>
          <w:lang w:eastAsia="x-none"/>
        </w:rPr>
        <w:t>,</w:t>
      </w:r>
      <w:r w:rsidRPr="007D2D41">
        <w:rPr>
          <w:rFonts w:ascii="Arial" w:eastAsia="Times New Roman" w:hAnsi="Arial" w:cs="Arial"/>
          <w:bCs/>
          <w:sz w:val="24"/>
          <w:szCs w:val="24"/>
          <w:lang w:val="x-none" w:eastAsia="x-none"/>
        </w:rPr>
        <w:t xml:space="preserve"> and bonding.</w:t>
      </w:r>
    </w:p>
    <w:p w14:paraId="75011371" w14:textId="426D1259" w:rsidR="00AB017C" w:rsidRDefault="00AB017C" w:rsidP="00AB017C">
      <w:pPr>
        <w:numPr>
          <w:ilvl w:val="0"/>
          <w:numId w:val="2"/>
        </w:numPr>
        <w:tabs>
          <w:tab w:val="left" w:pos="288"/>
          <w:tab w:val="left" w:pos="720"/>
        </w:tabs>
        <w:spacing w:line="276" w:lineRule="exact"/>
        <w:ind w:right="936"/>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Continuing DBE supportive services program to develop and improve business management, record keeping, and financial and accounting capability for DBEs.</w:t>
      </w:r>
    </w:p>
    <w:p w14:paraId="751F3EC7" w14:textId="75E24A0C" w:rsidR="00034706" w:rsidRPr="00AB017C" w:rsidRDefault="00034706" w:rsidP="00AB017C">
      <w:pPr>
        <w:numPr>
          <w:ilvl w:val="0"/>
          <w:numId w:val="2"/>
        </w:numPr>
        <w:tabs>
          <w:tab w:val="left" w:pos="288"/>
          <w:tab w:val="left" w:pos="720"/>
        </w:tabs>
        <w:spacing w:line="276" w:lineRule="exact"/>
        <w:ind w:right="936"/>
        <w:textAlignment w:val="baseline"/>
        <w:rPr>
          <w:rFonts w:ascii="Arial" w:eastAsia="Times New Roman" w:hAnsi="Arial" w:cs="Arial"/>
          <w:bCs/>
          <w:sz w:val="24"/>
          <w:szCs w:val="24"/>
          <w:lang w:val="x-none" w:eastAsia="x-none"/>
        </w:rPr>
      </w:pPr>
      <w:r w:rsidRPr="00AB017C">
        <w:rPr>
          <w:rFonts w:ascii="Arial" w:eastAsia="Times New Roman" w:hAnsi="Arial" w:cs="Arial"/>
          <w:bCs/>
          <w:sz w:val="24"/>
          <w:szCs w:val="24"/>
          <w:lang w:val="x-none" w:eastAsia="x-none"/>
        </w:rPr>
        <w:t>Working closely with new start-up firms, particularly in fields in which DBE participation has been historically low.</w:t>
      </w:r>
    </w:p>
    <w:p w14:paraId="4AB83E1F" w14:textId="77777777" w:rsidR="00034706" w:rsidRPr="007D2D41" w:rsidRDefault="00034706" w:rsidP="00AB017C">
      <w:pPr>
        <w:numPr>
          <w:ilvl w:val="0"/>
          <w:numId w:val="2"/>
        </w:numPr>
        <w:tabs>
          <w:tab w:val="left" w:pos="288"/>
          <w:tab w:val="left" w:pos="720"/>
        </w:tabs>
        <w:spacing w:line="276" w:lineRule="exact"/>
        <w:ind w:right="936"/>
        <w:textAlignment w:val="baseline"/>
        <w:rPr>
          <w:rFonts w:ascii="Arial" w:eastAsia="Times New Roman" w:hAnsi="Arial" w:cs="Arial"/>
          <w:bCs/>
          <w:sz w:val="24"/>
          <w:szCs w:val="24"/>
          <w:lang w:val="x-none" w:eastAsia="x-none"/>
        </w:rPr>
      </w:pPr>
      <w:r w:rsidRPr="007D2D41">
        <w:rPr>
          <w:rFonts w:ascii="Arial" w:eastAsia="Times New Roman" w:hAnsi="Arial" w:cs="Arial"/>
          <w:bCs/>
          <w:sz w:val="24"/>
          <w:szCs w:val="24"/>
          <w:lang w:val="x-none" w:eastAsia="x-none"/>
        </w:rPr>
        <w:t>Assisting DBEs to develop their capability to utilize emerging technology and conduct business through electronic media.</w:t>
      </w:r>
    </w:p>
    <w:p w14:paraId="201B0219" w14:textId="09B0D80B" w:rsidR="00F45C9F" w:rsidRPr="007D2D41" w:rsidRDefault="00034706" w:rsidP="00AB017C">
      <w:pPr>
        <w:numPr>
          <w:ilvl w:val="0"/>
          <w:numId w:val="2"/>
        </w:numPr>
        <w:tabs>
          <w:tab w:val="left" w:pos="288"/>
          <w:tab w:val="left" w:pos="720"/>
        </w:tabs>
        <w:spacing w:line="276" w:lineRule="exact"/>
        <w:ind w:right="936"/>
        <w:textAlignment w:val="baseline"/>
        <w:rPr>
          <w:rFonts w:ascii="Arial" w:eastAsia="Times New Roman" w:hAnsi="Arial" w:cs="Arial"/>
          <w:bCs/>
          <w:sz w:val="24"/>
          <w:szCs w:val="24"/>
          <w:lang w:val="x-none" w:eastAsia="x-none"/>
        </w:rPr>
      </w:pPr>
      <w:r w:rsidRPr="007D2D41">
        <w:rPr>
          <w:rFonts w:ascii="Arial" w:eastAsia="Times New Roman" w:hAnsi="Arial" w:cs="Arial"/>
          <w:bCs/>
          <w:noProof/>
          <w:sz w:val="24"/>
          <w:szCs w:val="24"/>
          <w:lang w:val="x-none" w:eastAsia="x-none"/>
        </w:rPr>
        <mc:AlternateContent>
          <mc:Choice Requires="wps">
            <w:drawing>
              <wp:anchor distT="0" distB="0" distL="0" distR="0" simplePos="0" relativeHeight="251659264" behindDoc="1" locked="0" layoutInCell="1" allowOverlap="1" wp14:anchorId="20A0B740" wp14:editId="3DB1EC40">
                <wp:simplePos x="0" y="0"/>
                <wp:positionH relativeFrom="page">
                  <wp:posOffset>6953250</wp:posOffset>
                </wp:positionH>
                <wp:positionV relativeFrom="page">
                  <wp:posOffset>9251950</wp:posOffset>
                </wp:positionV>
                <wp:extent cx="18732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CA98" w14:textId="77777777" w:rsidR="00034706" w:rsidRDefault="00034706" w:rsidP="00034706">
                            <w:pPr>
                              <w:spacing w:before="3" w:line="259" w:lineRule="exact"/>
                              <w:textAlignment w:val="baseline"/>
                              <w:rPr>
                                <w:rFonts w:eastAsia="Times New Roman"/>
                                <w:color w:val="000000"/>
                                <w:sz w:val="24"/>
                              </w:rPr>
                            </w:pPr>
                            <w:r>
                              <w:rPr>
                                <w:rFonts w:eastAsia="Times New Roman"/>
                                <w:color w:val="000000"/>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0B740" id="_x0000_t202" coordsize="21600,21600" o:spt="202" path="m,l,21600r21600,l21600,xe">
                <v:stroke joinstyle="miter"/>
                <v:path gradientshapeok="t" o:connecttype="rect"/>
              </v:shapetype>
              <v:shape id="Text Box 1" o:spid="_x0000_s1026" type="#_x0000_t202" style="position:absolute;left:0;text-align:left;margin-left:547.5pt;margin-top:728.5pt;width:14.75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" filled="f" stroked="f">
                <v:textbox inset="0,0,0,0">
                  <w:txbxContent>
                    <w:p w14:paraId="50A2CA98" w14:textId="77777777" w:rsidR="00034706" w:rsidRDefault="00034706" w:rsidP="00034706">
                      <w:pPr>
                        <w:spacing w:before="3" w:line="259"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mc:Fallback>
        </mc:AlternateContent>
      </w:r>
      <w:r w:rsidRPr="007D2D41">
        <w:rPr>
          <w:rFonts w:ascii="Arial" w:eastAsia="Times New Roman" w:hAnsi="Arial" w:cs="Arial"/>
          <w:bCs/>
          <w:sz w:val="24"/>
          <w:szCs w:val="24"/>
          <w:lang w:val="x-none" w:eastAsia="x-none"/>
        </w:rPr>
        <w:t xml:space="preserve">Working with prime contractors, consultants, the Florida Transportation Builders Association, and the </w:t>
      </w:r>
      <w:r w:rsidR="0069028F" w:rsidRPr="007D2D41">
        <w:rPr>
          <w:rFonts w:ascii="Arial" w:eastAsia="Times New Roman" w:hAnsi="Arial" w:cs="Arial"/>
          <w:bCs/>
          <w:sz w:val="24"/>
          <w:szCs w:val="24"/>
          <w:lang w:val="x-none" w:eastAsia="x-none"/>
        </w:rPr>
        <w:t>American Council of Engineering Companies</w:t>
      </w:r>
      <w:r w:rsidRPr="007D2D41">
        <w:rPr>
          <w:rFonts w:ascii="Arial" w:eastAsia="Times New Roman" w:hAnsi="Arial" w:cs="Arial"/>
          <w:bCs/>
          <w:sz w:val="24"/>
          <w:szCs w:val="24"/>
          <w:lang w:val="x-none" w:eastAsia="x-none"/>
        </w:rPr>
        <w:t xml:space="preserve"> to encourage the use of DBEs.</w:t>
      </w:r>
    </w:p>
    <w:p w14:paraId="248F04F6" w14:textId="77777777" w:rsidR="00FB12E5" w:rsidRDefault="00FB12E5" w:rsidP="00FB12E5">
      <w:pPr>
        <w:tabs>
          <w:tab w:val="left" w:pos="720"/>
        </w:tabs>
        <w:spacing w:line="275" w:lineRule="exact"/>
        <w:ind w:right="288"/>
        <w:textAlignment w:val="baseline"/>
        <w:rPr>
          <w:rFonts w:ascii="Arial" w:eastAsia="Arial" w:hAnsi="Arial"/>
          <w:color w:val="000000"/>
          <w:sz w:val="24"/>
        </w:rPr>
      </w:pPr>
    </w:p>
    <w:p w14:paraId="22223239" w14:textId="77777777" w:rsidR="00FB12E5" w:rsidRDefault="00FB12E5" w:rsidP="00FB12E5">
      <w:pPr>
        <w:tabs>
          <w:tab w:val="left" w:pos="720"/>
        </w:tabs>
        <w:spacing w:line="275" w:lineRule="exact"/>
        <w:ind w:right="288"/>
        <w:textAlignment w:val="baseline"/>
        <w:rPr>
          <w:rFonts w:ascii="Arial" w:eastAsia="Arial" w:hAnsi="Arial"/>
          <w:color w:val="000000"/>
          <w:sz w:val="24"/>
        </w:rPr>
      </w:pPr>
    </w:p>
    <w:p w14:paraId="14ED7C44" w14:textId="77777777" w:rsidR="00FB12E5" w:rsidRDefault="00FB12E5" w:rsidP="00FB12E5">
      <w:pPr>
        <w:spacing w:line="415" w:lineRule="exact"/>
        <w:textAlignment w:val="baseline"/>
        <w:rPr>
          <w:rFonts w:ascii="Arial" w:eastAsia="Arial" w:hAnsi="Arial"/>
          <w:color w:val="000000"/>
          <w:sz w:val="24"/>
        </w:rPr>
      </w:pPr>
      <w:r>
        <w:rPr>
          <w:rFonts w:ascii="Arial" w:eastAsia="Arial" w:hAnsi="Arial"/>
          <w:b/>
          <w:color w:val="000000"/>
          <w:sz w:val="24"/>
          <w:u w:val="single"/>
        </w:rPr>
        <w:t xml:space="preserve">PUBLIC PARTICIPATION  </w:t>
      </w:r>
      <w:r>
        <w:rPr>
          <w:rFonts w:ascii="Arial" w:eastAsia="Arial" w:hAnsi="Arial"/>
          <w:b/>
          <w:color w:val="000000"/>
          <w:sz w:val="24"/>
          <w:u w:val="single"/>
        </w:rPr>
        <w:br/>
      </w:r>
    </w:p>
    <w:p w14:paraId="30369DD0" w14:textId="77777777" w:rsidR="00702998" w:rsidRDefault="00702998" w:rsidP="00702998">
      <w:pPr>
        <w:pStyle w:val="BodyText"/>
        <w:rPr>
          <w:rFonts w:ascii="Arial" w:hAnsi="Arial" w:cs="Arial"/>
          <w:b w:val="0"/>
          <w:bCs w:val="0"/>
        </w:rPr>
      </w:pPr>
      <w:r>
        <w:rPr>
          <w:rFonts w:ascii="Arial" w:hAnsi="Arial" w:cs="Arial"/>
          <w:b w:val="0"/>
          <w:bCs w:val="0"/>
        </w:rPr>
        <w:t xml:space="preserve">On </w:t>
      </w:r>
      <w:r>
        <w:rPr>
          <w:rFonts w:ascii="Arial" w:hAnsi="Arial" w:cs="Arial"/>
          <w:b w:val="0"/>
          <w:bCs w:val="0"/>
          <w:lang w:val="en-US"/>
        </w:rPr>
        <w:t>March</w:t>
      </w:r>
      <w:r>
        <w:rPr>
          <w:rFonts w:ascii="Arial" w:hAnsi="Arial" w:cs="Arial"/>
          <w:b w:val="0"/>
          <w:bCs w:val="0"/>
        </w:rPr>
        <w:t xml:space="preserve"> </w:t>
      </w:r>
      <w:r>
        <w:rPr>
          <w:rFonts w:ascii="Arial" w:hAnsi="Arial" w:cs="Arial"/>
          <w:b w:val="0"/>
          <w:bCs w:val="0"/>
          <w:lang w:val="en-US"/>
        </w:rPr>
        <w:t>28</w:t>
      </w:r>
      <w:r>
        <w:rPr>
          <w:rFonts w:ascii="Arial" w:hAnsi="Arial" w:cs="Arial"/>
          <w:b w:val="0"/>
          <w:bCs w:val="0"/>
        </w:rPr>
        <w:t>, 20</w:t>
      </w:r>
      <w:r>
        <w:rPr>
          <w:rFonts w:ascii="Arial" w:hAnsi="Arial" w:cs="Arial"/>
          <w:b w:val="0"/>
          <w:bCs w:val="0"/>
          <w:lang w:val="en-US"/>
        </w:rPr>
        <w:t>23</w:t>
      </w:r>
      <w:r>
        <w:rPr>
          <w:rFonts w:ascii="Arial" w:hAnsi="Arial" w:cs="Arial"/>
          <w:b w:val="0"/>
          <w:bCs w:val="0"/>
        </w:rPr>
        <w:t xml:space="preserve">, the Florida Department of Transportation (FDOT) </w:t>
      </w:r>
      <w:r>
        <w:rPr>
          <w:rFonts w:ascii="Arial" w:hAnsi="Arial" w:cs="Arial"/>
          <w:b w:val="0"/>
          <w:bCs w:val="0"/>
          <w:lang w:val="en-US"/>
        </w:rPr>
        <w:t xml:space="preserve">had the first of six “kick-off” meetings with both DBE and non-DBE contractors &amp; consultants, regarding the 2024-2026 FHWA and FTA DBE goals before they was published.  All kick-off meetings were done in person and as part of meetings being held in Jacksonville, Chipley, Bartow, Deland, Tampa, and Ft. Lauderdale Florida.  On June 22, 2023, the Equal Opportunity Office </w:t>
      </w:r>
      <w:r>
        <w:rPr>
          <w:rFonts w:ascii="Arial" w:hAnsi="Arial" w:cs="Arial"/>
          <w:b w:val="0"/>
          <w:bCs w:val="0"/>
        </w:rPr>
        <w:t xml:space="preserve">published its first </w:t>
      </w:r>
      <w:r>
        <w:rPr>
          <w:rFonts w:ascii="Arial" w:hAnsi="Arial" w:cs="Arial"/>
          <w:b w:val="0"/>
          <w:bCs w:val="0"/>
        </w:rPr>
        <w:lastRenderedPageBreak/>
        <w:t>notice to the public regarding the posting of the 20</w:t>
      </w:r>
      <w:r>
        <w:rPr>
          <w:rFonts w:ascii="Arial" w:hAnsi="Arial" w:cs="Arial"/>
          <w:b w:val="0"/>
          <w:bCs w:val="0"/>
          <w:lang w:val="en-US"/>
        </w:rPr>
        <w:t>21</w:t>
      </w:r>
      <w:r>
        <w:rPr>
          <w:rFonts w:ascii="Arial" w:hAnsi="Arial" w:cs="Arial"/>
          <w:b w:val="0"/>
          <w:bCs w:val="0"/>
        </w:rPr>
        <w:t xml:space="preserve"> Federal Highway &amp; Federal Transit DBE goals and methodology and the ability for the public to view both draft documents and to make comments</w:t>
      </w:r>
      <w:r>
        <w:rPr>
          <w:rFonts w:ascii="Arial" w:hAnsi="Arial" w:cs="Arial"/>
          <w:b w:val="0"/>
          <w:bCs w:val="0"/>
          <w:lang w:val="en-US"/>
        </w:rPr>
        <w:t xml:space="preserve"> or ask questions</w:t>
      </w:r>
      <w:r>
        <w:rPr>
          <w:rFonts w:ascii="Arial" w:hAnsi="Arial" w:cs="Arial"/>
          <w:b w:val="0"/>
          <w:bCs w:val="0"/>
        </w:rPr>
        <w:t xml:space="preserve"> </w:t>
      </w:r>
      <w:r>
        <w:rPr>
          <w:rFonts w:ascii="Arial" w:hAnsi="Arial" w:cs="Arial"/>
          <w:b w:val="0"/>
          <w:bCs w:val="0"/>
          <w:lang w:val="en-US"/>
        </w:rPr>
        <w:t xml:space="preserve">through the dedicated email address, </w:t>
      </w:r>
      <w:hyperlink r:id="rId8" w:history="1">
        <w:r w:rsidRPr="00F0131A">
          <w:rPr>
            <w:rStyle w:val="Hyperlink"/>
            <w:rFonts w:ascii="Arial" w:hAnsi="Arial" w:cs="Arial"/>
            <w:b w:val="0"/>
            <w:bCs w:val="0"/>
            <w:lang w:val="en-US"/>
          </w:rPr>
          <w:t>2023DBEGoal@dot.state.fl.us</w:t>
        </w:r>
      </w:hyperlink>
      <w:r>
        <w:rPr>
          <w:rFonts w:ascii="Arial" w:hAnsi="Arial" w:cs="Arial"/>
          <w:b w:val="0"/>
          <w:bCs w:val="0"/>
          <w:lang w:val="en-US"/>
        </w:rPr>
        <w:t xml:space="preserve"> , </w:t>
      </w:r>
      <w:r>
        <w:rPr>
          <w:rFonts w:ascii="Arial" w:hAnsi="Arial" w:cs="Arial"/>
          <w:b w:val="0"/>
          <w:bCs w:val="0"/>
        </w:rPr>
        <w:t xml:space="preserve">directly to the </w:t>
      </w:r>
      <w:r>
        <w:rPr>
          <w:rFonts w:ascii="Arial" w:hAnsi="Arial" w:cs="Arial"/>
          <w:b w:val="0"/>
          <w:bCs w:val="0"/>
          <w:lang w:val="en-US"/>
        </w:rPr>
        <w:t>EOO</w:t>
      </w:r>
      <w:r>
        <w:rPr>
          <w:rFonts w:ascii="Arial" w:hAnsi="Arial" w:cs="Arial"/>
          <w:b w:val="0"/>
          <w:bCs w:val="0"/>
        </w:rPr>
        <w:t>.</w:t>
      </w:r>
      <w:r>
        <w:rPr>
          <w:rFonts w:ascii="Arial" w:hAnsi="Arial" w:cs="Arial"/>
          <w:b w:val="0"/>
          <w:bCs w:val="0"/>
          <w:lang w:val="en-US"/>
        </w:rPr>
        <w:t xml:space="preserve">  The notice also detailed how to register and attend the hybrid virtual and in-person FHWA and FTA Goal Setting Methodology meeting.</w:t>
      </w:r>
      <w:r>
        <w:rPr>
          <w:rFonts w:ascii="Arial" w:hAnsi="Arial" w:cs="Arial"/>
          <w:b w:val="0"/>
          <w:bCs w:val="0"/>
        </w:rPr>
        <w:t xml:space="preserve">  </w:t>
      </w:r>
      <w:r>
        <w:rPr>
          <w:rFonts w:ascii="Arial" w:hAnsi="Arial" w:cs="Arial"/>
          <w:b w:val="0"/>
          <w:bCs w:val="0"/>
          <w:lang w:val="en-US"/>
        </w:rPr>
        <w:t>T</w:t>
      </w:r>
      <w:r>
        <w:rPr>
          <w:rFonts w:ascii="Arial" w:hAnsi="Arial" w:cs="Arial"/>
          <w:b w:val="0"/>
          <w:bCs w:val="0"/>
        </w:rPr>
        <w:t>h</w:t>
      </w:r>
      <w:r>
        <w:rPr>
          <w:rFonts w:ascii="Arial" w:hAnsi="Arial" w:cs="Arial"/>
          <w:b w:val="0"/>
          <w:bCs w:val="0"/>
          <w:lang w:val="en-US"/>
        </w:rPr>
        <w:t xml:space="preserve">e </w:t>
      </w:r>
      <w:r>
        <w:rPr>
          <w:rFonts w:ascii="Arial" w:hAnsi="Arial" w:cs="Arial"/>
          <w:b w:val="0"/>
          <w:bCs w:val="0"/>
        </w:rPr>
        <w:t>notice was posted on the Florida Administrative Register</w:t>
      </w:r>
      <w:r>
        <w:rPr>
          <w:rFonts w:ascii="Arial" w:hAnsi="Arial" w:cs="Arial"/>
          <w:b w:val="0"/>
          <w:bCs w:val="0"/>
          <w:lang w:val="en-US"/>
        </w:rPr>
        <w:t xml:space="preserve">, the FDOT Facebook page and the EOO page on the FDOT website.  The notice was also sent to the Florida Transportation Builders Association (FTBA) and the American Council of Engineering Companies of Florida (ACEC) presidents to disseminate to their members. </w:t>
      </w:r>
    </w:p>
    <w:p w14:paraId="3A50FF1E" w14:textId="77777777" w:rsidR="00702998" w:rsidRDefault="00702998" w:rsidP="00702998">
      <w:pPr>
        <w:pStyle w:val="BodyText"/>
        <w:rPr>
          <w:rFonts w:ascii="Arial" w:hAnsi="Arial" w:cs="Arial"/>
          <w:b w:val="0"/>
          <w:bCs w:val="0"/>
        </w:rPr>
      </w:pPr>
      <w:r>
        <w:rPr>
          <w:rFonts w:ascii="Arial" w:hAnsi="Arial" w:cs="Arial"/>
          <w:b w:val="0"/>
          <w:bCs w:val="0"/>
        </w:rPr>
        <w:t xml:space="preserve">     </w:t>
      </w:r>
    </w:p>
    <w:p w14:paraId="5057F179" w14:textId="77777777" w:rsidR="00702998" w:rsidRDefault="00702998" w:rsidP="00702998">
      <w:pPr>
        <w:pStyle w:val="BodyText"/>
        <w:rPr>
          <w:rFonts w:ascii="Arial" w:hAnsi="Arial" w:cs="Arial"/>
          <w:b w:val="0"/>
          <w:bCs w:val="0"/>
        </w:rPr>
      </w:pPr>
      <w:r>
        <w:rPr>
          <w:rFonts w:ascii="Arial" w:hAnsi="Arial" w:cs="Arial"/>
          <w:b w:val="0"/>
          <w:bCs w:val="0"/>
          <w:lang w:val="en-US"/>
        </w:rPr>
        <w:t xml:space="preserve">The noticed hybrid in-person and virtual </w:t>
      </w:r>
      <w:r>
        <w:rPr>
          <w:rFonts w:ascii="Arial" w:hAnsi="Arial" w:cs="Arial"/>
          <w:b w:val="0"/>
          <w:bCs w:val="0"/>
        </w:rPr>
        <w:t>public meeting</w:t>
      </w:r>
      <w:r>
        <w:rPr>
          <w:rFonts w:ascii="Arial" w:hAnsi="Arial" w:cs="Arial"/>
          <w:b w:val="0"/>
          <w:bCs w:val="0"/>
          <w:lang w:val="en-US"/>
        </w:rPr>
        <w:t xml:space="preserve"> was</w:t>
      </w:r>
      <w:r>
        <w:rPr>
          <w:rFonts w:ascii="Arial" w:hAnsi="Arial" w:cs="Arial"/>
          <w:b w:val="0"/>
          <w:bCs w:val="0"/>
        </w:rPr>
        <w:t xml:space="preserve"> </w:t>
      </w:r>
      <w:r>
        <w:rPr>
          <w:rFonts w:ascii="Arial" w:hAnsi="Arial" w:cs="Arial"/>
          <w:b w:val="0"/>
          <w:bCs w:val="0"/>
          <w:lang w:val="en-US"/>
        </w:rPr>
        <w:t>held</w:t>
      </w:r>
      <w:r>
        <w:rPr>
          <w:rFonts w:ascii="Arial" w:hAnsi="Arial" w:cs="Arial"/>
          <w:b w:val="0"/>
          <w:bCs w:val="0"/>
        </w:rPr>
        <w:t xml:space="preserve"> Ju</w:t>
      </w:r>
      <w:r>
        <w:rPr>
          <w:rFonts w:ascii="Arial" w:hAnsi="Arial" w:cs="Arial"/>
          <w:b w:val="0"/>
          <w:bCs w:val="0"/>
          <w:lang w:val="en-US"/>
        </w:rPr>
        <w:t>ly</w:t>
      </w:r>
      <w:r>
        <w:rPr>
          <w:rFonts w:ascii="Arial" w:hAnsi="Arial" w:cs="Arial"/>
          <w:b w:val="0"/>
          <w:bCs w:val="0"/>
        </w:rPr>
        <w:t xml:space="preserve"> </w:t>
      </w:r>
      <w:r>
        <w:rPr>
          <w:rFonts w:ascii="Arial" w:hAnsi="Arial" w:cs="Arial"/>
          <w:b w:val="0"/>
          <w:bCs w:val="0"/>
          <w:lang w:val="en-US"/>
        </w:rPr>
        <w:t>11</w:t>
      </w:r>
      <w:r>
        <w:rPr>
          <w:rFonts w:ascii="Arial" w:hAnsi="Arial" w:cs="Arial"/>
          <w:b w:val="0"/>
          <w:bCs w:val="0"/>
          <w:vertAlign w:val="superscript"/>
          <w:lang w:val="en-US"/>
        </w:rPr>
        <w:t>th</w:t>
      </w:r>
      <w:r>
        <w:rPr>
          <w:rFonts w:ascii="Arial" w:hAnsi="Arial" w:cs="Arial"/>
          <w:b w:val="0"/>
          <w:bCs w:val="0"/>
          <w:lang w:val="en-US"/>
        </w:rPr>
        <w:t>, at</w:t>
      </w:r>
      <w:r>
        <w:rPr>
          <w:rFonts w:ascii="Arial" w:hAnsi="Arial" w:cs="Arial"/>
          <w:b w:val="0"/>
          <w:bCs w:val="0"/>
        </w:rPr>
        <w:t xml:space="preserve"> 6:00pm</w:t>
      </w:r>
      <w:r>
        <w:rPr>
          <w:rFonts w:ascii="Arial" w:hAnsi="Arial" w:cs="Arial"/>
          <w:b w:val="0"/>
          <w:bCs w:val="0"/>
          <w:lang w:val="en-US"/>
        </w:rPr>
        <w:t>, and was taped live for posting on the EOO page</w:t>
      </w:r>
      <w:r>
        <w:rPr>
          <w:rFonts w:ascii="Arial" w:hAnsi="Arial" w:cs="Arial"/>
          <w:b w:val="0"/>
          <w:bCs w:val="0"/>
        </w:rPr>
        <w:t xml:space="preserve">.  In addition to </w:t>
      </w:r>
      <w:r>
        <w:rPr>
          <w:rFonts w:ascii="Arial" w:hAnsi="Arial" w:cs="Arial"/>
          <w:b w:val="0"/>
          <w:bCs w:val="0"/>
          <w:lang w:val="en-US"/>
        </w:rPr>
        <w:t>announcing</w:t>
      </w:r>
      <w:r>
        <w:rPr>
          <w:rFonts w:ascii="Arial" w:hAnsi="Arial" w:cs="Arial"/>
          <w:b w:val="0"/>
          <w:bCs w:val="0"/>
        </w:rPr>
        <w:t xml:space="preserve"> the </w:t>
      </w:r>
      <w:r>
        <w:rPr>
          <w:rFonts w:ascii="Arial" w:hAnsi="Arial" w:cs="Arial"/>
          <w:b w:val="0"/>
          <w:bCs w:val="0"/>
          <w:lang w:val="en-US"/>
        </w:rPr>
        <w:t>hybrid DBE goal meeting, the</w:t>
      </w:r>
      <w:r>
        <w:rPr>
          <w:rFonts w:ascii="Arial" w:hAnsi="Arial" w:cs="Arial"/>
          <w:b w:val="0"/>
          <w:bCs w:val="0"/>
        </w:rPr>
        <w:t xml:space="preserve"> </w:t>
      </w:r>
      <w:r>
        <w:rPr>
          <w:rFonts w:ascii="Arial" w:hAnsi="Arial" w:cs="Arial"/>
          <w:b w:val="0"/>
          <w:bCs w:val="0"/>
          <w:lang w:val="en-US"/>
        </w:rPr>
        <w:t xml:space="preserve">meeting </w:t>
      </w:r>
      <w:r>
        <w:rPr>
          <w:rFonts w:ascii="Arial" w:hAnsi="Arial" w:cs="Arial"/>
          <w:b w:val="0"/>
          <w:bCs w:val="0"/>
        </w:rPr>
        <w:t>w</w:t>
      </w:r>
      <w:r>
        <w:rPr>
          <w:rFonts w:ascii="Arial" w:hAnsi="Arial" w:cs="Arial"/>
          <w:b w:val="0"/>
          <w:bCs w:val="0"/>
          <w:lang w:val="en-US"/>
        </w:rPr>
        <w:t>as</w:t>
      </w:r>
      <w:r>
        <w:rPr>
          <w:rFonts w:ascii="Arial" w:hAnsi="Arial" w:cs="Arial"/>
          <w:b w:val="0"/>
          <w:bCs w:val="0"/>
        </w:rPr>
        <w:t xml:space="preserve"> also noticed by the placement of public notice advertisements in the following minority and majority newspapers: </w:t>
      </w:r>
      <w:r>
        <w:rPr>
          <w:rFonts w:ascii="Arial" w:hAnsi="Arial" w:cs="Arial"/>
          <w:b w:val="0"/>
          <w:bCs w:val="0"/>
          <w:lang w:val="en-US"/>
        </w:rPr>
        <w:t>West Side Gazette</w:t>
      </w:r>
      <w:r>
        <w:rPr>
          <w:rFonts w:ascii="Arial" w:hAnsi="Arial" w:cs="Arial"/>
          <w:b w:val="0"/>
          <w:bCs w:val="0"/>
        </w:rPr>
        <w:t xml:space="preserve"> (minority – </w:t>
      </w:r>
      <w:r>
        <w:rPr>
          <w:rFonts w:ascii="Arial" w:hAnsi="Arial" w:cs="Arial"/>
          <w:b w:val="0"/>
          <w:bCs w:val="0"/>
          <w:lang w:val="en-US"/>
        </w:rPr>
        <w:t>Ft. Lauderdale</w:t>
      </w:r>
      <w:r>
        <w:rPr>
          <w:rFonts w:ascii="Arial" w:hAnsi="Arial" w:cs="Arial"/>
          <w:b w:val="0"/>
          <w:bCs w:val="0"/>
        </w:rPr>
        <w:t>); Miami Herald (majority – Miami, Ft. Lauderdale); Tallahassee Democrat (majority – Tallahassee)</w:t>
      </w:r>
      <w:r>
        <w:rPr>
          <w:rFonts w:ascii="Arial" w:hAnsi="Arial" w:cs="Arial"/>
          <w:b w:val="0"/>
          <w:bCs w:val="0"/>
          <w:lang w:val="en-US"/>
        </w:rPr>
        <w:t xml:space="preserve">; El Nuevo Heraldo (minority – Miami); Tampa Bay Times (majority – Citrus, Hernando, Hillsborough, Pinellas and Pasco Counties), </w:t>
      </w:r>
      <w:r>
        <w:rPr>
          <w:rFonts w:ascii="Arial" w:hAnsi="Arial" w:cs="Arial"/>
          <w:b w:val="0"/>
          <w:bCs w:val="0"/>
        </w:rPr>
        <w:t xml:space="preserve">  </w:t>
      </w:r>
    </w:p>
    <w:p w14:paraId="58D7850C" w14:textId="77777777" w:rsidR="00702998" w:rsidRDefault="00702998" w:rsidP="00702998">
      <w:pPr>
        <w:pStyle w:val="BodyText"/>
        <w:rPr>
          <w:rFonts w:ascii="Arial" w:hAnsi="Arial" w:cs="Arial"/>
          <w:b w:val="0"/>
          <w:bCs w:val="0"/>
        </w:rPr>
      </w:pPr>
    </w:p>
    <w:p w14:paraId="5F18123F" w14:textId="77777777" w:rsidR="00702998" w:rsidRDefault="00702998" w:rsidP="00702998">
      <w:pPr>
        <w:pStyle w:val="BodyText"/>
        <w:rPr>
          <w:rFonts w:ascii="Arial" w:hAnsi="Arial" w:cs="Arial"/>
          <w:b w:val="0"/>
          <w:bCs w:val="0"/>
          <w:lang w:val="en-US"/>
        </w:rPr>
      </w:pPr>
      <w:r>
        <w:rPr>
          <w:rFonts w:ascii="Arial" w:hAnsi="Arial" w:cs="Arial"/>
          <w:b w:val="0"/>
          <w:bCs w:val="0"/>
          <w:lang w:val="en-US"/>
        </w:rPr>
        <w:t>FDOT’s</w:t>
      </w:r>
      <w:r>
        <w:rPr>
          <w:rFonts w:ascii="Arial" w:hAnsi="Arial" w:cs="Arial"/>
          <w:b w:val="0"/>
          <w:bCs w:val="0"/>
        </w:rPr>
        <w:t xml:space="preserve"> </w:t>
      </w:r>
      <w:r>
        <w:rPr>
          <w:rFonts w:ascii="Arial" w:hAnsi="Arial" w:cs="Arial"/>
          <w:b w:val="0"/>
          <w:bCs w:val="0"/>
          <w:lang w:val="en-US"/>
        </w:rPr>
        <w:t>two</w:t>
      </w:r>
      <w:r>
        <w:rPr>
          <w:rFonts w:ascii="Arial" w:hAnsi="Arial" w:cs="Arial"/>
          <w:b w:val="0"/>
          <w:bCs w:val="0"/>
        </w:rPr>
        <w:t xml:space="preserve"> Supportive Service Providers, CEI and the Council</w:t>
      </w:r>
      <w:r>
        <w:rPr>
          <w:rFonts w:ascii="Arial" w:hAnsi="Arial" w:cs="Arial"/>
          <w:b w:val="0"/>
          <w:bCs w:val="0"/>
          <w:lang w:val="en-US"/>
        </w:rPr>
        <w:t>,</w:t>
      </w:r>
      <w:r>
        <w:rPr>
          <w:rFonts w:ascii="Arial" w:hAnsi="Arial" w:cs="Arial"/>
          <w:b w:val="0"/>
          <w:bCs w:val="0"/>
        </w:rPr>
        <w:t xml:space="preserve"> who are contracted by FDOT to assist DBE’s</w:t>
      </w:r>
      <w:r>
        <w:rPr>
          <w:rFonts w:ascii="Arial" w:hAnsi="Arial" w:cs="Arial"/>
          <w:b w:val="0"/>
          <w:bCs w:val="0"/>
          <w:lang w:val="en-US"/>
        </w:rPr>
        <w:t xml:space="preserve">, </w:t>
      </w:r>
      <w:r>
        <w:rPr>
          <w:rFonts w:ascii="Arial" w:hAnsi="Arial" w:cs="Arial"/>
          <w:b w:val="0"/>
          <w:bCs w:val="0"/>
        </w:rPr>
        <w:t>SBE’s</w:t>
      </w:r>
      <w:r>
        <w:rPr>
          <w:rFonts w:ascii="Arial" w:hAnsi="Arial" w:cs="Arial"/>
          <w:b w:val="0"/>
          <w:bCs w:val="0"/>
          <w:lang w:val="en-US"/>
        </w:rPr>
        <w:t xml:space="preserve"> and primes</w:t>
      </w:r>
      <w:r>
        <w:rPr>
          <w:rFonts w:ascii="Arial" w:hAnsi="Arial" w:cs="Arial"/>
          <w:b w:val="0"/>
          <w:bCs w:val="0"/>
        </w:rPr>
        <w:t xml:space="preserve"> sent emails to their respective database lists.  </w:t>
      </w:r>
      <w:r>
        <w:rPr>
          <w:rFonts w:ascii="Arial" w:hAnsi="Arial" w:cs="Arial"/>
          <w:b w:val="0"/>
          <w:bCs w:val="0"/>
          <w:lang w:val="en-US"/>
        </w:rPr>
        <w:t xml:space="preserve">Through </w:t>
      </w:r>
      <w:r>
        <w:rPr>
          <w:rFonts w:ascii="Arial" w:hAnsi="Arial" w:cs="Arial"/>
          <w:b w:val="0"/>
          <w:bCs w:val="0"/>
        </w:rPr>
        <w:t xml:space="preserve">the </w:t>
      </w:r>
      <w:r>
        <w:rPr>
          <w:rFonts w:ascii="Arial" w:hAnsi="Arial" w:cs="Arial"/>
          <w:b w:val="0"/>
          <w:bCs w:val="0"/>
          <w:lang w:val="en-US"/>
        </w:rPr>
        <w:t>kick-off meetings, virtual</w:t>
      </w:r>
      <w:r>
        <w:rPr>
          <w:rFonts w:ascii="Arial" w:hAnsi="Arial" w:cs="Arial"/>
          <w:b w:val="0"/>
          <w:bCs w:val="0"/>
        </w:rPr>
        <w:t xml:space="preserve"> </w:t>
      </w:r>
      <w:r>
        <w:rPr>
          <w:rFonts w:ascii="Arial" w:hAnsi="Arial" w:cs="Arial"/>
          <w:b w:val="0"/>
          <w:bCs w:val="0"/>
          <w:lang w:val="en-US"/>
        </w:rPr>
        <w:t>public meeting and targeted emails</w:t>
      </w:r>
      <w:r>
        <w:rPr>
          <w:rFonts w:ascii="Arial" w:hAnsi="Arial" w:cs="Arial"/>
          <w:b w:val="0"/>
          <w:bCs w:val="0"/>
        </w:rPr>
        <w:t xml:space="preserve">, approximately </w:t>
      </w:r>
      <w:r>
        <w:rPr>
          <w:rFonts w:ascii="Arial" w:hAnsi="Arial" w:cs="Arial"/>
          <w:b w:val="0"/>
          <w:bCs w:val="0"/>
          <w:lang w:val="en-US"/>
        </w:rPr>
        <w:t>more than 2</w:t>
      </w:r>
      <w:r>
        <w:rPr>
          <w:rFonts w:ascii="Arial" w:hAnsi="Arial" w:cs="Arial"/>
          <w:b w:val="0"/>
          <w:bCs w:val="0"/>
        </w:rPr>
        <w:t>,</w:t>
      </w:r>
      <w:r>
        <w:rPr>
          <w:rFonts w:ascii="Arial" w:hAnsi="Arial" w:cs="Arial"/>
          <w:b w:val="0"/>
          <w:bCs w:val="0"/>
          <w:lang w:val="en-US"/>
        </w:rPr>
        <w:t>0</w:t>
      </w:r>
      <w:r>
        <w:rPr>
          <w:rFonts w:ascii="Arial" w:hAnsi="Arial" w:cs="Arial"/>
          <w:b w:val="0"/>
          <w:bCs w:val="0"/>
        </w:rPr>
        <w:t>00 firms were notified about the</w:t>
      </w:r>
      <w:r>
        <w:rPr>
          <w:rFonts w:ascii="Arial" w:hAnsi="Arial" w:cs="Arial"/>
          <w:b w:val="0"/>
          <w:bCs w:val="0"/>
          <w:lang w:val="en-US"/>
        </w:rPr>
        <w:t xml:space="preserve"> hybrid</w:t>
      </w:r>
      <w:r>
        <w:rPr>
          <w:rFonts w:ascii="Arial" w:hAnsi="Arial" w:cs="Arial"/>
          <w:b w:val="0"/>
          <w:bCs w:val="0"/>
        </w:rPr>
        <w:t xml:space="preserve"> public meeting.  </w:t>
      </w:r>
      <w:r>
        <w:rPr>
          <w:rFonts w:ascii="Arial" w:hAnsi="Arial" w:cs="Arial"/>
          <w:b w:val="0"/>
          <w:bCs w:val="0"/>
          <w:lang w:val="en-US"/>
        </w:rPr>
        <w:t>Time for q</w:t>
      </w:r>
      <w:r>
        <w:rPr>
          <w:rFonts w:ascii="Arial" w:hAnsi="Arial" w:cs="Arial"/>
          <w:b w:val="0"/>
          <w:bCs w:val="0"/>
        </w:rPr>
        <w:t>uestions</w:t>
      </w:r>
      <w:r>
        <w:rPr>
          <w:rFonts w:ascii="Arial" w:hAnsi="Arial" w:cs="Arial"/>
          <w:b w:val="0"/>
          <w:bCs w:val="0"/>
          <w:lang w:val="en-US"/>
        </w:rPr>
        <w:t xml:space="preserve"> </w:t>
      </w:r>
      <w:r>
        <w:rPr>
          <w:rFonts w:ascii="Arial" w:hAnsi="Arial" w:cs="Arial"/>
          <w:b w:val="0"/>
          <w:bCs w:val="0"/>
        </w:rPr>
        <w:t>and answers w</w:t>
      </w:r>
      <w:r>
        <w:rPr>
          <w:rFonts w:ascii="Arial" w:hAnsi="Arial" w:cs="Arial"/>
          <w:b w:val="0"/>
          <w:bCs w:val="0"/>
          <w:lang w:val="en-US"/>
        </w:rPr>
        <w:t>as</w:t>
      </w:r>
      <w:r>
        <w:rPr>
          <w:rFonts w:ascii="Arial" w:hAnsi="Arial" w:cs="Arial"/>
          <w:b w:val="0"/>
          <w:bCs w:val="0"/>
        </w:rPr>
        <w:t xml:space="preserve"> provided after </w:t>
      </w:r>
      <w:r>
        <w:rPr>
          <w:rFonts w:ascii="Arial" w:hAnsi="Arial" w:cs="Arial"/>
          <w:b w:val="0"/>
          <w:bCs w:val="0"/>
          <w:lang w:val="en-US"/>
        </w:rPr>
        <w:t xml:space="preserve">the </w:t>
      </w:r>
      <w:r>
        <w:rPr>
          <w:rFonts w:ascii="Arial" w:hAnsi="Arial" w:cs="Arial"/>
          <w:b w:val="0"/>
          <w:bCs w:val="0"/>
        </w:rPr>
        <w:t>presentation.</w:t>
      </w:r>
      <w:r>
        <w:rPr>
          <w:rFonts w:ascii="Arial" w:hAnsi="Arial" w:cs="Arial"/>
          <w:b w:val="0"/>
          <w:bCs w:val="0"/>
          <w:lang w:val="en-US"/>
        </w:rPr>
        <w:t xml:space="preserve">  No comments or questions were received that would necessitate a change to the proposed goal in the documents. </w:t>
      </w:r>
    </w:p>
    <w:p w14:paraId="004689F4" w14:textId="1DBE21C5" w:rsidR="00FB12E5" w:rsidRPr="00FB12E5" w:rsidRDefault="00FB12E5" w:rsidP="00FB12E5">
      <w:pPr>
        <w:tabs>
          <w:tab w:val="left" w:pos="720"/>
        </w:tabs>
        <w:spacing w:line="275" w:lineRule="exact"/>
        <w:ind w:right="288"/>
        <w:textAlignment w:val="baseline"/>
        <w:rPr>
          <w:rFonts w:ascii="Arial" w:eastAsia="Arial" w:hAnsi="Arial"/>
          <w:color w:val="000000"/>
          <w:sz w:val="24"/>
        </w:rPr>
        <w:sectPr w:rsidR="00FB12E5" w:rsidRPr="00FB12E5" w:rsidSect="00905ABD">
          <w:headerReference w:type="even" r:id="rId9"/>
          <w:headerReference w:type="default" r:id="rId10"/>
          <w:footerReference w:type="even" r:id="rId11"/>
          <w:footerReference w:type="default" r:id="rId12"/>
          <w:headerReference w:type="first" r:id="rId13"/>
          <w:footerReference w:type="first" r:id="rId14"/>
          <w:pgSz w:w="12240" w:h="15840"/>
          <w:pgMar w:top="874" w:right="1055" w:bottom="1440" w:left="1065" w:header="720" w:footer="720" w:gutter="0"/>
          <w:cols w:space="720"/>
          <w:docGrid w:linePitch="299"/>
        </w:sectPr>
      </w:pPr>
    </w:p>
    <w:p w14:paraId="57B36661" w14:textId="0D18DE70" w:rsidR="00F45C9F" w:rsidRDefault="00F45C9F">
      <w:pPr>
        <w:spacing w:before="3" w:line="273" w:lineRule="exact"/>
        <w:textAlignment w:val="baseline"/>
        <w:rPr>
          <w:rFonts w:eastAsia="Times New Roman"/>
          <w:color w:val="000000"/>
          <w:sz w:val="24"/>
        </w:rPr>
      </w:pPr>
    </w:p>
    <w:sectPr w:rsidR="00F45C9F">
      <w:type w:val="continuous"/>
      <w:pgSz w:w="12240" w:h="15840"/>
      <w:pgMar w:top="1440" w:right="1025" w:bottom="584" w:left="109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C3EE" w14:textId="77777777" w:rsidR="00B607F1" w:rsidRDefault="00B607F1" w:rsidP="001B6F63">
      <w:r>
        <w:separator/>
      </w:r>
    </w:p>
  </w:endnote>
  <w:endnote w:type="continuationSeparator" w:id="0">
    <w:p w14:paraId="298113AF" w14:textId="77777777" w:rsidR="00B607F1" w:rsidRDefault="00B607F1" w:rsidP="001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F69A" w14:textId="77777777" w:rsidR="00D3128F" w:rsidRDefault="00D31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902" w14:textId="362CB6F0" w:rsidR="00D3128F" w:rsidRPr="0039780B" w:rsidRDefault="0039780B" w:rsidP="0039780B">
    <w:pPr>
      <w:pStyle w:val="Footer"/>
      <w:jc w:val="right"/>
      <w:rPr>
        <w:sz w:val="24"/>
        <w:szCs w:val="24"/>
      </w:rPr>
    </w:pPr>
    <w:r>
      <w:rPr>
        <w:sz w:val="24"/>
        <w:szCs w:val="24"/>
      </w:rPr>
      <w:t>8/3/23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E8D3" w14:textId="77777777" w:rsidR="00D3128F" w:rsidRDefault="00D3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0F06" w14:textId="77777777" w:rsidR="00B607F1" w:rsidRDefault="00B607F1" w:rsidP="001B6F63">
      <w:r>
        <w:separator/>
      </w:r>
    </w:p>
  </w:footnote>
  <w:footnote w:type="continuationSeparator" w:id="0">
    <w:p w14:paraId="188A6D80" w14:textId="77777777" w:rsidR="00B607F1" w:rsidRDefault="00B607F1" w:rsidP="001B6F63">
      <w:r>
        <w:continuationSeparator/>
      </w:r>
    </w:p>
  </w:footnote>
  <w:footnote w:id="1">
    <w:p w14:paraId="7FEC8544" w14:textId="17F013CE" w:rsidR="002C787C" w:rsidRDefault="002C787C">
      <w:pPr>
        <w:pStyle w:val="FootnoteText"/>
      </w:pPr>
      <w:r>
        <w:rPr>
          <w:rStyle w:val="FootnoteReference"/>
        </w:rPr>
        <w:footnoteRef/>
      </w:r>
      <w:r>
        <w:t xml:space="preserve"> </w:t>
      </w:r>
      <w:hyperlink r:id="rId1" w:history="1">
        <w:r>
          <w:rPr>
            <w:rStyle w:val="Hyperlink"/>
          </w:rPr>
          <w:t>DBE Directory (state.fl.us)</w:t>
        </w:r>
      </w:hyperlink>
    </w:p>
  </w:footnote>
  <w:footnote w:id="2">
    <w:p w14:paraId="172667A9" w14:textId="77777777" w:rsidR="002C787C" w:rsidRDefault="002C787C" w:rsidP="002C787C">
      <w:pPr>
        <w:spacing w:line="276" w:lineRule="exact"/>
        <w:jc w:val="both"/>
        <w:textAlignment w:val="baseline"/>
      </w:pPr>
      <w:r>
        <w:rPr>
          <w:rStyle w:val="FootnoteReference"/>
        </w:rPr>
        <w:footnoteRef/>
      </w:r>
      <w:r>
        <w:t xml:space="preserve"> </w:t>
      </w:r>
      <w:hyperlink r:id="rId2" w:history="1">
        <w:r>
          <w:rPr>
            <w:rStyle w:val="Hyperlink"/>
          </w:rPr>
          <w:t>2020 SUSB Annual Data Tables by Establishment Industry (census.gov)</w:t>
        </w:r>
      </w:hyperlink>
    </w:p>
    <w:p w14:paraId="39F995E1" w14:textId="37636B21" w:rsidR="002C787C" w:rsidRDefault="002C78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5A2" w14:textId="19969056" w:rsidR="00D3128F" w:rsidRDefault="00D3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4E3F" w14:textId="402BE85E" w:rsidR="00D3128F" w:rsidRDefault="00D31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2FEE" w14:textId="398AB6E0" w:rsidR="00D3128F" w:rsidRDefault="00D3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602E4"/>
    <w:multiLevelType w:val="multilevel"/>
    <w:tmpl w:val="33661E92"/>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67459B"/>
    <w:multiLevelType w:val="hybridMultilevel"/>
    <w:tmpl w:val="2C70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484694">
    <w:abstractNumId w:val="0"/>
  </w:num>
  <w:num w:numId="2" w16cid:durableId="1138034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9F"/>
    <w:rsid w:val="0001513A"/>
    <w:rsid w:val="00017E79"/>
    <w:rsid w:val="00034706"/>
    <w:rsid w:val="00056167"/>
    <w:rsid w:val="000C3DC7"/>
    <w:rsid w:val="000C7F38"/>
    <w:rsid w:val="000E27CE"/>
    <w:rsid w:val="000F18A8"/>
    <w:rsid w:val="0011511C"/>
    <w:rsid w:val="00147D5E"/>
    <w:rsid w:val="00162103"/>
    <w:rsid w:val="001A052A"/>
    <w:rsid w:val="001B6F63"/>
    <w:rsid w:val="00200CCF"/>
    <w:rsid w:val="00202A9D"/>
    <w:rsid w:val="00273DFF"/>
    <w:rsid w:val="00282332"/>
    <w:rsid w:val="00283138"/>
    <w:rsid w:val="00295EA0"/>
    <w:rsid w:val="002A766F"/>
    <w:rsid w:val="002C787C"/>
    <w:rsid w:val="002E2DBB"/>
    <w:rsid w:val="00333EBB"/>
    <w:rsid w:val="00362015"/>
    <w:rsid w:val="00386020"/>
    <w:rsid w:val="0039780B"/>
    <w:rsid w:val="003B364F"/>
    <w:rsid w:val="003B5519"/>
    <w:rsid w:val="003D2383"/>
    <w:rsid w:val="00417F03"/>
    <w:rsid w:val="00427220"/>
    <w:rsid w:val="0045136F"/>
    <w:rsid w:val="00455140"/>
    <w:rsid w:val="00460804"/>
    <w:rsid w:val="00477EE0"/>
    <w:rsid w:val="00481FC9"/>
    <w:rsid w:val="004D171D"/>
    <w:rsid w:val="004F40AD"/>
    <w:rsid w:val="004F62CA"/>
    <w:rsid w:val="00502E23"/>
    <w:rsid w:val="00530F62"/>
    <w:rsid w:val="00557A13"/>
    <w:rsid w:val="00564A07"/>
    <w:rsid w:val="005A64CB"/>
    <w:rsid w:val="005A7D7F"/>
    <w:rsid w:val="005C387B"/>
    <w:rsid w:val="005D653B"/>
    <w:rsid w:val="00601A46"/>
    <w:rsid w:val="0061042C"/>
    <w:rsid w:val="00626028"/>
    <w:rsid w:val="00670ACD"/>
    <w:rsid w:val="00672875"/>
    <w:rsid w:val="00677E05"/>
    <w:rsid w:val="0069028F"/>
    <w:rsid w:val="006D57DE"/>
    <w:rsid w:val="00702998"/>
    <w:rsid w:val="00721C4F"/>
    <w:rsid w:val="007340B1"/>
    <w:rsid w:val="0074035D"/>
    <w:rsid w:val="0076044B"/>
    <w:rsid w:val="007D2D41"/>
    <w:rsid w:val="00825426"/>
    <w:rsid w:val="008F3A8A"/>
    <w:rsid w:val="00905ABD"/>
    <w:rsid w:val="00911F18"/>
    <w:rsid w:val="00933C0C"/>
    <w:rsid w:val="009662E9"/>
    <w:rsid w:val="0098360D"/>
    <w:rsid w:val="009F2E6F"/>
    <w:rsid w:val="00A70306"/>
    <w:rsid w:val="00A71C1C"/>
    <w:rsid w:val="00AB017C"/>
    <w:rsid w:val="00AB19B7"/>
    <w:rsid w:val="00AD17A9"/>
    <w:rsid w:val="00B01BBD"/>
    <w:rsid w:val="00B3472A"/>
    <w:rsid w:val="00B607F1"/>
    <w:rsid w:val="00B653F5"/>
    <w:rsid w:val="00B723DE"/>
    <w:rsid w:val="00B97342"/>
    <w:rsid w:val="00BA5196"/>
    <w:rsid w:val="00BB7858"/>
    <w:rsid w:val="00BD3EC1"/>
    <w:rsid w:val="00BE0E95"/>
    <w:rsid w:val="00BE1433"/>
    <w:rsid w:val="00C008A5"/>
    <w:rsid w:val="00C10BBE"/>
    <w:rsid w:val="00C1331B"/>
    <w:rsid w:val="00C50E08"/>
    <w:rsid w:val="00CC159E"/>
    <w:rsid w:val="00CD5782"/>
    <w:rsid w:val="00D3128F"/>
    <w:rsid w:val="00D47BB6"/>
    <w:rsid w:val="00E009D7"/>
    <w:rsid w:val="00E00D09"/>
    <w:rsid w:val="00E764A7"/>
    <w:rsid w:val="00E90D7A"/>
    <w:rsid w:val="00EC7BC4"/>
    <w:rsid w:val="00F45C9F"/>
    <w:rsid w:val="00F56F92"/>
    <w:rsid w:val="00F74DFC"/>
    <w:rsid w:val="00FA4ED8"/>
    <w:rsid w:val="00FA6B86"/>
    <w:rsid w:val="00FB12E5"/>
    <w:rsid w:val="00FE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FC790"/>
  <w15:docId w15:val="{EB129616-B4E3-4C6D-AF48-A9D4FE64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63"/>
    <w:pPr>
      <w:tabs>
        <w:tab w:val="center" w:pos="4680"/>
        <w:tab w:val="right" w:pos="9360"/>
      </w:tabs>
    </w:pPr>
  </w:style>
  <w:style w:type="character" w:customStyle="1" w:styleId="HeaderChar">
    <w:name w:val="Header Char"/>
    <w:basedOn w:val="DefaultParagraphFont"/>
    <w:link w:val="Header"/>
    <w:uiPriority w:val="99"/>
    <w:rsid w:val="001B6F63"/>
  </w:style>
  <w:style w:type="paragraph" w:styleId="Footer">
    <w:name w:val="footer"/>
    <w:basedOn w:val="Normal"/>
    <w:link w:val="FooterChar"/>
    <w:uiPriority w:val="99"/>
    <w:unhideWhenUsed/>
    <w:rsid w:val="001B6F63"/>
    <w:pPr>
      <w:tabs>
        <w:tab w:val="center" w:pos="4680"/>
        <w:tab w:val="right" w:pos="9360"/>
      </w:tabs>
    </w:pPr>
  </w:style>
  <w:style w:type="character" w:customStyle="1" w:styleId="FooterChar">
    <w:name w:val="Footer Char"/>
    <w:basedOn w:val="DefaultParagraphFont"/>
    <w:link w:val="Footer"/>
    <w:uiPriority w:val="99"/>
    <w:rsid w:val="001B6F63"/>
  </w:style>
  <w:style w:type="character" w:styleId="Hyperlink">
    <w:name w:val="Hyperlink"/>
    <w:unhideWhenUsed/>
    <w:rsid w:val="005C387B"/>
    <w:rPr>
      <w:color w:val="0000FF"/>
      <w:u w:val="single"/>
    </w:rPr>
  </w:style>
  <w:style w:type="paragraph" w:styleId="BodyText">
    <w:name w:val="Body Text"/>
    <w:basedOn w:val="Normal"/>
    <w:link w:val="BodyTextChar"/>
    <w:semiHidden/>
    <w:unhideWhenUsed/>
    <w:rsid w:val="005C387B"/>
    <w:rPr>
      <w:rFonts w:eastAsia="Times New Roman"/>
      <w:b/>
      <w:bCs/>
      <w:sz w:val="24"/>
      <w:szCs w:val="24"/>
      <w:lang w:val="x-none" w:eastAsia="x-none"/>
    </w:rPr>
  </w:style>
  <w:style w:type="character" w:customStyle="1" w:styleId="BodyTextChar">
    <w:name w:val="Body Text Char"/>
    <w:basedOn w:val="DefaultParagraphFont"/>
    <w:link w:val="BodyText"/>
    <w:semiHidden/>
    <w:rsid w:val="005C387B"/>
    <w:rPr>
      <w:rFonts w:eastAsia="Times New Roman"/>
      <w:b/>
      <w:bCs/>
      <w:sz w:val="24"/>
      <w:szCs w:val="24"/>
      <w:lang w:val="x-none" w:eastAsia="x-none"/>
    </w:rPr>
  </w:style>
  <w:style w:type="character" w:styleId="UnresolvedMention">
    <w:name w:val="Unresolved Mention"/>
    <w:basedOn w:val="DefaultParagraphFont"/>
    <w:uiPriority w:val="99"/>
    <w:semiHidden/>
    <w:unhideWhenUsed/>
    <w:rsid w:val="00905ABD"/>
    <w:rPr>
      <w:color w:val="605E5C"/>
      <w:shd w:val="clear" w:color="auto" w:fill="E1DFDD"/>
    </w:rPr>
  </w:style>
  <w:style w:type="paragraph" w:styleId="FootnoteText">
    <w:name w:val="footnote text"/>
    <w:basedOn w:val="Normal"/>
    <w:link w:val="FootnoteTextChar"/>
    <w:uiPriority w:val="99"/>
    <w:semiHidden/>
    <w:unhideWhenUsed/>
    <w:rsid w:val="002C787C"/>
    <w:rPr>
      <w:sz w:val="20"/>
      <w:szCs w:val="20"/>
    </w:rPr>
  </w:style>
  <w:style w:type="character" w:customStyle="1" w:styleId="FootnoteTextChar">
    <w:name w:val="Footnote Text Char"/>
    <w:basedOn w:val="DefaultParagraphFont"/>
    <w:link w:val="FootnoteText"/>
    <w:uiPriority w:val="99"/>
    <w:semiHidden/>
    <w:rsid w:val="002C787C"/>
    <w:rPr>
      <w:sz w:val="20"/>
      <w:szCs w:val="20"/>
    </w:rPr>
  </w:style>
  <w:style w:type="character" w:styleId="FootnoteReference">
    <w:name w:val="footnote reference"/>
    <w:basedOn w:val="DefaultParagraphFont"/>
    <w:uiPriority w:val="99"/>
    <w:semiHidden/>
    <w:unhideWhenUsed/>
    <w:rsid w:val="002C787C"/>
    <w:rPr>
      <w:vertAlign w:val="superscript"/>
    </w:rPr>
  </w:style>
  <w:style w:type="table" w:styleId="TableGrid">
    <w:name w:val="Table Grid"/>
    <w:basedOn w:val="TableNormal"/>
    <w:uiPriority w:val="39"/>
    <w:rsid w:val="0098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8360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3B364F"/>
    <w:rPr>
      <w:color w:val="954F72" w:themeColor="followedHyperlink"/>
      <w:u w:val="single"/>
    </w:rPr>
  </w:style>
  <w:style w:type="paragraph" w:styleId="Caption">
    <w:name w:val="caption"/>
    <w:basedOn w:val="Normal"/>
    <w:next w:val="Normal"/>
    <w:uiPriority w:val="35"/>
    <w:unhideWhenUsed/>
    <w:qFormat/>
    <w:rsid w:val="000E27CE"/>
    <w:pPr>
      <w:spacing w:after="200"/>
    </w:pPr>
    <w:rPr>
      <w:i/>
      <w:iCs/>
      <w:color w:val="44546A" w:themeColor="text2"/>
      <w:sz w:val="18"/>
      <w:szCs w:val="18"/>
    </w:rPr>
  </w:style>
  <w:style w:type="paragraph" w:styleId="Revision">
    <w:name w:val="Revision"/>
    <w:hidden/>
    <w:uiPriority w:val="99"/>
    <w:semiHidden/>
    <w:rsid w:val="00273DFF"/>
  </w:style>
  <w:style w:type="character" w:styleId="CommentReference">
    <w:name w:val="annotation reference"/>
    <w:basedOn w:val="DefaultParagraphFont"/>
    <w:uiPriority w:val="99"/>
    <w:semiHidden/>
    <w:unhideWhenUsed/>
    <w:rsid w:val="00273DFF"/>
    <w:rPr>
      <w:sz w:val="16"/>
      <w:szCs w:val="16"/>
    </w:rPr>
  </w:style>
  <w:style w:type="paragraph" w:styleId="CommentText">
    <w:name w:val="annotation text"/>
    <w:basedOn w:val="Normal"/>
    <w:link w:val="CommentTextChar"/>
    <w:uiPriority w:val="99"/>
    <w:semiHidden/>
    <w:unhideWhenUsed/>
    <w:rsid w:val="00273DFF"/>
    <w:rPr>
      <w:sz w:val="20"/>
      <w:szCs w:val="20"/>
    </w:rPr>
  </w:style>
  <w:style w:type="character" w:customStyle="1" w:styleId="CommentTextChar">
    <w:name w:val="Comment Text Char"/>
    <w:basedOn w:val="DefaultParagraphFont"/>
    <w:link w:val="CommentText"/>
    <w:uiPriority w:val="99"/>
    <w:semiHidden/>
    <w:rsid w:val="00273DFF"/>
    <w:rPr>
      <w:sz w:val="20"/>
      <w:szCs w:val="20"/>
    </w:rPr>
  </w:style>
  <w:style w:type="paragraph" w:styleId="CommentSubject">
    <w:name w:val="annotation subject"/>
    <w:basedOn w:val="CommentText"/>
    <w:next w:val="CommentText"/>
    <w:link w:val="CommentSubjectChar"/>
    <w:uiPriority w:val="99"/>
    <w:semiHidden/>
    <w:unhideWhenUsed/>
    <w:rsid w:val="00273DFF"/>
    <w:rPr>
      <w:b/>
      <w:bCs/>
    </w:rPr>
  </w:style>
  <w:style w:type="character" w:customStyle="1" w:styleId="CommentSubjectChar">
    <w:name w:val="Comment Subject Char"/>
    <w:basedOn w:val="CommentTextChar"/>
    <w:link w:val="CommentSubject"/>
    <w:uiPriority w:val="99"/>
    <w:semiHidden/>
    <w:rsid w:val="00273DFF"/>
    <w:rPr>
      <w:b/>
      <w:bCs/>
      <w:sz w:val="20"/>
      <w:szCs w:val="20"/>
    </w:rPr>
  </w:style>
  <w:style w:type="paragraph" w:styleId="ListParagraph">
    <w:name w:val="List Paragraph"/>
    <w:basedOn w:val="Normal"/>
    <w:uiPriority w:val="34"/>
    <w:qFormat/>
    <w:rsid w:val="007D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535">
      <w:bodyDiv w:val="1"/>
      <w:marLeft w:val="0"/>
      <w:marRight w:val="0"/>
      <w:marTop w:val="0"/>
      <w:marBottom w:val="0"/>
      <w:divBdr>
        <w:top w:val="none" w:sz="0" w:space="0" w:color="auto"/>
        <w:left w:val="none" w:sz="0" w:space="0" w:color="auto"/>
        <w:bottom w:val="none" w:sz="0" w:space="0" w:color="auto"/>
        <w:right w:val="none" w:sz="0" w:space="0" w:color="auto"/>
      </w:divBdr>
    </w:div>
    <w:div w:id="256331009">
      <w:bodyDiv w:val="1"/>
      <w:marLeft w:val="0"/>
      <w:marRight w:val="0"/>
      <w:marTop w:val="0"/>
      <w:marBottom w:val="0"/>
      <w:divBdr>
        <w:top w:val="none" w:sz="0" w:space="0" w:color="auto"/>
        <w:left w:val="none" w:sz="0" w:space="0" w:color="auto"/>
        <w:bottom w:val="none" w:sz="0" w:space="0" w:color="auto"/>
        <w:right w:val="none" w:sz="0" w:space="0" w:color="auto"/>
      </w:divBdr>
    </w:div>
    <w:div w:id="387581873">
      <w:bodyDiv w:val="1"/>
      <w:marLeft w:val="0"/>
      <w:marRight w:val="0"/>
      <w:marTop w:val="0"/>
      <w:marBottom w:val="0"/>
      <w:divBdr>
        <w:top w:val="none" w:sz="0" w:space="0" w:color="auto"/>
        <w:left w:val="none" w:sz="0" w:space="0" w:color="auto"/>
        <w:bottom w:val="none" w:sz="0" w:space="0" w:color="auto"/>
        <w:right w:val="none" w:sz="0" w:space="0" w:color="auto"/>
      </w:divBdr>
    </w:div>
    <w:div w:id="831217680">
      <w:bodyDiv w:val="1"/>
      <w:marLeft w:val="0"/>
      <w:marRight w:val="0"/>
      <w:marTop w:val="0"/>
      <w:marBottom w:val="0"/>
      <w:divBdr>
        <w:top w:val="none" w:sz="0" w:space="0" w:color="auto"/>
        <w:left w:val="none" w:sz="0" w:space="0" w:color="auto"/>
        <w:bottom w:val="none" w:sz="0" w:space="0" w:color="auto"/>
        <w:right w:val="none" w:sz="0" w:space="0" w:color="auto"/>
      </w:divBdr>
    </w:div>
    <w:div w:id="838420370">
      <w:bodyDiv w:val="1"/>
      <w:marLeft w:val="0"/>
      <w:marRight w:val="0"/>
      <w:marTop w:val="0"/>
      <w:marBottom w:val="0"/>
      <w:divBdr>
        <w:top w:val="none" w:sz="0" w:space="0" w:color="auto"/>
        <w:left w:val="none" w:sz="0" w:space="0" w:color="auto"/>
        <w:bottom w:val="none" w:sz="0" w:space="0" w:color="auto"/>
        <w:right w:val="none" w:sz="0" w:space="0" w:color="auto"/>
      </w:divBdr>
    </w:div>
    <w:div w:id="858394046">
      <w:bodyDiv w:val="1"/>
      <w:marLeft w:val="0"/>
      <w:marRight w:val="0"/>
      <w:marTop w:val="0"/>
      <w:marBottom w:val="0"/>
      <w:divBdr>
        <w:top w:val="none" w:sz="0" w:space="0" w:color="auto"/>
        <w:left w:val="none" w:sz="0" w:space="0" w:color="auto"/>
        <w:bottom w:val="none" w:sz="0" w:space="0" w:color="auto"/>
        <w:right w:val="none" w:sz="0" w:space="0" w:color="auto"/>
      </w:divBdr>
    </w:div>
    <w:div w:id="1134832085">
      <w:bodyDiv w:val="1"/>
      <w:marLeft w:val="0"/>
      <w:marRight w:val="0"/>
      <w:marTop w:val="0"/>
      <w:marBottom w:val="0"/>
      <w:divBdr>
        <w:top w:val="none" w:sz="0" w:space="0" w:color="auto"/>
        <w:left w:val="none" w:sz="0" w:space="0" w:color="auto"/>
        <w:bottom w:val="none" w:sz="0" w:space="0" w:color="auto"/>
        <w:right w:val="none" w:sz="0" w:space="0" w:color="auto"/>
      </w:divBdr>
    </w:div>
    <w:div w:id="1288049532">
      <w:bodyDiv w:val="1"/>
      <w:marLeft w:val="0"/>
      <w:marRight w:val="0"/>
      <w:marTop w:val="0"/>
      <w:marBottom w:val="0"/>
      <w:divBdr>
        <w:top w:val="none" w:sz="0" w:space="0" w:color="auto"/>
        <w:left w:val="none" w:sz="0" w:space="0" w:color="auto"/>
        <w:bottom w:val="none" w:sz="0" w:space="0" w:color="auto"/>
        <w:right w:val="none" w:sz="0" w:space="0" w:color="auto"/>
      </w:divBdr>
    </w:div>
    <w:div w:id="1567376082">
      <w:bodyDiv w:val="1"/>
      <w:marLeft w:val="0"/>
      <w:marRight w:val="0"/>
      <w:marTop w:val="0"/>
      <w:marBottom w:val="0"/>
      <w:divBdr>
        <w:top w:val="none" w:sz="0" w:space="0" w:color="auto"/>
        <w:left w:val="none" w:sz="0" w:space="0" w:color="auto"/>
        <w:bottom w:val="none" w:sz="0" w:space="0" w:color="auto"/>
        <w:right w:val="none" w:sz="0" w:space="0" w:color="auto"/>
      </w:divBdr>
    </w:div>
    <w:div w:id="1886482868">
      <w:bodyDiv w:val="1"/>
      <w:marLeft w:val="0"/>
      <w:marRight w:val="0"/>
      <w:marTop w:val="0"/>
      <w:marBottom w:val="0"/>
      <w:divBdr>
        <w:top w:val="none" w:sz="0" w:space="0" w:color="auto"/>
        <w:left w:val="none" w:sz="0" w:space="0" w:color="auto"/>
        <w:bottom w:val="none" w:sz="0" w:space="0" w:color="auto"/>
        <w:right w:val="none" w:sz="0" w:space="0" w:color="auto"/>
      </w:divBdr>
    </w:div>
    <w:div w:id="2046561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23DBEGoal@dot.state.fl.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data/tables/2020/econ/susb/2020-susb-annual.html" TargetMode="External"/><Relationship Id="rId1" Type="http://schemas.openxmlformats.org/officeDocument/2006/relationships/hyperlink" Target="https://fdotxwp02.dot.state.fl.us/EqualOpportunityOfficeBusinessDirectory/Custom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904E-FF0D-4F57-95FB-9D0E32F2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Crisp, Malahia</dc:creator>
  <cp:lastModifiedBy>Bell, Celicia</cp:lastModifiedBy>
  <cp:revision>21</cp:revision>
  <cp:lastPrinted>2023-05-24T17:42:00Z</cp:lastPrinted>
  <dcterms:created xsi:type="dcterms:W3CDTF">2023-06-28T18:34:00Z</dcterms:created>
  <dcterms:modified xsi:type="dcterms:W3CDTF">2023-08-03T17:46:00Z</dcterms:modified>
</cp:coreProperties>
</file>