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D9B3630" w14:textId="4C000542" w:rsidR="00932536" w:rsidRDefault="00932536" w:rsidP="00932536">
      <w:pPr>
        <w:pStyle w:val="PMG-Body0"/>
      </w:pPr>
      <w:r>
        <w:t xml:space="preserve">This chapter outlines requirements for the Project Manager to follow in managing the contract that is executed between the </w:t>
      </w:r>
      <w:r w:rsidR="00401455">
        <w:t>FDOT</w:t>
      </w:r>
      <w:r>
        <w:t xml:space="preserve"> and the Consultant for design services. </w:t>
      </w:r>
      <w:r w:rsidRPr="00FE5E96">
        <w:t xml:space="preserve"> </w:t>
      </w:r>
      <w:r>
        <w:t>The Consultant is responsible for the execution of the work under the terms of the agreement, and the Project Manager has a responsibility to enable the Consultant.</w:t>
      </w:r>
      <w:r w:rsidRPr="00FE5E96">
        <w:t xml:space="preserve"> </w:t>
      </w:r>
    </w:p>
    <w:p w14:paraId="667A9053" w14:textId="77777777" w:rsidR="00932536" w:rsidRPr="00E7617B" w:rsidRDefault="00932536" w:rsidP="00932536">
      <w:pPr>
        <w:pStyle w:val="PMG-Sub1"/>
      </w:pPr>
      <w:r>
        <w:t>Contract Management</w:t>
      </w:r>
    </w:p>
    <w:p w14:paraId="06FFA589" w14:textId="77777777" w:rsidR="00932536" w:rsidRDefault="00932536" w:rsidP="00932536">
      <w:pPr>
        <w:pStyle w:val="PMG-Body"/>
      </w:pPr>
      <w:bookmarkStart w:id="0" w:name="_Hlk34221844"/>
      <w:r>
        <w:t xml:space="preserve">Once contract negotiations are completed, the contract is executed and the Notice to Proceed (NTP) has been issued, work can begin.  Florida law requires funds approval prior to executing the written agreement.  Both the funds approval and the written agreement must be executed prior to beginning any work.  Work performed before the funds are encumbered and the contract is executed cannot be paid for under the contract.  </w:t>
      </w:r>
    </w:p>
    <w:p w14:paraId="187E2308" w14:textId="2EF910DD" w:rsidR="00932536" w:rsidRDefault="00932536" w:rsidP="00932536">
      <w:pPr>
        <w:pStyle w:val="PMG-Body"/>
        <w:rPr>
          <w:rFonts w:cs="Times New Roman"/>
        </w:rPr>
      </w:pPr>
      <w:r>
        <w:t xml:space="preserve">The encumbrance process, as described in </w:t>
      </w:r>
      <w:r>
        <w:rPr>
          <w:b/>
          <w:i/>
        </w:rPr>
        <w:t>Procedure No. 350-20-200</w:t>
      </w:r>
      <w:r>
        <w:t xml:space="preserve">, </w:t>
      </w:r>
      <w:hyperlink r:id="rId8" w:history="1">
        <w:r w:rsidRPr="001230F5">
          <w:rPr>
            <w:rStyle w:val="Hyperlink"/>
            <w:b/>
            <w:i/>
          </w:rPr>
          <w:t>Contract Funds Management - Funds Approval</w:t>
        </w:r>
        <w:r w:rsidRPr="001230F5">
          <w:rPr>
            <w:rStyle w:val="Hyperlink"/>
          </w:rPr>
          <w:t>,</w:t>
        </w:r>
      </w:hyperlink>
      <w:r>
        <w:t xml:space="preserve"> ensures the budgeted funds are allocated for payment of the specific contract.  </w:t>
      </w:r>
      <w:bookmarkEnd w:id="0"/>
    </w:p>
    <w:p w14:paraId="32D8EDF6" w14:textId="77777777" w:rsidR="00932536" w:rsidRDefault="00932536" w:rsidP="00932536">
      <w:pPr>
        <w:pStyle w:val="PMG-Sub1"/>
      </w:pPr>
      <w:bookmarkStart w:id="1" w:name="_Toc444068214"/>
      <w:bookmarkStart w:id="2" w:name="_Toc311726187"/>
      <w:r>
        <w:t>Elements of the Contract</w:t>
      </w:r>
      <w:bookmarkEnd w:id="1"/>
      <w:bookmarkEnd w:id="2"/>
    </w:p>
    <w:p w14:paraId="5EA45F3E" w14:textId="19E5F1D4" w:rsidR="00C92407" w:rsidRDefault="00C92407" w:rsidP="00C92407">
      <w:pPr>
        <w:pStyle w:val="PMG-Sub2"/>
      </w:pPr>
      <w:r>
        <w:t>Standard contract terms</w:t>
      </w:r>
    </w:p>
    <w:p w14:paraId="66BD9F82" w14:textId="6039172D" w:rsidR="00C92407" w:rsidRDefault="00C92407" w:rsidP="002730CB">
      <w:pPr>
        <w:pStyle w:val="BodyText2"/>
        <w:ind w:left="360"/>
      </w:pPr>
      <w:r>
        <w:t xml:space="preserve">Standard Terms can be found within the FDOT </w:t>
      </w:r>
      <w:hyperlink r:id="rId9" w:history="1">
        <w:r w:rsidRPr="002730CB">
          <w:rPr>
            <w:rStyle w:val="Hyperlink"/>
            <w:rFonts w:cs="Arial"/>
            <w:b/>
            <w:i/>
          </w:rPr>
          <w:t>Procedure No. 375-030-002,</w:t>
        </w:r>
        <w:r>
          <w:rPr>
            <w:rStyle w:val="Hyperlink"/>
            <w:rFonts w:cs="Arial"/>
            <w:b/>
            <w:i/>
          </w:rPr>
          <w:t xml:space="preserve"> </w:t>
        </w:r>
        <w:r w:rsidRPr="002730CB">
          <w:rPr>
            <w:rStyle w:val="Hyperlink"/>
            <w:rFonts w:cs="Arial"/>
            <w:b/>
            <w:i/>
          </w:rPr>
          <w:t>Standard Professional Agreement Terms</w:t>
        </w:r>
      </w:hyperlink>
      <w:r>
        <w:t>.</w:t>
      </w:r>
    </w:p>
    <w:p w14:paraId="44C4457A" w14:textId="77777777" w:rsidR="00932536" w:rsidRPr="009021DE" w:rsidRDefault="00932536" w:rsidP="00932536">
      <w:pPr>
        <w:pStyle w:val="PMG-Sub2"/>
      </w:pPr>
      <w:r w:rsidRPr="00E565DD">
        <w:t>Professional</w:t>
      </w:r>
      <w:r w:rsidRPr="000262F2">
        <w:t xml:space="preserve"> Services Agreement</w:t>
      </w:r>
      <w:r>
        <w:t xml:space="preserve"> </w:t>
      </w:r>
    </w:p>
    <w:p w14:paraId="38AA2C1E" w14:textId="77777777" w:rsidR="00932536" w:rsidRPr="009021DE" w:rsidRDefault="00932536" w:rsidP="00932536">
      <w:pPr>
        <w:pStyle w:val="PMG-Body2"/>
      </w:pPr>
      <w:r w:rsidRPr="00FA2915">
        <w:t xml:space="preserve">This document, signed by both parties, specifies the terms of the agreement, as well as the legal responsibilities and rights of both parties.  It includes the </w:t>
      </w:r>
      <w:r w:rsidRPr="00FA2915">
        <w:t>contract number, the financial identification number, the date of the agreement, the Consultant information, the title of the project, the term (duration) of the contract and the schedule of services, insurance requirements, a list of subconsultants, and references to the contract terms, scope of</w:t>
      </w:r>
      <w:r>
        <w:t xml:space="preserve"> </w:t>
      </w:r>
      <w:r w:rsidRPr="009021DE">
        <w:t>services and method of compensation.</w:t>
      </w:r>
    </w:p>
    <w:p w14:paraId="736B49B8" w14:textId="77777777" w:rsidR="00932536" w:rsidRPr="000262F2" w:rsidRDefault="00932536" w:rsidP="00932536">
      <w:pPr>
        <w:pStyle w:val="PMG-Sub2"/>
        <w:rPr>
          <w:rFonts w:eastAsiaTheme="minorHAnsi"/>
        </w:rPr>
      </w:pPr>
      <w:r w:rsidRPr="000262F2">
        <w:rPr>
          <w:rFonts w:eastAsiaTheme="minorHAnsi"/>
        </w:rPr>
        <w:t>Scope of Services</w:t>
      </w:r>
    </w:p>
    <w:p w14:paraId="75F81B57" w14:textId="070B3526" w:rsidR="00932536" w:rsidRPr="009021DE" w:rsidRDefault="00932536" w:rsidP="00932536">
      <w:pPr>
        <w:pStyle w:val="PMG-Body2"/>
      </w:pPr>
      <w:r>
        <w:t xml:space="preserve">The scope of services is the specific work requirements for the consultant.  See </w:t>
      </w:r>
      <w:r w:rsidRPr="009021DE">
        <w:rPr>
          <w:b/>
          <w:bCs/>
          <w:i/>
          <w:iCs/>
        </w:rPr>
        <w:t>PMG </w:t>
      </w:r>
      <w:r w:rsidRPr="001A3EAB">
        <w:rPr>
          <w:b/>
          <w:bCs/>
          <w:i/>
          <w:iCs/>
        </w:rPr>
        <w:t>225</w:t>
      </w:r>
      <w:r w:rsidRPr="000262F2">
        <w:rPr>
          <w:b/>
          <w:bCs/>
          <w:i/>
          <w:iCs/>
        </w:rPr>
        <w:t xml:space="preserve"> Scope of Service</w:t>
      </w:r>
      <w:r w:rsidR="00184368">
        <w:rPr>
          <w:b/>
          <w:bCs/>
          <w:i/>
          <w:iCs/>
        </w:rPr>
        <w:t>s</w:t>
      </w:r>
      <w:r>
        <w:t xml:space="preserve"> for specific information included in a scope of services.</w:t>
      </w:r>
    </w:p>
    <w:p w14:paraId="4A3DD06A" w14:textId="77777777" w:rsidR="00932536" w:rsidRPr="000262F2" w:rsidRDefault="00932536" w:rsidP="00932536">
      <w:pPr>
        <w:pStyle w:val="PMG-Sub2"/>
        <w:rPr>
          <w:rFonts w:eastAsiaTheme="minorHAnsi"/>
        </w:rPr>
      </w:pPr>
      <w:r w:rsidRPr="000262F2">
        <w:rPr>
          <w:rFonts w:eastAsiaTheme="minorHAnsi"/>
        </w:rPr>
        <w:t>Method of Compensation</w:t>
      </w:r>
    </w:p>
    <w:p w14:paraId="40715D6E" w14:textId="5449CB44" w:rsidR="00932536" w:rsidRDefault="00932536" w:rsidP="00932536">
      <w:pPr>
        <w:pStyle w:val="PMG-Body2"/>
      </w:pPr>
      <w:r>
        <w:t xml:space="preserve">This section includes the compensation amount and method, invoicing procedures, and final audit and closeout requirements.  Methods of compensation normally used are discussed in detail in the </w:t>
      </w:r>
      <w:hyperlink r:id="rId10" w:history="1">
        <w:r w:rsidR="00184368" w:rsidRPr="003F2AA5">
          <w:rPr>
            <w:rStyle w:val="Hyperlink"/>
            <w:rFonts w:cs="Arial"/>
            <w:b/>
            <w:i/>
          </w:rPr>
          <w:t>Negotiation Handbook, Professional Services Contracts</w:t>
        </w:r>
      </w:hyperlink>
      <w:r w:rsidR="00184368" w:rsidRPr="003F2AA5">
        <w:t>.</w:t>
      </w:r>
      <w:r>
        <w:t xml:space="preserve">  </w:t>
      </w:r>
    </w:p>
    <w:p w14:paraId="581A2684" w14:textId="7FBF6447" w:rsidR="00932536" w:rsidRDefault="00932536" w:rsidP="00932536">
      <w:pPr>
        <w:pStyle w:val="PMG-Body2"/>
      </w:pPr>
      <w:r w:rsidRPr="00452ABE">
        <w:t xml:space="preserve">The </w:t>
      </w:r>
      <w:r w:rsidR="00401455">
        <w:t>FDOT</w:t>
      </w:r>
      <w:r w:rsidRPr="00452ABE">
        <w:t xml:space="preserve"> utilize</w:t>
      </w:r>
      <w:r>
        <w:t>s</w:t>
      </w:r>
      <w:r w:rsidRPr="00452ABE">
        <w:t xml:space="preserve"> the lump sum method of payment</w:t>
      </w:r>
      <w:r w:rsidRPr="000A109A">
        <w:rPr>
          <w:rFonts w:cs="Arial"/>
          <w:szCs w:val="24"/>
        </w:rPr>
        <w:t xml:space="preserve"> </w:t>
      </w:r>
      <w:r>
        <w:rPr>
          <w:rFonts w:cs="Arial"/>
          <w:szCs w:val="24"/>
        </w:rPr>
        <w:t xml:space="preserve">for professional services </w:t>
      </w:r>
      <w:r w:rsidRPr="00F24F1F">
        <w:rPr>
          <w:rFonts w:cs="Arial"/>
          <w:szCs w:val="24"/>
        </w:rPr>
        <w:t>when the scope of services is well defined</w:t>
      </w:r>
      <w:r w:rsidR="008A2903" w:rsidRPr="008A2903">
        <w:t xml:space="preserve"> </w:t>
      </w:r>
      <w:r w:rsidR="008A2903" w:rsidRPr="008A2903">
        <w:rPr>
          <w:rFonts w:cs="Arial"/>
          <w:szCs w:val="24"/>
        </w:rPr>
        <w:t>and the level of effort can be reasonably predicted</w:t>
      </w:r>
      <w:r>
        <w:rPr>
          <w:rFonts w:cs="Arial"/>
          <w:szCs w:val="24"/>
        </w:rPr>
        <w:t xml:space="preserve">.  </w:t>
      </w:r>
      <w:r w:rsidRPr="000A1ACF">
        <w:rPr>
          <w:rFonts w:cs="Arial"/>
          <w:szCs w:val="24"/>
        </w:rPr>
        <w:t xml:space="preserve">Cost Reimbursement </w:t>
      </w:r>
      <w:r>
        <w:t>is used when the</w:t>
      </w:r>
      <w:r w:rsidRPr="000A109A">
        <w:t xml:space="preserve"> scope of services</w:t>
      </w:r>
      <w:r>
        <w:t xml:space="preserve"> is</w:t>
      </w:r>
      <w:r w:rsidR="003F2AA5">
        <w:t xml:space="preserve"> </w:t>
      </w:r>
      <w:r w:rsidR="00D96269">
        <w:t>sufficiently</w:t>
      </w:r>
      <w:r>
        <w:t xml:space="preserve"> </w:t>
      </w:r>
      <w:r w:rsidRPr="000A109A">
        <w:t>vague or complex that the level of effort or expenditure cannot be estimated with reasonable accuracy</w:t>
      </w:r>
      <w:r>
        <w:t xml:space="preserve">. </w:t>
      </w:r>
      <w:r w:rsidRPr="00452ABE">
        <w:t xml:space="preserve"> </w:t>
      </w:r>
      <w:r w:rsidRPr="000A1ACF">
        <w:t xml:space="preserve">Cost per Unit of Work </w:t>
      </w:r>
      <w:r w:rsidR="00CC3345" w:rsidRPr="00F24F1F">
        <w:t xml:space="preserve">is used for </w:t>
      </w:r>
      <w:r w:rsidR="00CC3345">
        <w:t xml:space="preserve">repetitive </w:t>
      </w:r>
      <w:r w:rsidR="00CC3345" w:rsidRPr="00F24F1F">
        <w:t xml:space="preserve">services such as lab tests, soil explorations, traffic counts, or bridge inspections.  </w:t>
      </w:r>
      <w:r w:rsidR="00CC3345" w:rsidRPr="00CC3345">
        <w:t xml:space="preserve">Specific Rates of Compensation </w:t>
      </w:r>
      <w:r w:rsidR="008972B1">
        <w:t xml:space="preserve">may be </w:t>
      </w:r>
      <w:r>
        <w:t xml:space="preserve">used </w:t>
      </w:r>
      <w:r w:rsidR="008972B1" w:rsidRPr="001E0E82">
        <w:t>on a design contract</w:t>
      </w:r>
      <w:r w:rsidR="008972B1" w:rsidRPr="00452ABE">
        <w:t xml:space="preserve"> </w:t>
      </w:r>
      <w:r>
        <w:t>for a</w:t>
      </w:r>
      <w:r w:rsidRPr="00452ABE">
        <w:t xml:space="preserve">ncillary minor services </w:t>
      </w:r>
      <w:r>
        <w:t xml:space="preserve">(e.g., </w:t>
      </w:r>
      <w:r w:rsidRPr="00452ABE">
        <w:t>geotechnical, surveying and mapping, landscape architecture</w:t>
      </w:r>
      <w:r>
        <w:t>)</w:t>
      </w:r>
      <w:r w:rsidRPr="00452ABE">
        <w:t>.</w:t>
      </w:r>
    </w:p>
    <w:p w14:paraId="4958B54F" w14:textId="77777777" w:rsidR="00882799" w:rsidRPr="002730CB" w:rsidRDefault="00882799" w:rsidP="002730CB">
      <w:pPr>
        <w:pStyle w:val="PMG-Bullets"/>
        <w:numPr>
          <w:ilvl w:val="0"/>
          <w:numId w:val="0"/>
        </w:numPr>
        <w:ind w:left="720"/>
      </w:pPr>
    </w:p>
    <w:p w14:paraId="7E4482D2" w14:textId="5D95728F" w:rsidR="00932536" w:rsidRPr="000A109A" w:rsidRDefault="00932536" w:rsidP="00932536">
      <w:pPr>
        <w:pStyle w:val="PMG-Bullets"/>
      </w:pPr>
      <w:r w:rsidRPr="009021DE">
        <w:rPr>
          <w:b/>
        </w:rPr>
        <w:lastRenderedPageBreak/>
        <w:t>Lump Sum:</w:t>
      </w:r>
      <w:r w:rsidRPr="001A3EAB">
        <w:t xml:space="preserve">  </w:t>
      </w:r>
      <w:r w:rsidRPr="000A109A">
        <w:t xml:space="preserve">Consultant agrees to complete the scope of services for a specific amount.  </w:t>
      </w:r>
      <w:bookmarkStart w:id="3" w:name="_Hlk37684087"/>
      <w:r w:rsidRPr="000A1ACF">
        <w:t xml:space="preserve">Invoices are </w:t>
      </w:r>
      <w:bookmarkEnd w:id="3"/>
      <w:r w:rsidRPr="000A1ACF">
        <w:t>for a percent complete by task, deliverables or other milestones</w:t>
      </w:r>
      <w:r w:rsidRPr="009021DE">
        <w:t>.</w:t>
      </w:r>
      <w:r>
        <w:t xml:space="preserve">  </w:t>
      </w:r>
      <w:r w:rsidRPr="000A109A">
        <w:t>The use of lump sum contracts for CEI work is prohibited unless the "extent, scope, complexity,</w:t>
      </w:r>
      <w:r w:rsidR="00184368">
        <w:t xml:space="preserve"> </w:t>
      </w:r>
      <w:r w:rsidR="00184368" w:rsidRPr="00184368">
        <w:t xml:space="preserve">character and duration of the work" have been established. Approval </w:t>
      </w:r>
      <w:r w:rsidR="00D96269">
        <w:t>by</w:t>
      </w:r>
      <w:r w:rsidR="00184368" w:rsidRPr="00184368">
        <w:t xml:space="preserve"> the State Construction Engineer is required to negotiate a lump sum CEI contract.</w:t>
      </w:r>
      <w:r w:rsidRPr="000A109A">
        <w:t xml:space="preserve"> </w:t>
      </w:r>
    </w:p>
    <w:p w14:paraId="13B278C9" w14:textId="09C3E924" w:rsidR="00C92407" w:rsidRDefault="00C92407" w:rsidP="00C92407">
      <w:pPr>
        <w:pStyle w:val="PMG-Bullets"/>
      </w:pPr>
      <w:r>
        <w:rPr>
          <w:rFonts w:eastAsia="Times New Roman"/>
          <w:b/>
        </w:rPr>
        <w:t>Limiting Amount/</w:t>
      </w:r>
      <w:r w:rsidR="00932536" w:rsidRPr="000A1ACF">
        <w:rPr>
          <w:rFonts w:eastAsia="Times New Roman"/>
          <w:b/>
        </w:rPr>
        <w:t>Cost Reimbursement:</w:t>
      </w:r>
      <w:r w:rsidR="00932536" w:rsidRPr="000A1ACF">
        <w:rPr>
          <w:rFonts w:eastAsia="Times New Roman"/>
        </w:rPr>
        <w:t xml:space="preserve">  </w:t>
      </w:r>
      <w:r w:rsidRPr="00C92407">
        <w:t>The Consultant is reimbursed the actual costs incurred in the performance of the contract. A "maximum limiting amount" is normally established to cap the amount the Department will pay for the services. This method is used when the services are so vague or complex that the level of effort or expenditure cannot be estimated with reasonable accuracy</w:t>
      </w:r>
      <w:r>
        <w:t xml:space="preserve">. Limiting Amounts can often be found within the Post Design Services. </w:t>
      </w:r>
    </w:p>
    <w:p w14:paraId="496B427D" w14:textId="04AA68B9" w:rsidR="00932536" w:rsidRPr="00F24F1F" w:rsidRDefault="00932536" w:rsidP="00932536">
      <w:pPr>
        <w:pStyle w:val="PMG-Bullets"/>
      </w:pPr>
      <w:bookmarkStart w:id="4" w:name="_Hlk37684330"/>
      <w:r w:rsidRPr="00F24F1F">
        <w:rPr>
          <w:b/>
        </w:rPr>
        <w:t>Cost per Unit of Work</w:t>
      </w:r>
      <w:bookmarkEnd w:id="4"/>
      <w:r w:rsidRPr="00F24F1F">
        <w:rPr>
          <w:b/>
        </w:rPr>
        <w:t>:</w:t>
      </w:r>
      <w:r w:rsidRPr="00F24F1F">
        <w:t xml:space="preserve">  A negotiated unit rate for a repetitive task or deliverable product is established and paid for each unit produced.  The unit rate is not subject to adjustment.  A maximum limiting amount is normally established based on the estimated number of units required.  Invoices are based on the number of units completed.  </w:t>
      </w:r>
    </w:p>
    <w:p w14:paraId="631BE3BE" w14:textId="63EE8BF5" w:rsidR="00C92407" w:rsidRPr="00C232F4" w:rsidRDefault="00932536" w:rsidP="00932768">
      <w:pPr>
        <w:pStyle w:val="PMG-Bullets"/>
        <w:rPr>
          <w:rFonts w:eastAsiaTheme="majorEastAsia" w:cstheme="majorBidi"/>
          <w:b/>
          <w:sz w:val="28"/>
          <w:szCs w:val="32"/>
          <w:u w:val="single"/>
        </w:rPr>
      </w:pPr>
      <w:r w:rsidRPr="00C232F4">
        <w:rPr>
          <w:b/>
        </w:rPr>
        <w:t>Specific Rates of Compensation:</w:t>
      </w:r>
      <w:r w:rsidRPr="00F24F1F">
        <w:t xml:space="preserve">  In this method, a billing rate is negotiated which commonly includes labor, overhead, FCCM, and operating margin.  Direct expenses can be included in the billing rate, but sometimes they are paid separately at actual costs.  These contracts are invoiced for actual hours expended in the same manner as Cost Reimbursement contracts, the difference being that all individual cost items are included in the negotiated rate. A maximum limiting amount is normally established. FHWA has approved use of specific rates of compensation (i.e., fully loaded billing rates) for all types of maximum limiting amount contracts, except for project specific design contracts.</w:t>
      </w:r>
      <w:bookmarkStart w:id="5" w:name="_Toc444068215"/>
      <w:bookmarkStart w:id="6" w:name="_Toc311726188"/>
    </w:p>
    <w:bookmarkEnd w:id="5"/>
    <w:bookmarkEnd w:id="6"/>
    <w:p w14:paraId="39A3F027" w14:textId="517C2546" w:rsidR="00932536" w:rsidRPr="00C92407" w:rsidRDefault="00C92407" w:rsidP="00C92407">
      <w:pPr>
        <w:pStyle w:val="PMG-Sub1"/>
        <w:rPr>
          <w:sz w:val="32"/>
        </w:rPr>
      </w:pPr>
      <w:r>
        <w:t>Contract</w:t>
      </w:r>
      <w:r w:rsidR="00932536">
        <w:t xml:space="preserve"> Types</w:t>
      </w:r>
    </w:p>
    <w:p w14:paraId="6140EA2C" w14:textId="77777777" w:rsidR="00932536" w:rsidRDefault="00932536" w:rsidP="00932536">
      <w:pPr>
        <w:pStyle w:val="PMG-Body"/>
      </w:pPr>
      <w:r>
        <w:t>There are two basic types of contracts commonly used by the FDOT:</w:t>
      </w:r>
    </w:p>
    <w:p w14:paraId="12648A4E" w14:textId="77777777" w:rsidR="00932536" w:rsidRPr="000262F2" w:rsidRDefault="00932536" w:rsidP="00932536">
      <w:pPr>
        <w:pStyle w:val="PMG-Sub2"/>
        <w:rPr>
          <w:rStyle w:val="Heading3Char"/>
          <w:b/>
        </w:rPr>
      </w:pPr>
      <w:r w:rsidRPr="001A3EAB">
        <w:rPr>
          <w:rStyle w:val="Heading3Char"/>
          <w:b/>
        </w:rPr>
        <w:t>Project-Specific Contracts</w:t>
      </w:r>
    </w:p>
    <w:p w14:paraId="361A9087" w14:textId="77777777" w:rsidR="00932536" w:rsidRDefault="00932536" w:rsidP="00932536">
      <w:pPr>
        <w:pStyle w:val="PMG-Body2"/>
      </w:pPr>
      <w:r>
        <w:t xml:space="preserve">Project-specific contracts are typically used on single, large projects and are to complete a specific work phase of one or more projects.  </w:t>
      </w:r>
    </w:p>
    <w:p w14:paraId="016E08B8" w14:textId="225C25F6" w:rsidR="00DF5888" w:rsidRDefault="00DF5888" w:rsidP="00DF5888">
      <w:pPr>
        <w:pStyle w:val="PMG-Body2"/>
      </w:pPr>
      <w:r>
        <w:t>Project-specific contracts can contain options for services needed but not funded at the time of the contract.  Optional services are frequently not negotiated until the decision is made to exercise the option</w:t>
      </w:r>
      <w:r w:rsidR="00B40A1E">
        <w:t xml:space="preserve"> (requires a letter of authorization to proceed)</w:t>
      </w:r>
      <w:r>
        <w:t xml:space="preserve">.  Commonly used options are design services for </w:t>
      </w:r>
      <w:r w:rsidR="00B40A1E">
        <w:t xml:space="preserve">Supplemental Survey, Supplemental Soil Borings </w:t>
      </w:r>
      <w:r>
        <w:t xml:space="preserve">and </w:t>
      </w:r>
      <w:r w:rsidR="00B40A1E">
        <w:t xml:space="preserve">other minor </w:t>
      </w:r>
      <w:r>
        <w:t>design services</w:t>
      </w:r>
      <w:r w:rsidR="00B40A1E">
        <w:t xml:space="preserve">. </w:t>
      </w:r>
      <w:r>
        <w:t xml:space="preserve"> If the scope and level of service for tasks are difficult to foresee at the beginning of long-term contracts, it may be appropriate to </w:t>
      </w:r>
      <w:r w:rsidR="00B40A1E">
        <w:t xml:space="preserve">include those tasks in the Scope of Services </w:t>
      </w:r>
      <w:r>
        <w:t>to be negotiated later</w:t>
      </w:r>
      <w:r w:rsidR="00B40A1E">
        <w:t xml:space="preserve"> as a Supplemental Amendment</w:t>
      </w:r>
      <w:r>
        <w:t>.</w:t>
      </w:r>
    </w:p>
    <w:p w14:paraId="64F7538D" w14:textId="77777777" w:rsidR="00932536" w:rsidRPr="006D47FD" w:rsidRDefault="00932536" w:rsidP="00932536">
      <w:pPr>
        <w:pStyle w:val="PMG-Sub2"/>
      </w:pPr>
      <w:r>
        <w:t>Task Work Order (TWO) Contracts</w:t>
      </w:r>
    </w:p>
    <w:p w14:paraId="7F4D25A8" w14:textId="626626B2" w:rsidR="00932536" w:rsidRDefault="00932536" w:rsidP="00932536">
      <w:pPr>
        <w:pStyle w:val="PMG-Body2"/>
      </w:pPr>
      <w:r>
        <w:t xml:space="preserve">TWO Contracts are typically used </w:t>
      </w:r>
      <w:r w:rsidRPr="00ED1B18">
        <w:t>for relatively small projects or tasks of a similar nature over a</w:t>
      </w:r>
      <w:r>
        <w:t>n established time</w:t>
      </w:r>
      <w:r w:rsidRPr="00ED1B18">
        <w:t xml:space="preserve"> period</w:t>
      </w:r>
      <w:r>
        <w:t xml:space="preserve"> (e.g., </w:t>
      </w:r>
      <w:r w:rsidR="00A62506">
        <w:t xml:space="preserve">Districtwide, </w:t>
      </w:r>
      <w:r w:rsidRPr="00F24F1F">
        <w:rPr>
          <w:rFonts w:cs="Arial"/>
          <w:szCs w:val="24"/>
        </w:rPr>
        <w:t>General Engineering Consultant Contrac</w:t>
      </w:r>
      <w:r>
        <w:rPr>
          <w:rFonts w:cs="Arial"/>
          <w:szCs w:val="24"/>
        </w:rPr>
        <w:t xml:space="preserve">t, </w:t>
      </w:r>
      <w:r w:rsidRPr="00F24F1F">
        <w:rPr>
          <w:rFonts w:cs="Arial"/>
          <w:szCs w:val="24"/>
        </w:rPr>
        <w:t>Continuing Service Contract</w:t>
      </w:r>
      <w:r>
        <w:rPr>
          <w:rFonts w:cs="Arial"/>
          <w:szCs w:val="24"/>
        </w:rPr>
        <w:t>).</w:t>
      </w:r>
    </w:p>
    <w:p w14:paraId="4DAA8B47" w14:textId="77777777" w:rsidR="00932536" w:rsidRDefault="00932536" w:rsidP="00932536">
      <w:pPr>
        <w:pStyle w:val="PMG-Body2"/>
      </w:pPr>
      <w:r>
        <w:t xml:space="preserve">Task assignment contracts are designed to select a qualified consultant to perform projects or tasks until a budgeted contract amount is exhausted.  The actual tasks to be performed are usually not identified at the time of consultant selection and contract negotiation.  The consultant is selected based on qualifications, staff and capability to perform the tasks.  Negotiations establish the rates to be applied to individual assignments.  Once the contract is </w:t>
      </w:r>
      <w:r>
        <w:lastRenderedPageBreak/>
        <w:t>executed, individual TWOs are negotiated as needs arise.  Depending on the structure of the base contract, TWOs may be lump sum, cost reimbursement or unit cost.  The Project Manager must verify that the fee sheet provided by the Consultant contains rates that exist in the Exhibit B, Method of Compensation.</w:t>
      </w:r>
    </w:p>
    <w:p w14:paraId="22ADF657" w14:textId="5813BF1F" w:rsidR="00932536" w:rsidRDefault="00932536" w:rsidP="00932536">
      <w:pPr>
        <w:pStyle w:val="PMG-Body2"/>
      </w:pPr>
      <w:r>
        <w:t xml:space="preserve">See </w:t>
      </w:r>
      <w:r>
        <w:rPr>
          <w:b/>
          <w:i/>
        </w:rPr>
        <w:t>Procedure No. 375-030-010</w:t>
      </w:r>
      <w:r>
        <w:t xml:space="preserve">, </w:t>
      </w:r>
      <w:hyperlink r:id="rId11" w:history="1">
        <w:r>
          <w:rPr>
            <w:rStyle w:val="Hyperlink"/>
            <w:rFonts w:cs="Arial"/>
            <w:b/>
            <w:i/>
          </w:rPr>
          <w:t>Amendments and Task Work Orders For Professional Service Agreements</w:t>
        </w:r>
      </w:hyperlink>
      <w:r>
        <w:rPr>
          <w:b/>
        </w:rPr>
        <w:t xml:space="preserve"> </w:t>
      </w:r>
      <w:r>
        <w:t>for specific instructions on the preparation of Task Work Orders.</w:t>
      </w:r>
    </w:p>
    <w:p w14:paraId="06D02F64" w14:textId="22AEBE28" w:rsidR="00932536" w:rsidRDefault="00932536" w:rsidP="00932536">
      <w:pPr>
        <w:pStyle w:val="PMG-Body2"/>
      </w:pPr>
      <w:r>
        <w:t xml:space="preserve">All individual TWO assignments must be completed prior to the expiration date of the overall contract.  No TWO </w:t>
      </w:r>
      <w:r w:rsidR="00C92407">
        <w:t xml:space="preserve">assignments </w:t>
      </w:r>
      <w:r>
        <w:t xml:space="preserve">may have an ending date past the expiration date of the contract.  </w:t>
      </w:r>
    </w:p>
    <w:p w14:paraId="7BB6C340" w14:textId="77777777" w:rsidR="00932536" w:rsidRDefault="00932536" w:rsidP="00932536">
      <w:pPr>
        <w:pStyle w:val="PMG-Sub1"/>
        <w:rPr>
          <w:sz w:val="32"/>
        </w:rPr>
      </w:pPr>
      <w:r>
        <w:t>Contract Management Assistance</w:t>
      </w:r>
    </w:p>
    <w:p w14:paraId="31A5CF22" w14:textId="3843E4D0" w:rsidR="00914CAA" w:rsidRDefault="00932536" w:rsidP="00932536">
      <w:pPr>
        <w:pStyle w:val="PMG-Body"/>
      </w:pPr>
      <w:r>
        <w:t xml:space="preserve">The Project Manager should consult the </w:t>
      </w:r>
      <w:proofErr w:type="gramStart"/>
      <w:r>
        <w:t>District</w:t>
      </w:r>
      <w:proofErr w:type="gramEnd"/>
      <w:r>
        <w:t xml:space="preserve"> professional services staff within the Procurement Office or Pro</w:t>
      </w:r>
      <w:r w:rsidR="00C92407">
        <w:t xml:space="preserve">curement </w:t>
      </w:r>
      <w:r>
        <w:t xml:space="preserve">Office staff in </w:t>
      </w:r>
      <w:r w:rsidR="00C92407">
        <w:t xml:space="preserve">the </w:t>
      </w:r>
      <w:r>
        <w:t>Central Office if any contractual question or issue arises.</w:t>
      </w:r>
    </w:p>
    <w:p w14:paraId="20E8E860" w14:textId="77777777" w:rsidR="00A012BC" w:rsidRDefault="00A012BC" w:rsidP="00932536">
      <w:pPr>
        <w:pStyle w:val="PMG-Body"/>
      </w:pPr>
    </w:p>
    <w:p w14:paraId="1C61A36C" w14:textId="77777777" w:rsidR="00A012BC" w:rsidRDefault="00A012BC" w:rsidP="00932536">
      <w:pPr>
        <w:pStyle w:val="PMG-Body"/>
      </w:pPr>
    </w:p>
    <w:p w14:paraId="5CE9BC72" w14:textId="77777777" w:rsidR="00A012BC" w:rsidRDefault="00A012BC" w:rsidP="00932536">
      <w:pPr>
        <w:pStyle w:val="PMG-Body"/>
      </w:pPr>
    </w:p>
    <w:p w14:paraId="721A3B89" w14:textId="77777777" w:rsidR="00A012BC" w:rsidRDefault="00A012BC" w:rsidP="00932536">
      <w:pPr>
        <w:pStyle w:val="PMG-Body"/>
      </w:pPr>
    </w:p>
    <w:p w14:paraId="2F9E271C" w14:textId="77777777" w:rsidR="00A012BC" w:rsidRDefault="00A012BC" w:rsidP="00932536">
      <w:pPr>
        <w:pStyle w:val="PMG-Body"/>
      </w:pPr>
    </w:p>
    <w:p w14:paraId="20D82477" w14:textId="77777777" w:rsidR="00A012BC" w:rsidRDefault="00A012BC" w:rsidP="00932536">
      <w:pPr>
        <w:pStyle w:val="PMG-Body"/>
      </w:pPr>
    </w:p>
    <w:p w14:paraId="276BBA67" w14:textId="77777777" w:rsidR="00A012BC" w:rsidRPr="00932536" w:rsidRDefault="00A012BC" w:rsidP="00932536">
      <w:pPr>
        <w:pStyle w:val="PMG-Body"/>
      </w:pPr>
    </w:p>
    <w:sectPr w:rsidR="00A012BC" w:rsidRPr="00932536" w:rsidSect="00781961">
      <w:headerReference w:type="default" r:id="rId12"/>
      <w:footerReference w:type="default" r:id="rId13"/>
      <w:type w:val="continuous"/>
      <w:pgSz w:w="20160" w:h="12240" w:orient="landscape" w:code="5"/>
      <w:pgMar w:top="1728" w:right="720" w:bottom="1728" w:left="720" w:header="720" w:footer="950" w:gutter="0"/>
      <w:cols w:num="2" w:sep="1" w:space="144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63EF342" w14:textId="77777777" w:rsidR="003B0827" w:rsidRDefault="003B0827" w:rsidP="001D22C2">
      <w:r>
        <w:separator/>
      </w:r>
    </w:p>
  </w:endnote>
  <w:endnote w:type="continuationSeparator" w:id="0">
    <w:p w14:paraId="09B0A3E7" w14:textId="77777777" w:rsidR="003B0827" w:rsidRDefault="003B0827" w:rsidP="001D22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yriad Roman">
    <w:altName w:val="Times New Roman"/>
    <w:charset w:val="00"/>
    <w:family w:val="roman"/>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2862861" w14:textId="27BBA4CA" w:rsidR="00847335" w:rsidRPr="001045C0" w:rsidRDefault="001045C0" w:rsidP="001045C0">
    <w:pPr>
      <w:pStyle w:val="Footer"/>
      <w:tabs>
        <w:tab w:val="clear" w:pos="9360"/>
        <w:tab w:val="right" w:pos="21600"/>
      </w:tabs>
      <w:spacing w:before="120"/>
    </w:pPr>
    <w:r>
      <w:rPr>
        <w:noProof/>
      </w:rPr>
      <mc:AlternateContent>
        <mc:Choice Requires="wps">
          <w:drawing>
            <wp:anchor distT="0" distB="0" distL="114300" distR="114300" simplePos="0" relativeHeight="251657728" behindDoc="1" locked="0" layoutInCell="0" allowOverlap="1" wp14:anchorId="2DE195F4" wp14:editId="1C63E56D">
              <wp:simplePos x="0" y="0"/>
              <wp:positionH relativeFrom="page">
                <wp:posOffset>474453</wp:posOffset>
              </wp:positionH>
              <wp:positionV relativeFrom="paragraph">
                <wp:posOffset>-2636</wp:posOffset>
              </wp:positionV>
              <wp:extent cx="11887200" cy="45719"/>
              <wp:effectExtent l="0" t="0" r="0" b="0"/>
              <wp:wrapNone/>
              <wp:docPr id="4"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87200" cy="45719"/>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829A6D4" id="Rectangle 16" o:spid="_x0000_s1026" style="position:absolute;margin-left:37.35pt;margin-top:-.2pt;width:13in;height:3.6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" o:allowincell="f" fillcolor="black" stroked="f" strokeweight="0">
              <w10:wrap anchorx="page"/>
            </v:rect>
          </w:pict>
        </mc:Fallback>
      </mc:AlternateContent>
    </w:r>
    <w:r w:rsidR="00AF3256" w:rsidRPr="00CF68C7">
      <w:t>PROJECT MANAGEMENT GUIDE</w:t>
    </w:r>
    <w:r>
      <w:tab/>
    </w:r>
    <w:r w:rsidR="001220F1">
      <w:t>09/18/2024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2863B1E" w14:textId="77777777" w:rsidR="003B0827" w:rsidRDefault="003B0827" w:rsidP="001D22C2">
      <w:r>
        <w:separator/>
      </w:r>
    </w:p>
  </w:footnote>
  <w:footnote w:type="continuationSeparator" w:id="0">
    <w:p w14:paraId="1313CEF4" w14:textId="77777777" w:rsidR="003B0827" w:rsidRDefault="003B0827" w:rsidP="001D22C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336E7F2" w14:textId="42F24517" w:rsidR="00AF3256" w:rsidRPr="001045C0" w:rsidRDefault="00AF3256" w:rsidP="00E84DF3">
    <w:pPr>
      <w:pStyle w:val="PMG-Sect"/>
    </w:pPr>
    <w:r>
      <w:t xml:space="preserve">PMG </w:t>
    </w:r>
    <w:r w:rsidR="00932536">
      <w:t>235  Contract Management</w:t>
    </w:r>
    <w:r w:rsidR="00312A93" w:rsidRPr="00312A93" w:rsidDel="00312A93">
      <w:t xml:space="preserve"> </w:t>
    </w:r>
    <w:r w:rsidR="00EA0960" w:rsidRPr="00CF68C7">
      <w:tab/>
    </w:r>
    <w:r>
      <w:t xml:space="preserve">Page </w:t>
    </w:r>
    <w:r>
      <w:fldChar w:fldCharType="begin"/>
    </w:r>
    <w:r>
      <w:instrText xml:space="preserve"> PAGE  \* Arabic  \* MERGEFORMAT </w:instrText>
    </w:r>
    <w:r>
      <w:fldChar w:fldCharType="separate"/>
    </w:r>
    <w:r>
      <w:t>1</w:t>
    </w:r>
    <w:r>
      <w:fldChar w:fldCharType="end"/>
    </w:r>
    <w:r>
      <w:t xml:space="preserve"> of </w:t>
    </w:r>
    <w:fldSimple w:instr=" NUMPAGES  \* Arabic  \* MERGEFORMAT ">
      <w:r>
        <w:t>3</w:t>
      </w:r>
    </w:fldSimple>
  </w:p>
  <w:p w14:paraId="67AE4AEA" w14:textId="77777777" w:rsidR="00847335" w:rsidRDefault="00847335" w:rsidP="00847335">
    <w:pPr>
      <w:pStyle w:val="Header"/>
    </w:pPr>
    <w:r>
      <w:rPr>
        <w:noProof/>
      </w:rPr>
      <mc:AlternateContent>
        <mc:Choice Requires="wps">
          <w:drawing>
            <wp:anchor distT="0" distB="0" distL="114300" distR="114300" simplePos="0" relativeHeight="251656704" behindDoc="1" locked="1" layoutInCell="0" allowOverlap="1" wp14:anchorId="1450CCFD" wp14:editId="76012653">
              <wp:simplePos x="0" y="0"/>
              <wp:positionH relativeFrom="page">
                <wp:posOffset>474345</wp:posOffset>
              </wp:positionH>
              <wp:positionV relativeFrom="paragraph">
                <wp:posOffset>38100</wp:posOffset>
              </wp:positionV>
              <wp:extent cx="11887200" cy="45085"/>
              <wp:effectExtent l="0" t="0" r="0" b="0"/>
              <wp:wrapNone/>
              <wp:docPr id="3"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11887200" cy="4508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CE7798C" id="Rectangle 16" o:spid="_x0000_s1026" style="position:absolute;margin-left:37.35pt;margin-top:3pt;width:13in;height:3.55pt;flip:y;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" o:allowincell="f" fillcolor="black" stroked="f" strokeweight="0">
              <w10:wrap anchorx="page"/>
              <w10:anchorlock/>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FE4C85"/>
    <w:multiLevelType w:val="hybridMultilevel"/>
    <w:tmpl w:val="DD1E87CA"/>
    <w:lvl w:ilvl="0" w:tplc="D7708FC4">
      <w:start w:val="1"/>
      <w:numFmt w:val="bullet"/>
      <w:pStyle w:val="PMG-Bullets"/>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1" w15:restartNumberingAfterBreak="0">
    <w:nsid w:val="01E37D19"/>
    <w:multiLevelType w:val="hybridMultilevel"/>
    <w:tmpl w:val="F9248124"/>
    <w:lvl w:ilvl="0" w:tplc="B3206852">
      <w:start w:val="214"/>
      <w:numFmt w:val="decimal"/>
      <w:suff w:val="nothing"/>
      <w:lvlText w:val="Chapter %1"/>
      <w:lvlJc w:val="center"/>
      <w:pPr>
        <w:ind w:left="144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4500" w:hanging="360"/>
      </w:pPr>
    </w:lvl>
    <w:lvl w:ilvl="2" w:tplc="0409001B" w:tentative="1">
      <w:start w:val="1"/>
      <w:numFmt w:val="lowerRoman"/>
      <w:lvlText w:val="%3."/>
      <w:lvlJc w:val="right"/>
      <w:pPr>
        <w:ind w:left="5220" w:hanging="180"/>
      </w:pPr>
    </w:lvl>
    <w:lvl w:ilvl="3" w:tplc="0409000F" w:tentative="1">
      <w:start w:val="1"/>
      <w:numFmt w:val="decimal"/>
      <w:lvlText w:val="%4."/>
      <w:lvlJc w:val="left"/>
      <w:pPr>
        <w:ind w:left="5940" w:hanging="360"/>
      </w:pPr>
    </w:lvl>
    <w:lvl w:ilvl="4" w:tplc="04090019" w:tentative="1">
      <w:start w:val="1"/>
      <w:numFmt w:val="lowerLetter"/>
      <w:lvlText w:val="%5."/>
      <w:lvlJc w:val="left"/>
      <w:pPr>
        <w:ind w:left="6660" w:hanging="360"/>
      </w:pPr>
    </w:lvl>
    <w:lvl w:ilvl="5" w:tplc="0409001B" w:tentative="1">
      <w:start w:val="1"/>
      <w:numFmt w:val="lowerRoman"/>
      <w:lvlText w:val="%6."/>
      <w:lvlJc w:val="right"/>
      <w:pPr>
        <w:ind w:left="7380" w:hanging="180"/>
      </w:pPr>
    </w:lvl>
    <w:lvl w:ilvl="6" w:tplc="0409000F" w:tentative="1">
      <w:start w:val="1"/>
      <w:numFmt w:val="decimal"/>
      <w:lvlText w:val="%7."/>
      <w:lvlJc w:val="left"/>
      <w:pPr>
        <w:ind w:left="8100" w:hanging="360"/>
      </w:pPr>
    </w:lvl>
    <w:lvl w:ilvl="7" w:tplc="04090019" w:tentative="1">
      <w:start w:val="1"/>
      <w:numFmt w:val="lowerLetter"/>
      <w:lvlText w:val="%8."/>
      <w:lvlJc w:val="left"/>
      <w:pPr>
        <w:ind w:left="8820" w:hanging="360"/>
      </w:pPr>
    </w:lvl>
    <w:lvl w:ilvl="8" w:tplc="0409001B" w:tentative="1">
      <w:start w:val="1"/>
      <w:numFmt w:val="lowerRoman"/>
      <w:lvlText w:val="%9."/>
      <w:lvlJc w:val="right"/>
      <w:pPr>
        <w:ind w:left="9540" w:hanging="180"/>
      </w:pPr>
    </w:lvl>
  </w:abstractNum>
  <w:abstractNum w:abstractNumId="2" w15:restartNumberingAfterBreak="0">
    <w:nsid w:val="08636872"/>
    <w:multiLevelType w:val="hybridMultilevel"/>
    <w:tmpl w:val="501A71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075146A"/>
    <w:multiLevelType w:val="hybridMultilevel"/>
    <w:tmpl w:val="A0FC95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0E66944"/>
    <w:multiLevelType w:val="hybridMultilevel"/>
    <w:tmpl w:val="763AF788"/>
    <w:lvl w:ilvl="0" w:tplc="28D013E4">
      <w:numFmt w:val="bullet"/>
      <w:lvlText w:val="•"/>
      <w:lvlJc w:val="left"/>
      <w:pPr>
        <w:ind w:left="1080" w:hanging="72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9CE28BD"/>
    <w:multiLevelType w:val="hybridMultilevel"/>
    <w:tmpl w:val="3982C3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EA54C43"/>
    <w:multiLevelType w:val="hybridMultilevel"/>
    <w:tmpl w:val="E73696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05E6577"/>
    <w:multiLevelType w:val="hybridMultilevel"/>
    <w:tmpl w:val="183E808E"/>
    <w:lvl w:ilvl="0" w:tplc="4218EC1C">
      <w:start w:val="1"/>
      <w:numFmt w:val="bullet"/>
      <w:lvlText w:val=""/>
      <w:lvlJc w:val="left"/>
      <w:pPr>
        <w:tabs>
          <w:tab w:val="num" w:pos="2880"/>
        </w:tabs>
        <w:ind w:left="2880" w:hanging="72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13778FF"/>
    <w:multiLevelType w:val="hybridMultilevel"/>
    <w:tmpl w:val="679A2002"/>
    <w:lvl w:ilvl="0" w:tplc="04090001">
      <w:start w:val="1"/>
      <w:numFmt w:val="bullet"/>
      <w:lvlText w:val=""/>
      <w:lvlJc w:val="left"/>
      <w:pPr>
        <w:ind w:left="720" w:hanging="360"/>
      </w:pPr>
      <w:rPr>
        <w:rFonts w:ascii="Symbol" w:hAnsi="Symbol"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2147F20"/>
    <w:multiLevelType w:val="hybridMultilevel"/>
    <w:tmpl w:val="99863E68"/>
    <w:lvl w:ilvl="0" w:tplc="BD60878C">
      <w:start w:val="1"/>
      <w:numFmt w:val="bullet"/>
      <w:lvlText w:val=""/>
      <w:lvlJc w:val="left"/>
      <w:pPr>
        <w:ind w:left="720" w:hanging="360"/>
      </w:pPr>
      <w:rPr>
        <w:rFonts w:ascii="Symbol" w:hAnsi="Symbol"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BAE5B82"/>
    <w:multiLevelType w:val="hybridMultilevel"/>
    <w:tmpl w:val="8ECCB4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4B8295C"/>
    <w:multiLevelType w:val="hybridMultilevel"/>
    <w:tmpl w:val="EE68D1D4"/>
    <w:lvl w:ilvl="0" w:tplc="04090001">
      <w:start w:val="1"/>
      <w:numFmt w:val="bullet"/>
      <w:lvlText w:val=""/>
      <w:lvlJc w:val="left"/>
      <w:pPr>
        <w:ind w:left="702" w:hanging="360"/>
      </w:pPr>
      <w:rPr>
        <w:rFonts w:ascii="Symbol" w:hAnsi="Symbol" w:hint="default"/>
      </w:rPr>
    </w:lvl>
    <w:lvl w:ilvl="1" w:tplc="04090003">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12" w15:restartNumberingAfterBreak="0">
    <w:nsid w:val="37295A49"/>
    <w:multiLevelType w:val="hybridMultilevel"/>
    <w:tmpl w:val="86BE880A"/>
    <w:lvl w:ilvl="0" w:tplc="AC7A3B32">
      <w:start w:val="1"/>
      <w:numFmt w:val="decimal"/>
      <w:pStyle w:val="ListParagraph"/>
      <w:lvlText w:val="(%1)"/>
      <w:lvlJc w:val="left"/>
      <w:pPr>
        <w:ind w:left="360" w:hanging="360"/>
      </w:pPr>
      <w:rPr>
        <w:rFonts w:hint="default"/>
      </w:rPr>
    </w:lvl>
    <w:lvl w:ilvl="1" w:tplc="5BFEAAC6">
      <w:start w:val="1"/>
      <w:numFmt w:val="lowerLetter"/>
      <w:lvlText w:val="(%2)"/>
      <w:lvlJc w:val="left"/>
      <w:pPr>
        <w:ind w:left="1440" w:hanging="360"/>
      </w:pPr>
      <w:rPr>
        <w:rFonts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79227E1"/>
    <w:multiLevelType w:val="hybridMultilevel"/>
    <w:tmpl w:val="382C3E8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3DC16697"/>
    <w:multiLevelType w:val="hybridMultilevel"/>
    <w:tmpl w:val="F43653A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29D460A"/>
    <w:multiLevelType w:val="hybridMultilevel"/>
    <w:tmpl w:val="64404C34"/>
    <w:lvl w:ilvl="0" w:tplc="28D013E4">
      <w:numFmt w:val="bullet"/>
      <w:lvlText w:val="•"/>
      <w:lvlJc w:val="left"/>
      <w:pPr>
        <w:ind w:left="1440" w:hanging="720"/>
      </w:pPr>
      <w:rPr>
        <w:rFonts w:ascii="Arial" w:eastAsiaTheme="minorHAnsi"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47B403CD"/>
    <w:multiLevelType w:val="hybridMultilevel"/>
    <w:tmpl w:val="A918A436"/>
    <w:lvl w:ilvl="0" w:tplc="AA4CB91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E641981"/>
    <w:multiLevelType w:val="hybridMultilevel"/>
    <w:tmpl w:val="494A09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4CF458D"/>
    <w:multiLevelType w:val="hybridMultilevel"/>
    <w:tmpl w:val="A346594A"/>
    <w:lvl w:ilvl="0" w:tplc="AF74888A">
      <w:start w:val="214"/>
      <w:numFmt w:val="decimal"/>
      <w:pStyle w:val="Heading7"/>
      <w:suff w:val="nothing"/>
      <w:lvlText w:val="Chapter %1"/>
      <w:lvlJc w:val="center"/>
      <w:pPr>
        <w:ind w:left="1440" w:hanging="360"/>
      </w:pPr>
      <w:rPr>
        <w:rFonts w:ascii="Arial" w:hAnsi="Arial" w:hint="default"/>
        <w:b/>
        <w:bCs w:val="0"/>
        <w:i w:val="0"/>
        <w:iCs w:val="0"/>
        <w:caps w:val="0"/>
        <w:smallCaps w:val="0"/>
        <w:strike w:val="0"/>
        <w:dstrike w:val="0"/>
        <w:outline w:val="0"/>
        <w:shadow w:val="0"/>
        <w:emboss w:val="0"/>
        <w:imprint w:val="0"/>
        <w:noProof w:val="0"/>
        <w:vanish w:val="0"/>
        <w:color w:val="auto"/>
        <w:spacing w:val="0"/>
        <w:kern w:val="0"/>
        <w:position w:val="0"/>
        <w:sz w:val="3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 w15:restartNumberingAfterBreak="0">
    <w:nsid w:val="5998751C"/>
    <w:multiLevelType w:val="hybridMultilevel"/>
    <w:tmpl w:val="E46CA3B8"/>
    <w:lvl w:ilvl="0" w:tplc="AA4CB914">
      <w:start w:val="1"/>
      <w:numFmt w:val="bullet"/>
      <w:lvlText w:val=""/>
      <w:lvlJc w:val="left"/>
      <w:pPr>
        <w:ind w:left="702" w:hanging="360"/>
      </w:pPr>
      <w:rPr>
        <w:rFonts w:ascii="Wingdings" w:hAnsi="Wingdings"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20" w15:restartNumberingAfterBreak="0">
    <w:nsid w:val="5C7D7638"/>
    <w:multiLevelType w:val="hybridMultilevel"/>
    <w:tmpl w:val="2000FE3A"/>
    <w:lvl w:ilvl="0" w:tplc="AA4CB91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9693CB1"/>
    <w:multiLevelType w:val="hybridMultilevel"/>
    <w:tmpl w:val="321CB7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9EE2863"/>
    <w:multiLevelType w:val="hybridMultilevel"/>
    <w:tmpl w:val="24321C28"/>
    <w:lvl w:ilvl="0" w:tplc="AA4CB91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77D3EE2"/>
    <w:multiLevelType w:val="hybridMultilevel"/>
    <w:tmpl w:val="521A3A48"/>
    <w:lvl w:ilvl="0" w:tplc="04090001">
      <w:start w:val="1"/>
      <w:numFmt w:val="bullet"/>
      <w:lvlText w:val=""/>
      <w:lvlJc w:val="left"/>
      <w:pPr>
        <w:ind w:left="720" w:hanging="360"/>
      </w:pPr>
      <w:rPr>
        <w:rFonts w:ascii="Symbol" w:hAnsi="Symbol"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B541068"/>
    <w:multiLevelType w:val="hybridMultilevel"/>
    <w:tmpl w:val="46441F70"/>
    <w:lvl w:ilvl="0" w:tplc="9BE6366C">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CB02EBD"/>
    <w:multiLevelType w:val="hybridMultilevel"/>
    <w:tmpl w:val="DCFC509E"/>
    <w:lvl w:ilvl="0" w:tplc="49AEF282">
      <w:start w:val="1"/>
      <w:numFmt w:val="decimal"/>
      <w:pStyle w:val="PGM-Num"/>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D1728CB"/>
    <w:multiLevelType w:val="hybridMultilevel"/>
    <w:tmpl w:val="715EAE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54702038">
    <w:abstractNumId w:val="1"/>
  </w:num>
  <w:num w:numId="2" w16cid:durableId="1869878161">
    <w:abstractNumId w:val="12"/>
  </w:num>
  <w:num w:numId="3" w16cid:durableId="1184708181">
    <w:abstractNumId w:val="18"/>
  </w:num>
  <w:num w:numId="4" w16cid:durableId="1909076479">
    <w:abstractNumId w:val="7"/>
  </w:num>
  <w:num w:numId="5" w16cid:durableId="721830893">
    <w:abstractNumId w:val="12"/>
  </w:num>
  <w:num w:numId="6" w16cid:durableId="589898636">
    <w:abstractNumId w:val="5"/>
  </w:num>
  <w:num w:numId="7" w16cid:durableId="67198045">
    <w:abstractNumId w:val="12"/>
  </w:num>
  <w:num w:numId="8" w16cid:durableId="1342271043">
    <w:abstractNumId w:val="9"/>
  </w:num>
  <w:num w:numId="9" w16cid:durableId="1826772708">
    <w:abstractNumId w:val="14"/>
  </w:num>
  <w:num w:numId="10" w16cid:durableId="603729314">
    <w:abstractNumId w:val="8"/>
  </w:num>
  <w:num w:numId="11" w16cid:durableId="1407338667">
    <w:abstractNumId w:val="10"/>
  </w:num>
  <w:num w:numId="12" w16cid:durableId="875967027">
    <w:abstractNumId w:val="23"/>
  </w:num>
  <w:num w:numId="13" w16cid:durableId="1688170097">
    <w:abstractNumId w:val="17"/>
  </w:num>
  <w:num w:numId="14" w16cid:durableId="1797991134">
    <w:abstractNumId w:val="20"/>
  </w:num>
  <w:num w:numId="15" w16cid:durableId="1130512818">
    <w:abstractNumId w:val="22"/>
  </w:num>
  <w:num w:numId="16" w16cid:durableId="992678412">
    <w:abstractNumId w:val="16"/>
  </w:num>
  <w:num w:numId="17" w16cid:durableId="1596554225">
    <w:abstractNumId w:val="19"/>
  </w:num>
  <w:num w:numId="18" w16cid:durableId="1010985072">
    <w:abstractNumId w:val="11"/>
  </w:num>
  <w:num w:numId="19" w16cid:durableId="875849010">
    <w:abstractNumId w:val="21"/>
  </w:num>
  <w:num w:numId="20" w16cid:durableId="1645507251">
    <w:abstractNumId w:val="2"/>
  </w:num>
  <w:num w:numId="21" w16cid:durableId="856886248">
    <w:abstractNumId w:val="3"/>
  </w:num>
  <w:num w:numId="22" w16cid:durableId="441656537">
    <w:abstractNumId w:val="26"/>
  </w:num>
  <w:num w:numId="23" w16cid:durableId="409280315">
    <w:abstractNumId w:val="6"/>
  </w:num>
  <w:num w:numId="24" w16cid:durableId="1897232890">
    <w:abstractNumId w:val="4"/>
  </w:num>
  <w:num w:numId="25" w16cid:durableId="426777672">
    <w:abstractNumId w:val="15"/>
  </w:num>
  <w:num w:numId="26" w16cid:durableId="2115589457">
    <w:abstractNumId w:val="24"/>
  </w:num>
  <w:num w:numId="27" w16cid:durableId="1777677161">
    <w:abstractNumId w:val="13"/>
  </w:num>
  <w:num w:numId="28" w16cid:durableId="437335480">
    <w:abstractNumId w:val="0"/>
  </w:num>
  <w:num w:numId="29" w16cid:durableId="504979163">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oofState w:spelling="clean" w:grammar="clean"/>
  <w:attachedTemplate r:id="rId1"/>
  <w:stylePaneFormatFilter w:val="1001" w:allStyles="1" w:customStyles="0" w:latentStyles="0" w:stylesInUse="0" w:headingStyles="0" w:numberingStyles="0" w:tableStyles="0" w:directFormattingOnRuns="0" w:directFormattingOnParagraphs="0" w:directFormattingOnNumbering="0" w:directFormattingOnTables="0" w:clearFormatting="1" w:top3HeadingStyles="0" w:visibleStyles="0" w:alternateStyleNames="0"/>
  <w:stylePaneSortMethod w:val="0000"/>
  <w:trackRevision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3381"/>
    <w:rsid w:val="00026B65"/>
    <w:rsid w:val="00030A58"/>
    <w:rsid w:val="00030B7C"/>
    <w:rsid w:val="000312E2"/>
    <w:rsid w:val="00035F06"/>
    <w:rsid w:val="00040F9B"/>
    <w:rsid w:val="00041664"/>
    <w:rsid w:val="000557BD"/>
    <w:rsid w:val="000644DE"/>
    <w:rsid w:val="00073381"/>
    <w:rsid w:val="00084E22"/>
    <w:rsid w:val="000A1338"/>
    <w:rsid w:val="000A1E8D"/>
    <w:rsid w:val="000A7D27"/>
    <w:rsid w:val="000C72F9"/>
    <w:rsid w:val="000D05A4"/>
    <w:rsid w:val="001045C0"/>
    <w:rsid w:val="0010553F"/>
    <w:rsid w:val="001220F1"/>
    <w:rsid w:val="001230F5"/>
    <w:rsid w:val="00143EF8"/>
    <w:rsid w:val="0015684C"/>
    <w:rsid w:val="00161406"/>
    <w:rsid w:val="0016423D"/>
    <w:rsid w:val="00184368"/>
    <w:rsid w:val="00197CDE"/>
    <w:rsid w:val="001A585C"/>
    <w:rsid w:val="001B12DA"/>
    <w:rsid w:val="001C1873"/>
    <w:rsid w:val="001C47F4"/>
    <w:rsid w:val="001C76C7"/>
    <w:rsid w:val="001C7F20"/>
    <w:rsid w:val="001D1DA2"/>
    <w:rsid w:val="001D22C2"/>
    <w:rsid w:val="001F5ED5"/>
    <w:rsid w:val="002069D0"/>
    <w:rsid w:val="002643F9"/>
    <w:rsid w:val="002730CB"/>
    <w:rsid w:val="00273744"/>
    <w:rsid w:val="00291D03"/>
    <w:rsid w:val="002955AB"/>
    <w:rsid w:val="00296A2A"/>
    <w:rsid w:val="002A127F"/>
    <w:rsid w:val="002B0206"/>
    <w:rsid w:val="002B4AAC"/>
    <w:rsid w:val="002C78BE"/>
    <w:rsid w:val="002E07BE"/>
    <w:rsid w:val="002E754B"/>
    <w:rsid w:val="002F76D0"/>
    <w:rsid w:val="003026A3"/>
    <w:rsid w:val="003061B5"/>
    <w:rsid w:val="00312A93"/>
    <w:rsid w:val="003169A4"/>
    <w:rsid w:val="00324D06"/>
    <w:rsid w:val="00344BE2"/>
    <w:rsid w:val="00365510"/>
    <w:rsid w:val="00383B46"/>
    <w:rsid w:val="00387DE8"/>
    <w:rsid w:val="003A0903"/>
    <w:rsid w:val="003A0B28"/>
    <w:rsid w:val="003B0827"/>
    <w:rsid w:val="003C24E1"/>
    <w:rsid w:val="003E2EF3"/>
    <w:rsid w:val="003F2AA5"/>
    <w:rsid w:val="00401455"/>
    <w:rsid w:val="004038E8"/>
    <w:rsid w:val="004075C1"/>
    <w:rsid w:val="00411D3B"/>
    <w:rsid w:val="004379D9"/>
    <w:rsid w:val="00437ACA"/>
    <w:rsid w:val="00446DEB"/>
    <w:rsid w:val="004614E7"/>
    <w:rsid w:val="00472C4E"/>
    <w:rsid w:val="004814C4"/>
    <w:rsid w:val="00497DCC"/>
    <w:rsid w:val="004C3FE8"/>
    <w:rsid w:val="004C7076"/>
    <w:rsid w:val="00534D3A"/>
    <w:rsid w:val="00550EAD"/>
    <w:rsid w:val="005576C7"/>
    <w:rsid w:val="005B4B91"/>
    <w:rsid w:val="005C7057"/>
    <w:rsid w:val="005D5E2D"/>
    <w:rsid w:val="005D6D42"/>
    <w:rsid w:val="005E25F6"/>
    <w:rsid w:val="005F5F56"/>
    <w:rsid w:val="005F6CD0"/>
    <w:rsid w:val="00601435"/>
    <w:rsid w:val="00611609"/>
    <w:rsid w:val="0064369C"/>
    <w:rsid w:val="006633E3"/>
    <w:rsid w:val="006678F1"/>
    <w:rsid w:val="006800C2"/>
    <w:rsid w:val="0068296C"/>
    <w:rsid w:val="00685438"/>
    <w:rsid w:val="00694181"/>
    <w:rsid w:val="00695BCB"/>
    <w:rsid w:val="00695FE6"/>
    <w:rsid w:val="006A4040"/>
    <w:rsid w:val="006B5693"/>
    <w:rsid w:val="006D15B2"/>
    <w:rsid w:val="006D2DE9"/>
    <w:rsid w:val="006D6460"/>
    <w:rsid w:val="006E0A36"/>
    <w:rsid w:val="00722D72"/>
    <w:rsid w:val="007440ED"/>
    <w:rsid w:val="00752C00"/>
    <w:rsid w:val="00755795"/>
    <w:rsid w:val="007622FE"/>
    <w:rsid w:val="00773F16"/>
    <w:rsid w:val="00781961"/>
    <w:rsid w:val="007D402E"/>
    <w:rsid w:val="00806E47"/>
    <w:rsid w:val="008148ED"/>
    <w:rsid w:val="00815B67"/>
    <w:rsid w:val="008413CF"/>
    <w:rsid w:val="00842AB2"/>
    <w:rsid w:val="0084495C"/>
    <w:rsid w:val="00847335"/>
    <w:rsid w:val="00864128"/>
    <w:rsid w:val="008726D1"/>
    <w:rsid w:val="00882799"/>
    <w:rsid w:val="00885C50"/>
    <w:rsid w:val="008972B1"/>
    <w:rsid w:val="008A2903"/>
    <w:rsid w:val="008A524A"/>
    <w:rsid w:val="008B4A67"/>
    <w:rsid w:val="008C342C"/>
    <w:rsid w:val="008E6686"/>
    <w:rsid w:val="008F77D3"/>
    <w:rsid w:val="00901C8D"/>
    <w:rsid w:val="00904417"/>
    <w:rsid w:val="009065E5"/>
    <w:rsid w:val="00914CAA"/>
    <w:rsid w:val="00916CB2"/>
    <w:rsid w:val="00920AF5"/>
    <w:rsid w:val="00932006"/>
    <w:rsid w:val="00932536"/>
    <w:rsid w:val="00932768"/>
    <w:rsid w:val="00944124"/>
    <w:rsid w:val="00950823"/>
    <w:rsid w:val="00953317"/>
    <w:rsid w:val="00957372"/>
    <w:rsid w:val="0098490F"/>
    <w:rsid w:val="00987010"/>
    <w:rsid w:val="00992CBB"/>
    <w:rsid w:val="009A41DA"/>
    <w:rsid w:val="009A7C96"/>
    <w:rsid w:val="009B6B4D"/>
    <w:rsid w:val="00A002FD"/>
    <w:rsid w:val="00A012BC"/>
    <w:rsid w:val="00A06886"/>
    <w:rsid w:val="00A21E97"/>
    <w:rsid w:val="00A56729"/>
    <w:rsid w:val="00A62506"/>
    <w:rsid w:val="00A81E06"/>
    <w:rsid w:val="00A85D1A"/>
    <w:rsid w:val="00A9290E"/>
    <w:rsid w:val="00A94334"/>
    <w:rsid w:val="00AA0C7C"/>
    <w:rsid w:val="00AC1F21"/>
    <w:rsid w:val="00AC5A6E"/>
    <w:rsid w:val="00AD3EB0"/>
    <w:rsid w:val="00AF3256"/>
    <w:rsid w:val="00B0193E"/>
    <w:rsid w:val="00B148AF"/>
    <w:rsid w:val="00B32D0B"/>
    <w:rsid w:val="00B35C57"/>
    <w:rsid w:val="00B368F6"/>
    <w:rsid w:val="00B36C6B"/>
    <w:rsid w:val="00B40A1E"/>
    <w:rsid w:val="00B41896"/>
    <w:rsid w:val="00B52408"/>
    <w:rsid w:val="00B57004"/>
    <w:rsid w:val="00B80C8C"/>
    <w:rsid w:val="00BB26E0"/>
    <w:rsid w:val="00BC0CFA"/>
    <w:rsid w:val="00BC5480"/>
    <w:rsid w:val="00BC66A7"/>
    <w:rsid w:val="00BD6294"/>
    <w:rsid w:val="00BE7B86"/>
    <w:rsid w:val="00C002B1"/>
    <w:rsid w:val="00C00B92"/>
    <w:rsid w:val="00C01467"/>
    <w:rsid w:val="00C07400"/>
    <w:rsid w:val="00C1069A"/>
    <w:rsid w:val="00C232F4"/>
    <w:rsid w:val="00C30B9F"/>
    <w:rsid w:val="00C500A9"/>
    <w:rsid w:val="00C82DB1"/>
    <w:rsid w:val="00C84E6A"/>
    <w:rsid w:val="00C8603B"/>
    <w:rsid w:val="00C92407"/>
    <w:rsid w:val="00C94F3E"/>
    <w:rsid w:val="00CA14F4"/>
    <w:rsid w:val="00CA2204"/>
    <w:rsid w:val="00CB23C4"/>
    <w:rsid w:val="00CC3345"/>
    <w:rsid w:val="00CF68C7"/>
    <w:rsid w:val="00D144E9"/>
    <w:rsid w:val="00D204DE"/>
    <w:rsid w:val="00D26607"/>
    <w:rsid w:val="00D47ADF"/>
    <w:rsid w:val="00D47F19"/>
    <w:rsid w:val="00D90A6A"/>
    <w:rsid w:val="00D96269"/>
    <w:rsid w:val="00D96F3A"/>
    <w:rsid w:val="00DA0FA1"/>
    <w:rsid w:val="00DD1012"/>
    <w:rsid w:val="00DE7FE2"/>
    <w:rsid w:val="00DF5888"/>
    <w:rsid w:val="00E120A9"/>
    <w:rsid w:val="00E17D85"/>
    <w:rsid w:val="00E257CD"/>
    <w:rsid w:val="00E36EEE"/>
    <w:rsid w:val="00E37765"/>
    <w:rsid w:val="00E84092"/>
    <w:rsid w:val="00E84DF3"/>
    <w:rsid w:val="00E95AC8"/>
    <w:rsid w:val="00EA0960"/>
    <w:rsid w:val="00EA218C"/>
    <w:rsid w:val="00EB2778"/>
    <w:rsid w:val="00ED0C6C"/>
    <w:rsid w:val="00ED709A"/>
    <w:rsid w:val="00EE74F3"/>
    <w:rsid w:val="00EF448E"/>
    <w:rsid w:val="00F12194"/>
    <w:rsid w:val="00F27141"/>
    <w:rsid w:val="00F32198"/>
    <w:rsid w:val="00F61AA5"/>
    <w:rsid w:val="00F9001B"/>
    <w:rsid w:val="00F93426"/>
    <w:rsid w:val="00FB0879"/>
    <w:rsid w:val="00FB3DBC"/>
    <w:rsid w:val="00FE1938"/>
    <w:rsid w:val="00FF26E2"/>
    <w:rsid w:val="00FF34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61320D1"/>
  <w15:chartTrackingRefBased/>
  <w15:docId w15:val="{FD373ADE-0040-4D41-85C8-F13147F240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0A36"/>
    <w:rPr>
      <w:rFonts w:ascii="Arial" w:hAnsi="Arial"/>
      <w:sz w:val="24"/>
    </w:rPr>
  </w:style>
  <w:style w:type="paragraph" w:styleId="Heading1">
    <w:name w:val="heading 1"/>
    <w:aliases w:val="PMG-SectionTitle"/>
    <w:next w:val="Normal"/>
    <w:link w:val="Heading1Char"/>
    <w:autoRedefine/>
    <w:uiPriority w:val="9"/>
    <w:rsid w:val="00992CBB"/>
    <w:pPr>
      <w:keepNext/>
      <w:keepLines/>
      <w:tabs>
        <w:tab w:val="left" w:pos="1440"/>
        <w:tab w:val="right" w:pos="21600"/>
      </w:tabs>
      <w:spacing w:after="60"/>
      <w:outlineLvl w:val="0"/>
    </w:pPr>
    <w:rPr>
      <w:rFonts w:ascii="Arial" w:eastAsiaTheme="majorEastAsia" w:hAnsi="Arial" w:cstheme="majorBidi"/>
      <w:b/>
      <w:sz w:val="32"/>
      <w:szCs w:val="32"/>
    </w:rPr>
  </w:style>
  <w:style w:type="paragraph" w:styleId="Heading2">
    <w:name w:val="heading 2"/>
    <w:aliases w:val="PMG-SubSectionTitle"/>
    <w:basedOn w:val="Heading1"/>
    <w:next w:val="Normal"/>
    <w:link w:val="Heading2Char"/>
    <w:uiPriority w:val="9"/>
    <w:unhideWhenUsed/>
    <w:qFormat/>
    <w:rsid w:val="008148ED"/>
    <w:pPr>
      <w:spacing w:before="360" w:after="360"/>
      <w:outlineLvl w:val="1"/>
    </w:pPr>
    <w:rPr>
      <w:sz w:val="28"/>
      <w:u w:val="single"/>
    </w:rPr>
  </w:style>
  <w:style w:type="paragraph" w:styleId="Heading3">
    <w:name w:val="heading 3"/>
    <w:aliases w:val="PMG-SubSubSectionTitle"/>
    <w:next w:val="Normal"/>
    <w:link w:val="Heading3Char"/>
    <w:uiPriority w:val="9"/>
    <w:unhideWhenUsed/>
    <w:qFormat/>
    <w:rsid w:val="00B41896"/>
    <w:pPr>
      <w:keepNext/>
      <w:keepLines/>
      <w:tabs>
        <w:tab w:val="left" w:pos="1440"/>
      </w:tabs>
      <w:spacing w:before="360" w:after="240"/>
      <w:ind w:left="360"/>
      <w:jc w:val="both"/>
      <w:outlineLvl w:val="2"/>
    </w:pPr>
    <w:rPr>
      <w:rFonts w:ascii="Arial" w:eastAsiaTheme="majorEastAsia" w:hAnsi="Arial" w:cstheme="majorBidi"/>
      <w:b/>
      <w:sz w:val="24"/>
      <w:szCs w:val="24"/>
    </w:rPr>
  </w:style>
  <w:style w:type="paragraph" w:styleId="Heading4">
    <w:name w:val="heading 4"/>
    <w:basedOn w:val="Heading3"/>
    <w:next w:val="Normal"/>
    <w:link w:val="Heading4Char"/>
    <w:autoRedefine/>
    <w:uiPriority w:val="9"/>
    <w:unhideWhenUsed/>
    <w:qFormat/>
    <w:rsid w:val="00D26607"/>
    <w:pPr>
      <w:spacing w:after="120"/>
      <w:jc w:val="left"/>
      <w:outlineLvl w:val="3"/>
    </w:pPr>
    <w:rPr>
      <w:rFonts w:cs="Arial"/>
      <w:iCs/>
    </w:rPr>
  </w:style>
  <w:style w:type="paragraph" w:styleId="Heading7">
    <w:name w:val="heading 7"/>
    <w:aliases w:val="FDM-ChapNumber"/>
    <w:basedOn w:val="Normal"/>
    <w:next w:val="Normal"/>
    <w:link w:val="Heading7Char"/>
    <w:uiPriority w:val="9"/>
    <w:unhideWhenUsed/>
    <w:qFormat/>
    <w:rsid w:val="000644DE"/>
    <w:pPr>
      <w:numPr>
        <w:numId w:val="3"/>
      </w:numPr>
      <w:jc w:val="center"/>
      <w:outlineLvl w:val="6"/>
    </w:pPr>
    <w:rPr>
      <w:b/>
      <w:iCs/>
      <w:sz w:val="32"/>
      <w14:scene3d>
        <w14:camera w14:prst="orthographicFront"/>
        <w14:lightRig w14:rig="threePt" w14:dir="t">
          <w14:rot w14:lat="0" w14:lon="0" w14:rev="0"/>
        </w14:lightRig>
      </w14:scene3d>
    </w:rPr>
  </w:style>
  <w:style w:type="paragraph" w:styleId="Heading8">
    <w:name w:val="heading 8"/>
    <w:aliases w:val="FDM-TxtChapNum"/>
    <w:next w:val="Normal"/>
    <w:link w:val="Heading8Char"/>
    <w:uiPriority w:val="9"/>
    <w:unhideWhenUsed/>
    <w:qFormat/>
    <w:rsid w:val="008F77D3"/>
    <w:pPr>
      <w:keepNext/>
      <w:keepLines/>
      <w:spacing w:after="360"/>
      <w:jc w:val="center"/>
      <w:outlineLvl w:val="7"/>
    </w:pPr>
    <w:rPr>
      <w:rFonts w:ascii="Arial" w:eastAsiaTheme="majorEastAsia" w:hAnsi="Arial" w:cstheme="majorBidi"/>
      <w:b/>
      <w:color w:val="272727" w:themeColor="text1" w:themeTint="D8"/>
      <w:sz w:val="32"/>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MG-SectionTitle Char"/>
    <w:basedOn w:val="DefaultParagraphFont"/>
    <w:link w:val="Heading1"/>
    <w:uiPriority w:val="9"/>
    <w:rsid w:val="00992CBB"/>
    <w:rPr>
      <w:rFonts w:ascii="Arial" w:eastAsiaTheme="majorEastAsia" w:hAnsi="Arial" w:cstheme="majorBidi"/>
      <w:b/>
      <w:sz w:val="32"/>
      <w:szCs w:val="32"/>
    </w:rPr>
  </w:style>
  <w:style w:type="character" w:customStyle="1" w:styleId="Heading2Char">
    <w:name w:val="Heading 2 Char"/>
    <w:aliases w:val="PMG-SubSectionTitle Char"/>
    <w:basedOn w:val="DefaultParagraphFont"/>
    <w:link w:val="Heading2"/>
    <w:uiPriority w:val="9"/>
    <w:rsid w:val="008148ED"/>
    <w:rPr>
      <w:rFonts w:ascii="Arial" w:eastAsiaTheme="majorEastAsia" w:hAnsi="Arial" w:cstheme="majorBidi"/>
      <w:b/>
      <w:sz w:val="28"/>
      <w:szCs w:val="32"/>
      <w:u w:val="single"/>
    </w:rPr>
  </w:style>
  <w:style w:type="character" w:customStyle="1" w:styleId="Heading3Char">
    <w:name w:val="Heading 3 Char"/>
    <w:aliases w:val="PMG-SubSubSectionTitle Char"/>
    <w:basedOn w:val="DefaultParagraphFont"/>
    <w:link w:val="Heading3"/>
    <w:uiPriority w:val="9"/>
    <w:rsid w:val="00B41896"/>
    <w:rPr>
      <w:rFonts w:ascii="Arial" w:eastAsiaTheme="majorEastAsia" w:hAnsi="Arial" w:cstheme="majorBidi"/>
      <w:b/>
      <w:sz w:val="24"/>
      <w:szCs w:val="24"/>
    </w:rPr>
  </w:style>
  <w:style w:type="character" w:customStyle="1" w:styleId="Heading4Char">
    <w:name w:val="Heading 4 Char"/>
    <w:basedOn w:val="DefaultParagraphFont"/>
    <w:link w:val="Heading4"/>
    <w:uiPriority w:val="9"/>
    <w:rsid w:val="00D26607"/>
    <w:rPr>
      <w:rFonts w:ascii="Arial" w:eastAsiaTheme="majorEastAsia" w:hAnsi="Arial" w:cs="Arial"/>
      <w:b/>
      <w:iCs/>
      <w:sz w:val="24"/>
      <w:szCs w:val="24"/>
    </w:rPr>
  </w:style>
  <w:style w:type="paragraph" w:customStyle="1" w:styleId="PMG-Body">
    <w:name w:val="PMG-Body"/>
    <w:basedOn w:val="BodyText"/>
    <w:rsid w:val="00E17D85"/>
  </w:style>
  <w:style w:type="paragraph" w:styleId="ListParagraph">
    <w:name w:val="List Paragraph"/>
    <w:aliases w:val="PMG-NumberList"/>
    <w:uiPriority w:val="34"/>
    <w:qFormat/>
    <w:rsid w:val="005B4B91"/>
    <w:pPr>
      <w:numPr>
        <w:numId w:val="5"/>
      </w:numPr>
      <w:tabs>
        <w:tab w:val="left" w:pos="720"/>
      </w:tabs>
      <w:spacing w:after="120"/>
      <w:jc w:val="both"/>
    </w:pPr>
    <w:rPr>
      <w:rFonts w:ascii="Arial" w:eastAsia="Calibri" w:hAnsi="Arial" w:cs="Times New Roman"/>
      <w:sz w:val="24"/>
    </w:rPr>
  </w:style>
  <w:style w:type="paragraph" w:styleId="NoSpacing">
    <w:name w:val="No Spacing"/>
    <w:uiPriority w:val="1"/>
    <w:qFormat/>
    <w:rsid w:val="00472C4E"/>
  </w:style>
  <w:style w:type="character" w:styleId="CommentReference">
    <w:name w:val="annotation reference"/>
    <w:uiPriority w:val="99"/>
    <w:semiHidden/>
    <w:unhideWhenUsed/>
    <w:rsid w:val="00534D3A"/>
    <w:rPr>
      <w:sz w:val="16"/>
      <w:szCs w:val="16"/>
    </w:rPr>
  </w:style>
  <w:style w:type="paragraph" w:styleId="CommentText">
    <w:name w:val="annotation text"/>
    <w:basedOn w:val="Normal"/>
    <w:link w:val="CommentTextChar"/>
    <w:uiPriority w:val="99"/>
    <w:semiHidden/>
    <w:unhideWhenUsed/>
    <w:rsid w:val="00534D3A"/>
    <w:rPr>
      <w:rFonts w:eastAsia="Calibri" w:cs="Times New Roman"/>
      <w:sz w:val="20"/>
      <w:szCs w:val="20"/>
    </w:rPr>
  </w:style>
  <w:style w:type="character" w:customStyle="1" w:styleId="CommentTextChar">
    <w:name w:val="Comment Text Char"/>
    <w:basedOn w:val="DefaultParagraphFont"/>
    <w:link w:val="CommentText"/>
    <w:uiPriority w:val="99"/>
    <w:semiHidden/>
    <w:rsid w:val="00534D3A"/>
    <w:rPr>
      <w:rFonts w:ascii="Arial" w:eastAsia="Calibri" w:hAnsi="Arial" w:cs="Times New Roman"/>
      <w:sz w:val="20"/>
      <w:szCs w:val="20"/>
    </w:rPr>
  </w:style>
  <w:style w:type="table" w:styleId="TableGrid">
    <w:name w:val="Table Grid"/>
    <w:basedOn w:val="TableNormal"/>
    <w:uiPriority w:val="39"/>
    <w:rsid w:val="00534D3A"/>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itle">
    <w:name w:val="TableTitle"/>
    <w:qFormat/>
    <w:rsid w:val="008F77D3"/>
    <w:pPr>
      <w:spacing w:before="240" w:after="60"/>
      <w:jc w:val="center"/>
    </w:pPr>
    <w:rPr>
      <w:rFonts w:ascii="Arial" w:eastAsia="Calibri" w:hAnsi="Arial" w:cs="Times New Roman"/>
      <w:b/>
      <w:sz w:val="24"/>
    </w:rPr>
  </w:style>
  <w:style w:type="paragraph" w:customStyle="1" w:styleId="FDM-TableText">
    <w:name w:val="FDM-TableText"/>
    <w:qFormat/>
    <w:rsid w:val="008F77D3"/>
    <w:pPr>
      <w:spacing w:before="120" w:after="120"/>
      <w:jc w:val="center"/>
    </w:pPr>
    <w:rPr>
      <w:rFonts w:ascii="Arial" w:eastAsia="Calibri" w:hAnsi="Arial" w:cs="Times New Roman"/>
      <w:sz w:val="20"/>
      <w:szCs w:val="20"/>
    </w:rPr>
  </w:style>
  <w:style w:type="paragraph" w:styleId="BalloonText">
    <w:name w:val="Balloon Text"/>
    <w:basedOn w:val="Normal"/>
    <w:link w:val="BalloonTextChar"/>
    <w:uiPriority w:val="99"/>
    <w:semiHidden/>
    <w:unhideWhenUsed/>
    <w:rsid w:val="00534D3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34D3A"/>
    <w:rPr>
      <w:rFonts w:ascii="Segoe UI" w:hAnsi="Segoe UI" w:cs="Segoe UI"/>
      <w:sz w:val="18"/>
      <w:szCs w:val="18"/>
    </w:rPr>
  </w:style>
  <w:style w:type="paragraph" w:customStyle="1" w:styleId="FigureTitle">
    <w:name w:val="FigureTitle"/>
    <w:qFormat/>
    <w:rsid w:val="008F77D3"/>
    <w:pPr>
      <w:spacing w:after="240"/>
      <w:jc w:val="center"/>
    </w:pPr>
    <w:rPr>
      <w:rFonts w:ascii="Arial" w:hAnsi="Arial"/>
      <w:b/>
      <w:sz w:val="24"/>
    </w:rPr>
  </w:style>
  <w:style w:type="character" w:customStyle="1" w:styleId="Heading7Char">
    <w:name w:val="Heading 7 Char"/>
    <w:aliases w:val="FDM-ChapNumber Char"/>
    <w:basedOn w:val="DefaultParagraphFont"/>
    <w:link w:val="Heading7"/>
    <w:uiPriority w:val="9"/>
    <w:rsid w:val="000644DE"/>
    <w:rPr>
      <w:rFonts w:ascii="Arial" w:hAnsi="Arial"/>
      <w:b/>
      <w:iCs/>
      <w:sz w:val="32"/>
      <w14:scene3d>
        <w14:camera w14:prst="orthographicFront"/>
        <w14:lightRig w14:rig="threePt" w14:dir="t">
          <w14:rot w14:lat="0" w14:lon="0" w14:rev="0"/>
        </w14:lightRig>
      </w14:scene3d>
    </w:rPr>
  </w:style>
  <w:style w:type="paragraph" w:styleId="BodyText">
    <w:name w:val="Body Text"/>
    <w:aliases w:val="PMG-BodyText"/>
    <w:link w:val="BodyTextChar"/>
    <w:uiPriority w:val="99"/>
    <w:unhideWhenUsed/>
    <w:qFormat/>
    <w:rsid w:val="00C94F3E"/>
    <w:pPr>
      <w:spacing w:before="240" w:after="240"/>
      <w:jc w:val="both"/>
    </w:pPr>
    <w:rPr>
      <w:rFonts w:ascii="Arial" w:hAnsi="Arial"/>
      <w:sz w:val="24"/>
    </w:rPr>
  </w:style>
  <w:style w:type="character" w:customStyle="1" w:styleId="BodyTextChar">
    <w:name w:val="Body Text Char"/>
    <w:aliases w:val="PMG-BodyText Char"/>
    <w:basedOn w:val="DefaultParagraphFont"/>
    <w:link w:val="BodyText"/>
    <w:uiPriority w:val="99"/>
    <w:rsid w:val="00C94F3E"/>
    <w:rPr>
      <w:rFonts w:ascii="Arial" w:hAnsi="Arial"/>
      <w:sz w:val="24"/>
    </w:rPr>
  </w:style>
  <w:style w:type="character" w:customStyle="1" w:styleId="Heading8Char">
    <w:name w:val="Heading 8 Char"/>
    <w:aliases w:val="FDM-TxtChapNum Char"/>
    <w:basedOn w:val="DefaultParagraphFont"/>
    <w:link w:val="Heading8"/>
    <w:uiPriority w:val="9"/>
    <w:rsid w:val="008F77D3"/>
    <w:rPr>
      <w:rFonts w:ascii="Arial" w:eastAsiaTheme="majorEastAsia" w:hAnsi="Arial" w:cstheme="majorBidi"/>
      <w:b/>
      <w:color w:val="272727" w:themeColor="text1" w:themeTint="D8"/>
      <w:sz w:val="32"/>
      <w:szCs w:val="21"/>
    </w:rPr>
  </w:style>
  <w:style w:type="paragraph" w:styleId="Header">
    <w:name w:val="header"/>
    <w:link w:val="HeaderChar"/>
    <w:uiPriority w:val="99"/>
    <w:unhideWhenUsed/>
    <w:rsid w:val="004379D9"/>
    <w:pPr>
      <w:tabs>
        <w:tab w:val="right" w:pos="9360"/>
      </w:tabs>
    </w:pPr>
    <w:rPr>
      <w:rFonts w:ascii="Arial" w:hAnsi="Arial"/>
      <w:sz w:val="20"/>
    </w:rPr>
  </w:style>
  <w:style w:type="character" w:customStyle="1" w:styleId="HeaderChar">
    <w:name w:val="Header Char"/>
    <w:basedOn w:val="DefaultParagraphFont"/>
    <w:link w:val="Header"/>
    <w:uiPriority w:val="99"/>
    <w:rsid w:val="004379D9"/>
    <w:rPr>
      <w:rFonts w:ascii="Arial" w:hAnsi="Arial"/>
      <w:sz w:val="20"/>
    </w:rPr>
  </w:style>
  <w:style w:type="paragraph" w:styleId="Footer">
    <w:name w:val="footer"/>
    <w:link w:val="FooterChar"/>
    <w:unhideWhenUsed/>
    <w:rsid w:val="004379D9"/>
    <w:pPr>
      <w:tabs>
        <w:tab w:val="right" w:pos="9360"/>
      </w:tabs>
    </w:pPr>
    <w:rPr>
      <w:rFonts w:ascii="Arial" w:hAnsi="Arial"/>
      <w:sz w:val="20"/>
    </w:rPr>
  </w:style>
  <w:style w:type="character" w:customStyle="1" w:styleId="FooterChar">
    <w:name w:val="Footer Char"/>
    <w:basedOn w:val="DefaultParagraphFont"/>
    <w:link w:val="Footer"/>
    <w:rsid w:val="004379D9"/>
    <w:rPr>
      <w:rFonts w:ascii="Arial" w:hAnsi="Arial"/>
      <w:sz w:val="20"/>
    </w:rPr>
  </w:style>
  <w:style w:type="paragraph" w:styleId="CommentSubject">
    <w:name w:val="annotation subject"/>
    <w:basedOn w:val="CommentText"/>
    <w:next w:val="CommentText"/>
    <w:link w:val="CommentSubjectChar"/>
    <w:uiPriority w:val="99"/>
    <w:semiHidden/>
    <w:unhideWhenUsed/>
    <w:rsid w:val="0084495C"/>
    <w:rPr>
      <w:rFonts w:eastAsiaTheme="minorHAnsi" w:cstheme="minorBidi"/>
      <w:b/>
      <w:bCs/>
    </w:rPr>
  </w:style>
  <w:style w:type="character" w:customStyle="1" w:styleId="CommentSubjectChar">
    <w:name w:val="Comment Subject Char"/>
    <w:basedOn w:val="CommentTextChar"/>
    <w:link w:val="CommentSubject"/>
    <w:uiPriority w:val="99"/>
    <w:semiHidden/>
    <w:rsid w:val="0084495C"/>
    <w:rPr>
      <w:rFonts w:ascii="Arial" w:eastAsia="Calibri" w:hAnsi="Arial" w:cs="Times New Roman"/>
      <w:b/>
      <w:bCs/>
      <w:sz w:val="20"/>
      <w:szCs w:val="20"/>
    </w:rPr>
  </w:style>
  <w:style w:type="character" w:styleId="Hyperlink">
    <w:name w:val="Hyperlink"/>
    <w:basedOn w:val="DefaultParagraphFont"/>
    <w:uiPriority w:val="99"/>
    <w:unhideWhenUsed/>
    <w:rsid w:val="00EA0960"/>
    <w:rPr>
      <w:color w:val="0563C1" w:themeColor="hyperlink"/>
      <w:u w:val="single"/>
    </w:rPr>
  </w:style>
  <w:style w:type="character" w:styleId="UnresolvedMention">
    <w:name w:val="Unresolved Mention"/>
    <w:basedOn w:val="DefaultParagraphFont"/>
    <w:uiPriority w:val="99"/>
    <w:semiHidden/>
    <w:unhideWhenUsed/>
    <w:rsid w:val="00EA0960"/>
    <w:rPr>
      <w:color w:val="605E5C"/>
      <w:shd w:val="clear" w:color="auto" w:fill="E1DFDD"/>
    </w:rPr>
  </w:style>
  <w:style w:type="character" w:styleId="FollowedHyperlink">
    <w:name w:val="FollowedHyperlink"/>
    <w:basedOn w:val="DefaultParagraphFont"/>
    <w:uiPriority w:val="99"/>
    <w:semiHidden/>
    <w:unhideWhenUsed/>
    <w:rsid w:val="000D05A4"/>
    <w:rPr>
      <w:color w:val="954F72" w:themeColor="followedHyperlink"/>
      <w:u w:val="single"/>
    </w:rPr>
  </w:style>
  <w:style w:type="paragraph" w:customStyle="1" w:styleId="Default">
    <w:name w:val="Default"/>
    <w:rsid w:val="00C84E6A"/>
    <w:pPr>
      <w:autoSpaceDE w:val="0"/>
      <w:autoSpaceDN w:val="0"/>
      <w:adjustRightInd w:val="0"/>
    </w:pPr>
    <w:rPr>
      <w:rFonts w:ascii="Times New Roman" w:eastAsia="Times New Roman" w:hAnsi="Times New Roman" w:cs="Times New Roman"/>
      <w:color w:val="000000"/>
      <w:sz w:val="24"/>
      <w:szCs w:val="24"/>
    </w:rPr>
  </w:style>
  <w:style w:type="paragraph" w:styleId="TOCHeading">
    <w:name w:val="TOC Heading"/>
    <w:basedOn w:val="Heading1"/>
    <w:next w:val="Normal"/>
    <w:uiPriority w:val="39"/>
    <w:unhideWhenUsed/>
    <w:qFormat/>
    <w:rsid w:val="00B35C57"/>
    <w:pPr>
      <w:tabs>
        <w:tab w:val="clear" w:pos="1440"/>
      </w:tabs>
      <w:spacing w:before="240" w:after="0" w:line="259" w:lineRule="auto"/>
      <w:outlineLvl w:val="9"/>
    </w:pPr>
    <w:rPr>
      <w:rFonts w:asciiTheme="majorHAnsi" w:hAnsiTheme="majorHAnsi"/>
      <w:b w:val="0"/>
      <w:color w:val="2E74B5" w:themeColor="accent1" w:themeShade="BF"/>
    </w:rPr>
  </w:style>
  <w:style w:type="paragraph" w:styleId="TOC1">
    <w:name w:val="toc 1"/>
    <w:basedOn w:val="Normal"/>
    <w:next w:val="Normal"/>
    <w:autoRedefine/>
    <w:uiPriority w:val="39"/>
    <w:unhideWhenUsed/>
    <w:rsid w:val="00B35C57"/>
    <w:pPr>
      <w:spacing w:after="100"/>
    </w:pPr>
  </w:style>
  <w:style w:type="paragraph" w:customStyle="1" w:styleId="PMG-Body1">
    <w:name w:val="PMG-Body1"/>
    <w:basedOn w:val="BodyText"/>
    <w:autoRedefine/>
    <w:qFormat/>
    <w:rsid w:val="00A9290E"/>
    <w:pPr>
      <w:spacing w:after="120"/>
    </w:pPr>
  </w:style>
  <w:style w:type="paragraph" w:customStyle="1" w:styleId="1MPSectHeader">
    <w:name w:val="1MPSectHeader"/>
    <w:rsid w:val="00D96F3A"/>
    <w:pPr>
      <w:spacing w:before="360" w:after="57"/>
    </w:pPr>
    <w:rPr>
      <w:rFonts w:ascii="Myriad Roman" w:eastAsia="Times New Roman" w:hAnsi="Myriad Roman" w:cs="Times New Roman"/>
      <w:b/>
      <w:sz w:val="28"/>
      <w:szCs w:val="20"/>
    </w:rPr>
  </w:style>
  <w:style w:type="paragraph" w:customStyle="1" w:styleId="BodyCopy">
    <w:name w:val="Body Copy"/>
    <w:rsid w:val="007440ED"/>
    <w:pPr>
      <w:keepLines/>
      <w:spacing w:after="115" w:line="260" w:lineRule="exact"/>
    </w:pPr>
    <w:rPr>
      <w:rFonts w:ascii="Myriad Roman" w:eastAsia="Times New Roman" w:hAnsi="Myriad Roman" w:cs="Times New Roman"/>
      <w:sz w:val="20"/>
      <w:szCs w:val="20"/>
    </w:rPr>
  </w:style>
  <w:style w:type="paragraph" w:customStyle="1" w:styleId="BullettsLevel1">
    <w:name w:val="Bulletts Level 1"/>
    <w:rsid w:val="007440ED"/>
    <w:pPr>
      <w:spacing w:before="115" w:after="57"/>
      <w:ind w:left="432" w:right="287" w:hanging="288"/>
    </w:pPr>
    <w:rPr>
      <w:rFonts w:ascii="Myriad Roman" w:eastAsia="Times New Roman" w:hAnsi="Myriad Roman" w:cs="Times New Roman"/>
      <w:sz w:val="20"/>
      <w:szCs w:val="20"/>
    </w:rPr>
  </w:style>
  <w:style w:type="character" w:customStyle="1" w:styleId="bolditalic">
    <w:name w:val="bold italic"/>
    <w:rsid w:val="007440ED"/>
    <w:rPr>
      <w:rFonts w:ascii="Myriad Roman" w:hAnsi="Myriad Roman"/>
      <w:b/>
      <w:i/>
    </w:rPr>
  </w:style>
  <w:style w:type="paragraph" w:customStyle="1" w:styleId="PMG-Sect">
    <w:name w:val="PMG-Sect"/>
    <w:basedOn w:val="Heading1"/>
    <w:rsid w:val="00E17D85"/>
    <w:rPr>
      <w:caps/>
    </w:rPr>
  </w:style>
  <w:style w:type="paragraph" w:customStyle="1" w:styleId="PMG-head">
    <w:name w:val="PMG-head"/>
    <w:basedOn w:val="Heading1"/>
    <w:rsid w:val="00E17D85"/>
    <w:rPr>
      <w:caps/>
    </w:rPr>
  </w:style>
  <w:style w:type="paragraph" w:customStyle="1" w:styleId="PMG-Sub2">
    <w:name w:val="PMG-Sub2"/>
    <w:basedOn w:val="Heading3"/>
    <w:qFormat/>
    <w:rsid w:val="00E17D85"/>
    <w:rPr>
      <w:caps/>
    </w:rPr>
  </w:style>
  <w:style w:type="paragraph" w:customStyle="1" w:styleId="PMG-Bullets">
    <w:name w:val="PMG-Bullets"/>
    <w:basedOn w:val="PMG-Body1"/>
    <w:qFormat/>
    <w:rsid w:val="00030B7C"/>
    <w:pPr>
      <w:numPr>
        <w:numId w:val="28"/>
      </w:numPr>
      <w:spacing w:before="120"/>
    </w:pPr>
  </w:style>
  <w:style w:type="paragraph" w:customStyle="1" w:styleId="PMG-Sub2Num">
    <w:name w:val="PMG-Sub2Num"/>
    <w:basedOn w:val="PMG-Body1"/>
    <w:qFormat/>
    <w:rsid w:val="00030B7C"/>
    <w:pPr>
      <w:ind w:left="720" w:hanging="360"/>
    </w:pPr>
  </w:style>
  <w:style w:type="paragraph" w:customStyle="1" w:styleId="PMG-Body2">
    <w:name w:val="PMG-Body2"/>
    <w:basedOn w:val="PMG-Body"/>
    <w:qFormat/>
    <w:rsid w:val="00312A93"/>
    <w:pPr>
      <w:ind w:left="360"/>
    </w:pPr>
  </w:style>
  <w:style w:type="paragraph" w:customStyle="1" w:styleId="PMG-Body0">
    <w:name w:val="PMG-Body0"/>
    <w:basedOn w:val="PMG-Body"/>
    <w:qFormat/>
    <w:rsid w:val="008A524A"/>
    <w:pPr>
      <w:spacing w:before="0"/>
    </w:pPr>
  </w:style>
  <w:style w:type="paragraph" w:customStyle="1" w:styleId="PGM-Num">
    <w:name w:val="PGM-Num"/>
    <w:basedOn w:val="PMG-Body1"/>
    <w:qFormat/>
    <w:rsid w:val="008A524A"/>
    <w:pPr>
      <w:numPr>
        <w:numId w:val="29"/>
      </w:numPr>
    </w:pPr>
  </w:style>
  <w:style w:type="paragraph" w:customStyle="1" w:styleId="PMG-Sub1">
    <w:name w:val="PMG-Sub1"/>
    <w:basedOn w:val="Heading2"/>
    <w:qFormat/>
    <w:rsid w:val="00992CBB"/>
  </w:style>
  <w:style w:type="paragraph" w:customStyle="1" w:styleId="BodyText2">
    <w:name w:val="Body Text2"/>
    <w:aliases w:val="PMG-BodyText2"/>
    <w:basedOn w:val="BodyText"/>
    <w:autoRedefine/>
    <w:qFormat/>
    <w:rsid w:val="001B12DA"/>
    <w:pPr>
      <w:spacing w:before="120"/>
    </w:pPr>
  </w:style>
  <w:style w:type="paragraph" w:styleId="Revision">
    <w:name w:val="Revision"/>
    <w:hidden/>
    <w:uiPriority w:val="99"/>
    <w:semiHidden/>
    <w:rsid w:val="00C92407"/>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dl.fdot.gov/api/procedures/downloadProcedure/350-020-200"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dl.fdot.gov/api/procedures/downloadProcedure/375-030-010"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fdot.gov/procurement/pdf/negot.pdf" TargetMode="External"/><Relationship Id="rId4" Type="http://schemas.openxmlformats.org/officeDocument/2006/relationships/settings" Target="settings.xml"/><Relationship Id="rId9" Type="http://schemas.openxmlformats.org/officeDocument/2006/relationships/hyperlink" Target="https://pdl.fdot.gov/api/procedures/downloadProcedure/375-030-002" TargetMode="Externa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s972ma\Desktop\New%20folder\FDMTemplate%20(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E8D5BA3-5634-4A69-9552-B323901A23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FDMTemplate (1)</Template>
  <TotalTime>2</TotalTime>
  <Pages>3</Pages>
  <Words>1138</Words>
  <Characters>6317</Characters>
  <Application>Microsoft Office Word</Application>
  <DocSecurity>0</DocSecurity>
  <Lines>126</Lines>
  <Paragraphs>37</Paragraphs>
  <ScaleCrop>false</ScaleCrop>
  <HeadingPairs>
    <vt:vector size="2" baseType="variant">
      <vt:variant>
        <vt:lpstr>Title</vt:lpstr>
      </vt:variant>
      <vt:variant>
        <vt:i4>1</vt:i4>
      </vt:variant>
    </vt:vector>
  </HeadingPairs>
  <TitlesOfParts>
    <vt:vector size="1" baseType="lpstr">
      <vt:lpstr>235 - Contract Management</vt:lpstr>
    </vt:vector>
  </TitlesOfParts>
  <Company/>
  <LinksUpToDate>false</LinksUpToDate>
  <CharactersWithSpaces>7418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235 - Contract Management</dc:title>
  <dc:subject/>
  <dc:creator>Amicarelli, Mariano</dc:creator>
  <cp:keywords/>
  <dc:description/>
  <cp:lastModifiedBy>Perlis, Gabriella</cp:lastModifiedBy>
  <cp:revision>3</cp:revision>
  <cp:lastPrinted>2024-02-21T18:59:00Z</cp:lastPrinted>
  <dcterms:created xsi:type="dcterms:W3CDTF">2024-09-18T16:53:00Z</dcterms:created>
  <dcterms:modified xsi:type="dcterms:W3CDTF">2024-11-05T17:58:00Z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4438be828aa911032184cfdf6a65815c091feb8b52f43a4a72f7240eb7077ff8</vt:lpwstr>
  </property>
</Properties>
</file>