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FF25" w14:textId="77777777" w:rsidR="00005020" w:rsidRPr="00852C93" w:rsidRDefault="00005020" w:rsidP="00852C93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0" w:name="_GoBack"/>
      <w:bookmarkEnd w:id="0"/>
      <w:r w:rsidRPr="00852C9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LRE REVIEW GUIDELINE (RRR)</w:t>
      </w:r>
    </w:p>
    <w:p w14:paraId="0B2EFF26" w14:textId="65A3D862" w:rsidR="00005020" w:rsidRDefault="00005020" w:rsidP="00852C93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(Updated </w:t>
      </w:r>
      <w:r w:rsidR="00DA4F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February </w:t>
      </w:r>
      <w:r w:rsidR="002148F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/201</w:t>
      </w:r>
      <w:r w:rsidR="00DA4F96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8</w:t>
      </w:r>
      <w:r w:rsidRPr="00852C9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)</w:t>
      </w:r>
    </w:p>
    <w:p w14:paraId="0B2EFF27" w14:textId="77777777" w:rsidR="001F5BF9" w:rsidRPr="00852C93" w:rsidRDefault="001F5BF9" w:rsidP="00852C93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28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All projects must have the name of the FDOT project manager.</w:t>
      </w:r>
    </w:p>
    <w:p w14:paraId="0B2EFF29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2A" w14:textId="210BC31D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1. Landscaping – </w:t>
      </w:r>
      <w:r w:rsidR="0072109F">
        <w:rPr>
          <w:rFonts w:ascii="Verdana" w:eastAsia="Times New Roman" w:hAnsi="Verdana" w:cs="Times New Roman"/>
          <w:color w:val="000000"/>
          <w:sz w:val="24"/>
          <w:szCs w:val="24"/>
        </w:rPr>
        <w:t xml:space="preserve">Contact either Elisabeth Hassett or Leslie Wetherell to verify projects that should include this work. </w:t>
      </w:r>
    </w:p>
    <w:p w14:paraId="0B2EFF2B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2C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2. Mobilization Factor 8%</w:t>
      </w:r>
    </w:p>
    <w:p w14:paraId="0B2EFF2D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2E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3. Maintenance of Traffic 10%</w:t>
      </w:r>
    </w:p>
    <w:p w14:paraId="0B2EFF2F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0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4. Drainage - Check with the Drainage Department to see if drainage maps are needed. Check for inquiries and impacts. Drainage work will be limited to isolated areas which </w:t>
      </w:r>
      <w:r w:rsidR="005F2CF4" w:rsidRPr="00AE3344">
        <w:rPr>
          <w:rFonts w:ascii="Verdana" w:eastAsia="Times New Roman" w:hAnsi="Verdana" w:cs="Times New Roman"/>
          <w:sz w:val="24"/>
          <w:szCs w:val="24"/>
        </w:rPr>
        <w:t xml:space="preserve">affect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safety or pavement stability.</w:t>
      </w:r>
    </w:p>
    <w:p w14:paraId="0B2EFF31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2" w14:textId="27C9A53D" w:rsidR="00005020" w:rsidRDefault="00005020" w:rsidP="009B1EEE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5. Check with Local Agency for additional work or future work associated with project including utilities.</w:t>
      </w:r>
      <w:r w:rsidR="009B1EEE" w:rsidRPr="009B1EEE">
        <w:rPr>
          <w:rFonts w:ascii="Calibri" w:hAnsi="Calibri" w:cs="Calibri"/>
        </w:rPr>
        <w:t xml:space="preserve"> </w:t>
      </w:r>
      <w:r w:rsidR="009B1EEE" w:rsidRPr="009B1EEE">
        <w:rPr>
          <w:rFonts w:ascii="Verdana" w:eastAsia="Times New Roman" w:hAnsi="Verdana" w:cs="Times New Roman"/>
          <w:color w:val="000000"/>
          <w:sz w:val="24"/>
          <w:szCs w:val="24"/>
        </w:rPr>
        <w:t>All projects should have the standard 999-25 contingency. </w:t>
      </w:r>
      <w:r w:rsidR="009B1EEE" w:rsidRPr="009B1EEE">
        <w:rPr>
          <w:rFonts w:ascii="Verdana" w:eastAsia="Times New Roman" w:hAnsi="Verdana" w:cs="Times New Roman"/>
          <w:color w:val="000000"/>
          <w:sz w:val="24"/>
          <w:szCs w:val="24"/>
        </w:rPr>
        <w:br/>
        <w:t>Projects that have a LF contribution, need to have an EX-item for 20% contingency (of the LF amount).  This is in addition to the standard 999-25 contingency.</w:t>
      </w:r>
    </w:p>
    <w:p w14:paraId="0B2EFF33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4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6. Turn Lanes – Include additional quantities for asphalt as a x-item. Turn lanes modifications or ramp extensions should only be funded by RRR dollars if verified accident data and/or located at signalized intersections. Other locations may be addressed if recommended and potentially funded by the safety review or study. If you have numerous left/right turn lanes you may add an additional lane for resurfacing as an x-item. Bike lanes should be added if there is adequate Right of Way.</w:t>
      </w:r>
    </w:p>
    <w:p w14:paraId="0B2EFF35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6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7. Signalization – Mast arm upgrade should not be included as part of the LRE until verified as deficient based on signalization replacement criteria. (See Knowledge Based Website under “Design Process - Stra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in pole design/replacement Crit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eria (Mast Arm policy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”</w:t>
      </w:r>
    </w:p>
    <w:p w14:paraId="0B2EFF37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8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8. Lighting – Lighting plans should not be included as part of the LRE until verified as needed based on verified crash history.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The addition of proposed lighting s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hould be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a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recommendation from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a Safety R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eview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or a Safety S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tudy. </w:t>
      </w:r>
    </w:p>
    <w:p w14:paraId="0B2EFF39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A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9.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Median Modifications -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As a rule, access Management construction will only be done at those locations which have verified accident history. (See safety review recommendations.) </w:t>
      </w:r>
    </w:p>
    <w:p w14:paraId="0B2EFF3B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C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10. Cantilever Signs – Include at intersections of State Roads if required.</w:t>
      </w:r>
    </w:p>
    <w:p w14:paraId="0B2EFF3D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3E" w14:textId="77777777" w:rsidR="00C97F05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11. Bus Bays - Include costs for additional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asphalt and additional concrete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(Benches and Shelters are to be paid for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 by the local Transit Authority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)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0B2EFF3F" w14:textId="77777777" w:rsidR="00005020" w:rsidRPr="00852C93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0B2EFF40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12. Noise walls – Include square footage of walls including height and any special foundations required.</w:t>
      </w:r>
    </w:p>
    <w:p w14:paraId="0B2EFF41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42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13. Brick Pavers – Include proper Pay Items and criteria. Pavers are not to be placed across State roads. </w:t>
      </w:r>
      <w:r w:rsidR="005F2CF4" w:rsidRPr="00AE3344">
        <w:rPr>
          <w:rFonts w:ascii="Verdana" w:eastAsia="Times New Roman" w:hAnsi="Verdana" w:cs="Times New Roman"/>
          <w:sz w:val="24"/>
          <w:szCs w:val="24"/>
        </w:rPr>
        <w:t xml:space="preserve">If Patterned Pavement is proposed, an MOA is required, except for Green Bike Lanes. </w:t>
      </w:r>
    </w:p>
    <w:p w14:paraId="0B2EFF43" w14:textId="77777777" w:rsidR="005F2CF4" w:rsidRPr="005F2CF4" w:rsidRDefault="005F2CF4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0B2EFF44" w14:textId="77777777" w:rsidR="00005020" w:rsidRPr="005F2CF4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14. Special Detours – Include estimated costs for each detour</w:t>
      </w:r>
      <w:r w:rsidR="005F2CF4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="005F2CF4" w:rsidRPr="00AE3344">
        <w:rPr>
          <w:rFonts w:ascii="Verdana" w:eastAsia="Times New Roman" w:hAnsi="Verdana" w:cs="Times New Roman"/>
          <w:sz w:val="24"/>
          <w:szCs w:val="24"/>
        </w:rPr>
        <w:t xml:space="preserve"> Refer to Estimates Bulletin 14-06 for when to include Special Detours.</w:t>
      </w:r>
    </w:p>
    <w:p w14:paraId="0B2EFF45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46" w14:textId="77777777" w:rsidR="00AE3344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15. Bridges – Increase or decrease multiplier based o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n complexity.</w:t>
      </w:r>
      <w:r w:rsidR="00C97F05" w:rsidRPr="00AE3344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5F2CF4" w:rsidRPr="00AE3344">
        <w:rPr>
          <w:rFonts w:ascii="Verdana" w:eastAsia="Times New Roman" w:hAnsi="Verdana" w:cs="Times New Roman"/>
          <w:sz w:val="24"/>
          <w:szCs w:val="24"/>
        </w:rPr>
        <w:t xml:space="preserve">Justification for the increase/decrease of the bridge multiplier is required. </w:t>
      </w:r>
    </w:p>
    <w:p w14:paraId="0B2EFF47" w14:textId="77777777" w:rsidR="00AE3344" w:rsidRDefault="00AE3344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</w:p>
    <w:p w14:paraId="0B2EFF48" w14:textId="77777777" w:rsidR="00005020" w:rsidRPr="005F2CF4" w:rsidRDefault="00C97F05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FF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Bridge rails need</w:t>
      </w:r>
      <w:r w:rsidR="00005020"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to be verified as up to date or replaced. If you are not sure include in the estimate for each bridge/structure.</w:t>
      </w:r>
      <w:r w:rsidR="005F2CF4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0B2EFF49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4A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16. EX-Items – Are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>only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used for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  <w:u w:val="single"/>
        </w:rPr>
        <w:t xml:space="preserve">specialty work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with no Pay Items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such as Toll Gantries and Toll Buildings. </w:t>
      </w:r>
    </w:p>
    <w:p w14:paraId="0B2EFF4B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4C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17. Illuminated Signs - Update all signalized intersections.</w:t>
      </w:r>
    </w:p>
    <w:p w14:paraId="0B2EFF4D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4E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18. Resurfacing Projects - Lane Mile cost range will vary depending on the </w:t>
      </w:r>
      <w:r w:rsidR="004C0CE9">
        <w:rPr>
          <w:rFonts w:ascii="Verdana" w:eastAsia="Times New Roman" w:hAnsi="Verdana" w:cs="Times New Roman"/>
          <w:color w:val="000000"/>
          <w:sz w:val="24"/>
          <w:szCs w:val="24"/>
        </w:rPr>
        <w:t>complexity of the project. Minim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um 2" milling and 2" resurfacing. </w:t>
      </w:r>
    </w:p>
    <w:p w14:paraId="0B2EFF4F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0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19. Resurfacing Projects -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 Areas where prevale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nt rutting is observed should be accounted for in milling thickness and additional tonnage required. This should be included as an x items with the associated sequence.</w:t>
      </w:r>
    </w:p>
    <w:p w14:paraId="0B2EFF51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4" w14:textId="307802BE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20. Please </w:t>
      </w:r>
      <w:r w:rsidR="00DA4F96">
        <w:rPr>
          <w:rFonts w:ascii="Verdana" w:eastAsia="Times New Roman" w:hAnsi="Verdana" w:cs="Times New Roman"/>
          <w:color w:val="000000"/>
          <w:sz w:val="24"/>
          <w:szCs w:val="24"/>
        </w:rPr>
        <w:t xml:space="preserve">remember we do not use the contingencies anymore. </w:t>
      </w:r>
    </w:p>
    <w:p w14:paraId="0B2EFF55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6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21. You may check the LRE Designer Interface for price information</w:t>
      </w:r>
      <w:r w:rsidR="00E41102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0B2EFF57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8" w14:textId="77777777" w:rsidR="00005020" w:rsidRPr="00852C93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22. Include Non-Bid items</w:t>
      </w:r>
    </w:p>
    <w:p w14:paraId="0B2EFF59" w14:textId="77777777" w:rsidR="00005020" w:rsidRPr="00852C93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LRE's over $2 million: Include pay item 999-16 with a quantity of 2 days</w:t>
      </w:r>
    </w:p>
    <w:p w14:paraId="0B2EFF5A" w14:textId="4E4515E0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LRE's over $15 million: Include </w:t>
      </w:r>
      <w:r w:rsidR="004E2573">
        <w:rPr>
          <w:rFonts w:ascii="Verdana" w:eastAsia="Times New Roman" w:hAnsi="Verdana" w:cs="Times New Roman"/>
          <w:color w:val="000000"/>
          <w:sz w:val="24"/>
          <w:szCs w:val="24"/>
        </w:rPr>
        <w:t xml:space="preserve">both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pay item</w:t>
      </w:r>
      <w:r w:rsidR="004E2573">
        <w:rPr>
          <w:rFonts w:ascii="Verdana" w:eastAsia="Times New Roman" w:hAnsi="Verdana" w:cs="Times New Roman"/>
          <w:color w:val="000000"/>
          <w:sz w:val="24"/>
          <w:szCs w:val="24"/>
        </w:rPr>
        <w:t>s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999-20</w:t>
      </w:r>
      <w:r w:rsidR="004E2573">
        <w:rPr>
          <w:rFonts w:ascii="Verdana" w:eastAsia="Times New Roman" w:hAnsi="Verdana" w:cs="Times New Roman"/>
          <w:color w:val="000000"/>
          <w:sz w:val="24"/>
          <w:szCs w:val="24"/>
        </w:rPr>
        <w:t>-1 and 999-20-2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with a quantity </w:t>
      </w:r>
      <w:r w:rsidR="004E2573">
        <w:rPr>
          <w:rFonts w:ascii="Verdana" w:eastAsia="Times New Roman" w:hAnsi="Verdana" w:cs="Times New Roman"/>
          <w:color w:val="000000"/>
          <w:sz w:val="24"/>
          <w:szCs w:val="24"/>
        </w:rPr>
        <w:t>as per BOE</w:t>
      </w:r>
    </w:p>
    <w:p w14:paraId="50E520B1" w14:textId="77777777" w:rsidR="008B610C" w:rsidRDefault="008B610C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123FB0D" w14:textId="5C62BF8B" w:rsidR="008B610C" w:rsidRDefault="008B610C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23. Off-System roadways are not to have pay items for Mowing and Litter Removal</w:t>
      </w:r>
    </w:p>
    <w:p w14:paraId="0B2EFF5B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C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ADDITIONAL GUIDELINES</w:t>
      </w:r>
    </w:p>
    <w:p w14:paraId="0B2EFF5D" w14:textId="77777777" w:rsidR="00D21FB1" w:rsidRPr="00852C93" w:rsidRDefault="00D21FB1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5E" w14:textId="77777777" w:rsidR="00A00DAE" w:rsidRDefault="00A00DAE" w:rsidP="00A00DAE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r w:rsidR="00005020" w:rsidRPr="00A00DAE">
        <w:rPr>
          <w:rFonts w:ascii="Verdana" w:eastAsia="Times New Roman" w:hAnsi="Verdana" w:cs="Times New Roman"/>
          <w:color w:val="000000"/>
          <w:sz w:val="24"/>
          <w:szCs w:val="24"/>
        </w:rPr>
        <w:t>If a consultant needs to access the LRE of a project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005020" w:rsidRPr="00A00DAE">
        <w:rPr>
          <w:rFonts w:ascii="Verdana" w:eastAsia="Times New Roman" w:hAnsi="Verdana" w:cs="Times New Roman"/>
          <w:color w:val="000000"/>
          <w:sz w:val="24"/>
          <w:szCs w:val="24"/>
        </w:rPr>
        <w:t xml:space="preserve"> please provide the FDOT Project Manager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005020" w:rsidRPr="00A00DAE">
        <w:rPr>
          <w:rFonts w:ascii="Verdana" w:eastAsia="Times New Roman" w:hAnsi="Verdana" w:cs="Times New Roman"/>
          <w:color w:val="000000"/>
          <w:sz w:val="24"/>
          <w:szCs w:val="24"/>
        </w:rPr>
        <w:t xml:space="preserve"> through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an </w:t>
      </w:r>
      <w:r w:rsidR="00005020" w:rsidRPr="00A00DAE">
        <w:rPr>
          <w:rFonts w:ascii="Verdana" w:eastAsia="Times New Roman" w:hAnsi="Verdana" w:cs="Times New Roman"/>
          <w:color w:val="000000"/>
          <w:sz w:val="24"/>
          <w:szCs w:val="24"/>
        </w:rPr>
        <w:t>email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="00005020" w:rsidRPr="00A00DAE">
        <w:rPr>
          <w:rFonts w:ascii="Verdana" w:eastAsia="Times New Roman" w:hAnsi="Verdana" w:cs="Times New Roman"/>
          <w:color w:val="000000"/>
          <w:sz w:val="24"/>
          <w:szCs w:val="24"/>
        </w:rPr>
        <w:t xml:space="preserve"> the financial project number, firm name, user id, email address and name of the person doing the input.</w:t>
      </w:r>
    </w:p>
    <w:p w14:paraId="0B2EFF5F" w14:textId="77777777" w:rsidR="00A00DAE" w:rsidRPr="00A00DAE" w:rsidRDefault="00A00DAE" w:rsidP="00A00DAE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60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2.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 xml:space="preserve">For a 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FDOT person or an FDOT Project Manager who needs access to an existing LRE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please provide Final Plans, through an email, the FM project number, user id and name of the requested person to have access</w:t>
      </w:r>
      <w:r w:rsidR="00E41102">
        <w:rPr>
          <w:rFonts w:ascii="Verdana" w:eastAsia="Times New Roman" w:hAnsi="Verdana" w:cs="Times New Roman"/>
          <w:color w:val="000000"/>
          <w:sz w:val="24"/>
          <w:szCs w:val="24"/>
        </w:rPr>
        <w:t>.</w:t>
      </w:r>
    </w:p>
    <w:p w14:paraId="0B2EFF61" w14:textId="77777777" w:rsidR="00C97F05" w:rsidRPr="00852C93" w:rsidRDefault="00C97F05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62" w14:textId="77777777" w:rsidR="00A00DAE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3. If you are submitting a Trns*port estimate for your project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,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you </w:t>
      </w:r>
      <w:r w:rsidR="00C97F05">
        <w:rPr>
          <w:rFonts w:ascii="Verdana" w:eastAsia="Times New Roman" w:hAnsi="Verdana" w:cs="Times New Roman"/>
          <w:color w:val="000000"/>
          <w:sz w:val="24"/>
          <w:szCs w:val="24"/>
        </w:rPr>
        <w:t>are still required to provide a cost</w:t>
      </w: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estimate. You may get estimated costs from the LRE Designer Interface or from estimated costs provided by others/consultants, or States Estimates website.</w:t>
      </w:r>
    </w:p>
    <w:p w14:paraId="0B2EFF63" w14:textId="77777777" w:rsidR="00005020" w:rsidRPr="00852C93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</w:p>
    <w:p w14:paraId="0B2EFF64" w14:textId="77777777" w:rsidR="00005020" w:rsidRDefault="00005020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4. Part of the RRR process is the creation of an initial scope history based on "concept report" developed for each candidate project.</w:t>
      </w:r>
    </w:p>
    <w:p w14:paraId="0B2EFF65" w14:textId="77777777" w:rsidR="00A00DAE" w:rsidRPr="00852C93" w:rsidRDefault="00A00DAE" w:rsidP="00852C93">
      <w:pPr>
        <w:spacing w:after="0" w:line="240" w:lineRule="auto"/>
        <w:textAlignment w:val="top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0B2EFF67" w14:textId="3D7B069D" w:rsidR="00534934" w:rsidRDefault="00005020" w:rsidP="009B1EEE">
      <w:pPr>
        <w:spacing w:after="0" w:line="240" w:lineRule="auto"/>
        <w:textAlignment w:val="top"/>
      </w:pPr>
      <w:r w:rsidRPr="00852C93">
        <w:rPr>
          <w:rFonts w:ascii="Verdana" w:eastAsia="Times New Roman" w:hAnsi="Verdana" w:cs="Times New Roman"/>
          <w:color w:val="000000"/>
          <w:sz w:val="24"/>
          <w:szCs w:val="24"/>
        </w:rPr>
        <w:t>5. Adjacent project or recently completed project in the project limits needs to be noted in the scoping report and described in the LRE.</w:t>
      </w:r>
    </w:p>
    <w:sectPr w:rsidR="00534934" w:rsidSect="00925E37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B96"/>
    <w:multiLevelType w:val="hybridMultilevel"/>
    <w:tmpl w:val="6D9C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20"/>
    <w:rsid w:val="00005020"/>
    <w:rsid w:val="00061153"/>
    <w:rsid w:val="00087EC8"/>
    <w:rsid w:val="000E7381"/>
    <w:rsid w:val="001F5BF9"/>
    <w:rsid w:val="002148F6"/>
    <w:rsid w:val="00255166"/>
    <w:rsid w:val="002F0382"/>
    <w:rsid w:val="00472744"/>
    <w:rsid w:val="004C0CE9"/>
    <w:rsid w:val="004E2573"/>
    <w:rsid w:val="00501B2D"/>
    <w:rsid w:val="00534934"/>
    <w:rsid w:val="0054309D"/>
    <w:rsid w:val="00566A3D"/>
    <w:rsid w:val="00586050"/>
    <w:rsid w:val="005F2CF4"/>
    <w:rsid w:val="006847D7"/>
    <w:rsid w:val="006872FB"/>
    <w:rsid w:val="0069360B"/>
    <w:rsid w:val="006A5085"/>
    <w:rsid w:val="0072109F"/>
    <w:rsid w:val="00842EC2"/>
    <w:rsid w:val="00852C93"/>
    <w:rsid w:val="008917D5"/>
    <w:rsid w:val="008B610C"/>
    <w:rsid w:val="00925E37"/>
    <w:rsid w:val="00983A8B"/>
    <w:rsid w:val="009B1EEE"/>
    <w:rsid w:val="009E6BC4"/>
    <w:rsid w:val="00A00DAE"/>
    <w:rsid w:val="00A158B2"/>
    <w:rsid w:val="00AE3344"/>
    <w:rsid w:val="00B37126"/>
    <w:rsid w:val="00BC495E"/>
    <w:rsid w:val="00C117CA"/>
    <w:rsid w:val="00C16CD8"/>
    <w:rsid w:val="00C97F05"/>
    <w:rsid w:val="00CA3D8F"/>
    <w:rsid w:val="00D07E52"/>
    <w:rsid w:val="00D21FB1"/>
    <w:rsid w:val="00D30D79"/>
    <w:rsid w:val="00D52A4D"/>
    <w:rsid w:val="00D764CB"/>
    <w:rsid w:val="00DA4F96"/>
    <w:rsid w:val="00DD6414"/>
    <w:rsid w:val="00E41102"/>
    <w:rsid w:val="00F02CEB"/>
    <w:rsid w:val="00F264D4"/>
    <w:rsid w:val="00F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FF25"/>
  <w15:docId w15:val="{83217839-F2D1-4794-9741-4FC7E30B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05020"/>
    <w:rPr>
      <w:b/>
      <w:bCs/>
    </w:rPr>
  </w:style>
  <w:style w:type="paragraph" w:styleId="ListParagraph">
    <w:name w:val="List Paragraph"/>
    <w:basedOn w:val="Normal"/>
    <w:uiPriority w:val="34"/>
    <w:qFormat/>
    <w:rsid w:val="00A00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9338402318B4AB5BC6E9C9B94B9D3" ma:contentTypeVersion="0" ma:contentTypeDescription="Create a new document." ma:contentTypeScope="" ma:versionID="7f56b553f8c3d9793d94d89d0ee530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67cdcdf121531d0ff97c6744271899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Ite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5F5B35-5D31-4B34-8374-CC1B573AC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A1686-9F43-47A4-99A5-298810D32C1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F5A3400-CA27-4D84-961E-E862D57DD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Transportation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pm404nr</dc:creator>
  <cp:lastModifiedBy>Brock, Tim</cp:lastModifiedBy>
  <cp:revision>2</cp:revision>
  <cp:lastPrinted>2015-03-02T21:42:00Z</cp:lastPrinted>
  <dcterms:created xsi:type="dcterms:W3CDTF">2018-02-21T18:23:00Z</dcterms:created>
  <dcterms:modified xsi:type="dcterms:W3CDTF">2018-02-21T18:23:00Z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0x010100DDB9338402318B4AB5BC6E9C9B94B9D3</vt:lpwstr>
  </property>
</Properties>
</file>